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sz w:val="28"/>
        </w:rPr>
      </w:pPr>
      <w:r>
        <w:rPr>
          <w:b/>
          <w:sz w:val="28"/>
        </w:rPr>
        <w:t>Internal Ownership of Enron Americas Assets</w:t>
      </w:r>
    </w:p>
    <w:p>
      <w:pPr>
        <w:pStyle w:val="Normal"/>
        <w:jc w:val="both"/>
        <w:rPr>
          <w:b/>
          <w:sz w:val="24"/>
        </w:rPr>
      </w:pPr>
      <w:r>
        <w:rPr>
          <w:b/>
          <w:sz w:val="24"/>
        </w:rPr>
      </w:r>
    </w:p>
    <w:p>
      <w:pPr>
        <w:pStyle w:val="Normal"/>
        <w:jc w:val="both"/>
        <w:rPr>
          <w:sz w:val="24"/>
        </w:rPr>
      </w:pPr>
      <w:r>
        <w:rPr>
          <w:sz w:val="24"/>
        </w:rPr>
        <w:t>The following procedure sets out the internal ownership structure for assets on the Enron Americas balance sheet.</w:t>
      </w:r>
    </w:p>
    <w:p>
      <w:pPr>
        <w:pStyle w:val="Normal"/>
        <w:jc w:val="both"/>
        <w:rPr>
          <w:sz w:val="24"/>
        </w:rPr>
      </w:pPr>
      <w:r>
        <w:rPr>
          <w:sz w:val="24"/>
        </w:rPr>
      </w:r>
    </w:p>
    <w:p>
      <w:pPr>
        <w:pStyle w:val="Normal"/>
        <w:jc w:val="both"/>
        <w:rPr>
          <w:sz w:val="24"/>
        </w:rPr>
      </w:pPr>
      <w:r>
        <w:rPr>
          <w:sz w:val="24"/>
        </w:rPr>
        <w:t>Asset ownership is maintained by the trading or origination group responsible for its original acquisition unless any of the criteria listed below applies.  In that event, ownership will be transferred to the Merchant Asset Management group (Special Assets and Restructuring) managed by Dick Lydecker.</w:t>
      </w:r>
    </w:p>
    <w:p>
      <w:pPr>
        <w:pStyle w:val="Normal"/>
        <w:jc w:val="both"/>
        <w:rPr>
          <w:sz w:val="24"/>
        </w:rPr>
      </w:pPr>
      <w:r>
        <w:rPr>
          <w:sz w:val="24"/>
        </w:rPr>
      </w:r>
    </w:p>
    <w:p>
      <w:pPr>
        <w:pStyle w:val="Normal"/>
        <w:jc w:val="both"/>
        <w:rPr>
          <w:sz w:val="24"/>
        </w:rPr>
      </w:pPr>
      <w:r>
        <w:rPr>
          <w:sz w:val="24"/>
        </w:rPr>
        <w:t>Transfer of internal ownership is dictated by the following:</w:t>
      </w:r>
    </w:p>
    <w:p>
      <w:pPr>
        <w:pStyle w:val="Normal"/>
        <w:jc w:val="both"/>
        <w:rPr>
          <w:sz w:val="24"/>
        </w:rPr>
      </w:pPr>
      <w:r>
        <w:rPr>
          <w:sz w:val="24"/>
        </w:rPr>
      </w:r>
    </w:p>
    <w:p>
      <w:pPr>
        <w:pStyle w:val="Normal"/>
        <w:jc w:val="both"/>
        <w:rPr/>
      </w:pPr>
      <w:r>
        <w:rPr>
          <w:sz w:val="24"/>
        </w:rPr>
        <w:tab/>
      </w:r>
      <w:r>
        <w:rPr>
          <w:b/>
          <w:sz w:val="24"/>
        </w:rPr>
        <w:t>Problem Assets</w:t>
      </w:r>
    </w:p>
    <w:p>
      <w:pPr>
        <w:pStyle w:val="Normal"/>
        <w:jc w:val="both"/>
        <w:rPr>
          <w:b/>
          <w:sz w:val="24"/>
        </w:rPr>
      </w:pPr>
      <w:r>
        <w:rPr>
          <w:b/>
          <w:sz w:val="24"/>
        </w:rPr>
      </w:r>
    </w:p>
    <w:p>
      <w:pPr>
        <w:pStyle w:val="BodyTextIndent"/>
        <w:rPr/>
      </w:pPr>
      <w:r>
        <w:rPr>
          <w:rFonts w:eastAsia="Symbol" w:cs="Symbol" w:ascii="Symbol" w:hAnsi="Symbol"/>
        </w:rPr>
        <w:sym w:font="Symbol" w:char="f0b7"/>
      </w:r>
      <w:r>
        <w:rPr/>
        <w:t xml:space="preserve">  </w:t>
      </w:r>
      <w:r>
        <w:rPr/>
        <w:t>An asset is classified as Watch, Troubled or Loss in the Portfolio Watch Report produced by RAC.</w:t>
      </w:r>
    </w:p>
    <w:p>
      <w:pPr>
        <w:pStyle w:val="Normal"/>
        <w:ind w:hanging="270" w:start="990" w:end="0"/>
        <w:jc w:val="both"/>
        <w:rPr>
          <w:sz w:val="24"/>
        </w:rPr>
      </w:pPr>
      <w:r>
        <w:rPr>
          <w:sz w:val="24"/>
        </w:rPr>
      </w:r>
    </w:p>
    <w:p>
      <w:pPr>
        <w:pStyle w:val="Normal"/>
        <w:ind w:hanging="270" w:start="990" w:end="0"/>
        <w:jc w:val="both"/>
        <w:rPr/>
      </w:pPr>
      <w:r>
        <w:rPr>
          <w:rFonts w:eastAsia="Symbol" w:cs="Symbol" w:ascii="Symbol" w:hAnsi="Symbol"/>
          <w:sz w:val="24"/>
        </w:rPr>
        <w:sym w:font="Symbol" w:char="f0b7"/>
      </w:r>
      <w:r>
        <w:rPr>
          <w:sz w:val="24"/>
        </w:rPr>
        <w:t xml:space="preserve">  </w:t>
      </w:r>
      <w:r>
        <w:rPr>
          <w:sz w:val="24"/>
        </w:rPr>
        <w:t>A default has occurred that has not been resolved within the contractual cure period.  This includes any situation in which a forbearance agreement is required.</w:t>
      </w:r>
    </w:p>
    <w:p>
      <w:pPr>
        <w:pStyle w:val="Normal"/>
        <w:ind w:hanging="270" w:start="990" w:end="0"/>
        <w:jc w:val="both"/>
        <w:rPr>
          <w:sz w:val="24"/>
        </w:rPr>
      </w:pPr>
      <w:r>
        <w:rPr>
          <w:sz w:val="24"/>
        </w:rPr>
      </w:r>
    </w:p>
    <w:p>
      <w:pPr>
        <w:pStyle w:val="Normal"/>
        <w:ind w:hanging="270" w:start="990" w:end="0"/>
        <w:jc w:val="both"/>
        <w:rPr/>
      </w:pPr>
      <w:r>
        <w:rPr>
          <w:rFonts w:eastAsia="Symbol" w:cs="Symbol" w:ascii="Symbol" w:hAnsi="Symbol"/>
          <w:sz w:val="24"/>
        </w:rPr>
        <w:sym w:font="Symbol" w:char="f0b7"/>
      </w:r>
      <w:r>
        <w:rPr>
          <w:sz w:val="24"/>
        </w:rPr>
        <w:t xml:space="preserve">  </w:t>
      </w:r>
      <w:r>
        <w:rPr>
          <w:sz w:val="24"/>
        </w:rPr>
        <w:t>Cumulative write-downs in the carrying value exceed 25%.</w:t>
      </w:r>
    </w:p>
    <w:p>
      <w:pPr>
        <w:pStyle w:val="Normal"/>
        <w:ind w:hanging="270" w:start="990" w:end="0"/>
        <w:jc w:val="both"/>
        <w:rPr>
          <w:sz w:val="24"/>
        </w:rPr>
      </w:pPr>
      <w:r>
        <w:rPr>
          <w:sz w:val="24"/>
        </w:rPr>
      </w:r>
    </w:p>
    <w:p>
      <w:pPr>
        <w:pStyle w:val="Normal"/>
        <w:ind w:hanging="270" w:start="990" w:end="0"/>
        <w:jc w:val="both"/>
        <w:rPr/>
      </w:pPr>
      <w:r>
        <w:rPr>
          <w:rFonts w:eastAsia="Symbol" w:cs="Symbol" w:ascii="Symbol" w:hAnsi="Symbol"/>
          <w:sz w:val="24"/>
        </w:rPr>
        <w:sym w:font="Symbol" w:char="f0b7"/>
      </w:r>
      <w:r>
        <w:rPr>
          <w:sz w:val="24"/>
        </w:rPr>
        <w:t xml:space="preserve">  </w:t>
      </w:r>
      <w:r>
        <w:rPr>
          <w:sz w:val="24"/>
        </w:rPr>
        <w:t>The current IRR, assuming exit at carrying value, is less than 60% of the IRR in the original DASH used to obtain management approval.</w:t>
      </w:r>
    </w:p>
    <w:p>
      <w:pPr>
        <w:pStyle w:val="Normal"/>
        <w:ind w:hanging="270" w:start="990" w:end="0"/>
        <w:jc w:val="both"/>
        <w:rPr>
          <w:sz w:val="24"/>
        </w:rPr>
      </w:pPr>
      <w:r>
        <w:rPr>
          <w:sz w:val="24"/>
        </w:rPr>
      </w:r>
    </w:p>
    <w:p>
      <w:pPr>
        <w:pStyle w:val="Heading2"/>
        <w:rPr/>
      </w:pPr>
      <w:r>
        <w:rPr/>
        <w:t>Orphan Assets</w:t>
      </w:r>
    </w:p>
    <w:p>
      <w:pPr>
        <w:pStyle w:val="Normal"/>
        <w:ind w:hanging="270" w:start="990" w:end="0"/>
        <w:jc w:val="both"/>
        <w:rPr>
          <w:sz w:val="24"/>
        </w:rPr>
      </w:pPr>
      <w:r>
        <w:rPr>
          <w:sz w:val="24"/>
        </w:rPr>
      </w:r>
    </w:p>
    <w:p>
      <w:pPr>
        <w:pStyle w:val="Normal"/>
        <w:ind w:hanging="270" w:start="990" w:end="0"/>
        <w:jc w:val="both"/>
        <w:rPr/>
      </w:pPr>
      <w:r>
        <w:rPr>
          <w:rFonts w:eastAsia="Symbol" w:cs="Symbol" w:ascii="Symbol" w:hAnsi="Symbol"/>
          <w:sz w:val="24"/>
        </w:rPr>
        <w:sym w:font="Symbol" w:char="f0b7"/>
      </w:r>
      <w:r>
        <w:rPr>
          <w:sz w:val="24"/>
        </w:rPr>
        <w:t xml:space="preserve">  </w:t>
      </w:r>
      <w:r>
        <w:rPr>
          <w:sz w:val="24"/>
        </w:rPr>
        <w:t>Assets that were primarily acquired as a means to an end rather than acquired as individually attractive investments.</w:t>
      </w:r>
    </w:p>
    <w:p>
      <w:pPr>
        <w:pStyle w:val="Normal"/>
        <w:ind w:hanging="270" w:start="990" w:end="0"/>
        <w:jc w:val="both"/>
        <w:rPr>
          <w:sz w:val="24"/>
        </w:rPr>
      </w:pPr>
      <w:r>
        <w:rPr>
          <w:sz w:val="24"/>
        </w:rPr>
      </w:r>
    </w:p>
    <w:p>
      <w:pPr>
        <w:pStyle w:val="BodyTextIndent"/>
        <w:rPr/>
      </w:pPr>
      <w:r>
        <w:rPr>
          <w:rFonts w:eastAsia="Symbol" w:cs="Symbol" w:ascii="Symbol" w:hAnsi="Symbol"/>
        </w:rPr>
        <w:sym w:font="Symbol" w:char="f0b7"/>
      </w:r>
      <w:r>
        <w:rPr/>
        <w:t xml:space="preserve">  </w:t>
      </w:r>
      <w:r>
        <w:rPr/>
        <w:t>The current business unit does not have the resources necessary to actively monitor/steward/monetize an investment to the degree commensurate with Enron’s risk/monetary exposure in the investment.</w:t>
      </w:r>
    </w:p>
    <w:p>
      <w:pPr>
        <w:pStyle w:val="Normal"/>
        <w:ind w:hanging="270" w:start="990" w:end="0"/>
        <w:jc w:val="both"/>
        <w:rPr>
          <w:sz w:val="24"/>
        </w:rPr>
      </w:pPr>
      <w:r>
        <w:rPr>
          <w:sz w:val="24"/>
        </w:rPr>
      </w:r>
    </w:p>
    <w:p>
      <w:pPr>
        <w:pStyle w:val="Normal"/>
        <w:jc w:val="both"/>
        <w:rPr/>
      </w:pPr>
      <w:r>
        <w:rPr>
          <w:sz w:val="24"/>
        </w:rPr>
        <w:t>Revenues/costs (</w:t>
      </w:r>
      <w:r>
        <w:rPr>
          <w:sz w:val="24"/>
          <w:u w:val="single"/>
        </w:rPr>
        <w:t>including capital charges</w:t>
      </w:r>
      <w:r>
        <w:rPr>
          <w:sz w:val="24"/>
        </w:rPr>
        <w:t>)/gains/losses will be equally divided between the originating group and Merchant Asset Management until restructuring and/or exit is completed.</w:t>
      </w:r>
    </w:p>
    <w:p>
      <w:pPr>
        <w:pStyle w:val="Normal"/>
        <w:jc w:val="both"/>
        <w:rPr>
          <w:sz w:val="24"/>
        </w:rPr>
      </w:pPr>
      <w:r>
        <w:rPr>
          <w:sz w:val="24"/>
        </w:rPr>
      </w:r>
    </w:p>
    <w:p>
      <w:pPr>
        <w:pStyle w:val="Normal"/>
        <w:jc w:val="both"/>
        <w:rPr>
          <w:sz w:val="24"/>
        </w:rPr>
      </w:pPr>
      <w:r>
        <w:rPr>
          <w:sz w:val="24"/>
        </w:rPr>
        <w:t>Any clarifications or deviations to this policy will be agreed with the Office of the Chair of Enron Americas.</w:t>
      </w:r>
    </w:p>
    <w:p>
      <w:pPr>
        <w:pStyle w:val="Normal"/>
        <w:jc w:val="both"/>
        <w:rPr>
          <w:sz w:val="24"/>
        </w:rPr>
      </w:pPr>
      <w:r>
        <w:rPr>
          <w:sz w:val="24"/>
        </w:rPr>
      </w:r>
    </w:p>
    <w:p>
      <w:pPr>
        <w:pStyle w:val="Normal"/>
        <w:jc w:val="both"/>
        <w:rPr>
          <w:sz w:val="24"/>
        </w:rPr>
      </w:pPr>
      <w:r>
        <w:rPr>
          <w:sz w:val="24"/>
        </w:rPr>
        <w:tab/>
        <w:t xml:space="preserve">This policy is not applicable to assets assigned to Energy Capital Resources. </w:t>
      </w:r>
    </w:p>
    <w:p>
      <w:pPr>
        <w:pStyle w:val="Normal"/>
        <w:jc w:val="both"/>
        <w:rPr>
          <w:sz w:val="24"/>
        </w:rPr>
      </w:pPr>
      <w:r>
        <w:rPr>
          <w:sz w:val="24"/>
        </w:rPr>
      </w:r>
    </w:p>
    <w:p>
      <w:pPr>
        <w:pStyle w:val="Normal"/>
        <w:jc w:val="both"/>
        <w:rPr>
          <w:sz w:val="24"/>
        </w:rPr>
      </w:pPr>
      <w:r>
        <w:rPr>
          <w:sz w:val="24"/>
        </w:rPr>
        <w:t>This policy is to be implemented by the Business Analysis and Reporting group in Accounting under Wes Colwell.</w:t>
      </w:r>
    </w:p>
    <w:p>
      <w:pPr>
        <w:pStyle w:val="Normal"/>
        <w:jc w:val="both"/>
        <w:rPr>
          <w:sz w:val="24"/>
        </w:rPr>
      </w:pPr>
      <w:r>
        <w:rPr>
          <w:sz w:val="24"/>
        </w:rPr>
      </w:r>
    </w:p>
    <w:p>
      <w:pPr>
        <w:pStyle w:val="Normal"/>
        <w:jc w:val="both"/>
        <w:rPr>
          <w:sz w:val="24"/>
        </w:rPr>
      </w:pPr>
      <w:r>
        <w:rPr>
          <w:sz w:val="24"/>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rPr>
  </w:style>
  <w:style w:type="paragraph" w:styleId="Heading2">
    <w:name w:val="heading 2"/>
    <w:basedOn w:val="Normal"/>
    <w:next w:val="Normal"/>
    <w:qFormat/>
    <w:pPr>
      <w:keepNext w:val="true"/>
      <w:numPr>
        <w:ilvl w:val="1"/>
        <w:numId w:val="1"/>
      </w:numPr>
      <w:ind w:hanging="270" w:start="990" w:end="0"/>
      <w:jc w:val="both"/>
      <w:outlineLvl w:val="1"/>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70" w:start="99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2001-03-29T19:03:00Z</dcterms:created>
  <dc:creator>rlydeck</dc:creator>
  <dc:description/>
  <dc:language>en-CA</dc:language>
  <cp:lastModifiedBy>rlydeck</cp:lastModifiedBy>
  <cp:lastPrinted>2001-03-29T16:18:00Z</cp:lastPrinted>
  <dcterms:modified xsi:type="dcterms:W3CDTF">2001-03-29T20:09:00Z</dcterms:modified>
  <cp:revision>1</cp:revision>
  <dc:subject/>
  <dc:title>Internal Ownership of Enron Americas Assets</dc:title>
</cp:coreProperties>
</file>