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pacing w:before="0" w:after="120"/>
        <w:jc w:val="center"/>
        <w:rPr>
          <w:sz w:val="22"/>
        </w:rPr>
      </w:pPr>
      <w:r>
        <w:rPr>
          <w:sz w:val="22"/>
        </w:rPr>
        <w:t>CONFIDENTIALITY</w:t>
      </w:r>
    </w:p>
    <w:p>
      <w:pPr>
        <w:pStyle w:val="Normal"/>
        <w:tabs>
          <w:tab w:val="clear" w:pos="720"/>
          <w:tab w:val="center" w:pos="4680" w:leader="none"/>
        </w:tabs>
        <w:spacing w:before="0" w:after="120"/>
        <w:jc w:val="center"/>
        <w:rPr>
          <w:sz w:val="22"/>
        </w:rPr>
      </w:pPr>
      <w:r>
        <w:rPr>
          <w:sz w:val="22"/>
        </w:rPr>
        <w:t>AND</w:t>
      </w:r>
    </w:p>
    <w:p>
      <w:pPr>
        <w:pStyle w:val="Normal"/>
        <w:tabs>
          <w:tab w:val="clear" w:pos="720"/>
          <w:tab w:val="center" w:pos="4680" w:leader="none"/>
        </w:tabs>
        <w:spacing w:before="0" w:after="120"/>
        <w:jc w:val="center"/>
        <w:rPr>
          <w:sz w:val="22"/>
        </w:rPr>
      </w:pPr>
      <w:r>
        <w:rPr>
          <w:sz w:val="22"/>
        </w:rPr>
        <w:t>NON-DISCLOSURE AGREEMENT</w:t>
      </w:r>
    </w:p>
    <w:p>
      <w:pPr>
        <w:pStyle w:val="Normal"/>
        <w:tabs>
          <w:tab w:val="clear" w:pos="720"/>
          <w:tab w:val="center" w:pos="4680" w:leader="none"/>
        </w:tabs>
        <w:spacing w:before="0" w:after="120"/>
        <w:jc w:val="center"/>
        <w:rPr>
          <w:sz w:val="22"/>
        </w:rPr>
      </w:pPr>
      <w:r>
        <w:rPr>
          <w:sz w:val="22"/>
        </w:rPr>
      </w:r>
    </w:p>
    <w:p>
      <w:pPr>
        <w:pStyle w:val="BodyText"/>
        <w:rPr>
          <w:sz w:val="22"/>
        </w:rPr>
      </w:pPr>
      <w:r>
        <w:rPr>
          <w:sz w:val="22"/>
        </w:rPr>
        <w:t>THIS AGREEMENT is made as of November __, 2000 between Enron Net Works LLC (“ENW”), having its principal address at 1400 Smith Street, Houston, Texas, 77002 and Interliant, Inc. (“Participant”), having its principal address at Two Manhattenville Road, Purchase, NY 10577.  Throughout this Agreement ENW and Participant are individually referred to as a “Party” and collectively as the “Parties.”</w:t>
      </w:r>
    </w:p>
    <w:p>
      <w:pPr>
        <w:pStyle w:val="Normal"/>
        <w:spacing w:lineRule="atLeast" w:line="240"/>
        <w:rPr>
          <w:sz w:val="22"/>
        </w:rPr>
      </w:pPr>
      <w:r>
        <w:rPr>
          <w:sz w:val="22"/>
        </w:rPr>
      </w:r>
    </w:p>
    <w:p>
      <w:pPr>
        <w:pStyle w:val="Normal"/>
        <w:spacing w:before="0" w:after="120"/>
        <w:ind w:firstLine="720" w:end="0"/>
        <w:jc w:val="both"/>
        <w:rPr/>
      </w:pPr>
      <w:r>
        <w:rPr>
          <w:sz w:val="22"/>
        </w:rPr>
        <w:t>ENW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ENW nor Participant has made a decision to enter into any Transaction and that either may elect, in its sole discretion, to not pursue any Transaction or to pursue a similar Transaction without the involvement of the other.</w:t>
      </w:r>
    </w:p>
    <w:p>
      <w:pPr>
        <w:pStyle w:val="BodyTextIndent"/>
        <w:widowControl/>
        <w:spacing w:before="0" w:after="120"/>
        <w:rPr>
          <w:sz w:val="22"/>
        </w:rPr>
      </w:pPr>
      <w:r>
        <w:rPr>
          <w:sz w:val="22"/>
        </w:rPr>
        <w:t>Each Party is willing to disclose confidential information to the other for the purposes set forth above, subject to the following conditions and limitations:</w:t>
      </w:r>
    </w:p>
    <w:p>
      <w:pPr>
        <w:pStyle w:val="Normal"/>
        <w:spacing w:before="0" w:after="120"/>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ENW or Participant, which either ENW or Participant or any directors, officers, employees, representatives, advisors, contractors, agents or Affiliates (collectively, “Representatives”) of either ENW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or, in the absence thereof, is of such nature as should be known to the receiving Party to be confidential.  Any Confidential Information transmitted orally will be clearly identified as such by the Party disclosing such information at the time it is disclosed or, in the absence thereof is of such nature as should be known to the receiving Party to be Confidential.  “Confidential Information,” as used herein, shall not include information which (a) is, or becomes, publicly known, otherwise than through a wrongful act of a Party; (b) is in the possession of a Party prior to receipt from the other Party without a known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BodyTextIndent"/>
        <w:widowControl/>
        <w:spacing w:before="0" w:after="120"/>
        <w:rPr>
          <w:sz w:val="22"/>
        </w:rPr>
      </w:pPr>
      <w:r>
        <w:rPr>
          <w:sz w:val="22"/>
        </w:rPr>
        <w:t>2.</w:t>
        <w:tab/>
        <w:t>The term “person” as used in this Agreement shall be interpreted broadly to include, without limitation, any corporation, company, entity, partnership, group, regulatory agency, or other governmental entity, or individual.</w:t>
      </w:r>
    </w:p>
    <w:p>
      <w:pPr>
        <w:pStyle w:val="BodyTextIndent"/>
        <w:widowControl/>
        <w:spacing w:before="0" w:after="120"/>
        <w:rPr>
          <w:sz w:val="22"/>
        </w:rPr>
      </w:pPr>
      <w:r>
        <w:rPr>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spacing w:before="0" w:after="120"/>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p>
    <w:p>
      <w:pPr>
        <w:pStyle w:val="Normal"/>
        <w:spacing w:before="0" w:after="120"/>
        <w:ind w:firstLine="720" w:end="0"/>
        <w:jc w:val="both"/>
        <w:rPr>
          <w:sz w:val="22"/>
          <w:u w:val="single"/>
        </w:rPr>
      </w:pPr>
      <w:r>
        <w:rPr>
          <w:sz w:val="22"/>
        </w:rPr>
        <w:t>5.</w:t>
        <w:tab/>
        <w:t>Except for disclosure to PurchasePooling, Inc., as otherwise required by law, rules or regulations including rules or regulations of any securities exchange,</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spacing w:before="0" w:after="120"/>
        <w:ind w:firstLine="720" w:end="0"/>
        <w:jc w:val="both"/>
        <w:rPr>
          <w:sz w:val="22"/>
        </w:rPr>
      </w:pPr>
      <w:r>
        <w:rPr>
          <w:sz w:val="22"/>
        </w:rPr>
        <w:t>6.</w:t>
        <w:tab/>
        <w:t>In the event that a Party is requested or required, by subpoena, oral deposition, interrogatories, request for production of documents, administrative order, accounting disclosure standard or rule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BodyTextIndent"/>
        <w:widowControl/>
        <w:spacing w:before="0" w:after="120"/>
        <w:rPr>
          <w:sz w:val="22"/>
        </w:rPr>
      </w:pPr>
      <w:r>
        <w:rPr>
          <w:sz w:val="22"/>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spacing w:before="0" w:after="120"/>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spacing w:before="0" w:after="120"/>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spacing w:before="0" w:after="120"/>
        <w:ind w:firstLine="720" w:end="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Excepting such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BodyTextIndent"/>
        <w:widowControl/>
        <w:spacing w:before="0" w:after="120"/>
        <w:rPr>
          <w:sz w:val="22"/>
        </w:rPr>
      </w:pPr>
      <w:r>
        <w:rPr>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BodyTextIndent"/>
        <w:widowControl/>
        <w:spacing w:before="0" w:after="120"/>
        <w:rPr>
          <w:sz w:val="22"/>
        </w:rPr>
      </w:pPr>
      <w:r>
        <w:rPr>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BodyTextIndent"/>
        <w:widowControl/>
        <w:spacing w:before="0" w:after="120"/>
        <w:rPr>
          <w:sz w:val="22"/>
        </w:rPr>
      </w:pPr>
      <w:r>
        <w:rPr>
          <w:sz w:val="22"/>
        </w:rPr>
        <w:t>13.</w:t>
        <w:tab/>
        <w:t>Unless extended by written agreement of the Parties, the confidentiality provisions of this Agreement shall expire two (2) years from the date hereof.</w:t>
      </w:r>
    </w:p>
    <w:p>
      <w:pPr>
        <w:pStyle w:val="BodyTextIndent"/>
        <w:widowControl/>
        <w:spacing w:before="0" w:after="120"/>
        <w:rPr>
          <w:sz w:val="22"/>
        </w:rPr>
      </w:pPr>
      <w:r>
        <w:rPr>
          <w:sz w:val="22"/>
        </w:rPr>
        <w:t>14.</w:t>
        <w:tab/>
        <w:t>This Agreement shall be governed by and construed under the laws of the State of Texas without regard to conflicts-of-laws rules or principles.</w:t>
      </w:r>
    </w:p>
    <w:p>
      <w:pPr>
        <w:pStyle w:val="Normal"/>
        <w:spacing w:before="0" w:after="120"/>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spacing w:before="0" w:after="120"/>
        <w:jc w:val="both"/>
        <w:rPr>
          <w:sz w:val="22"/>
        </w:rPr>
      </w:pPr>
      <w:r>
        <w:rPr>
          <w:sz w:val="22"/>
        </w:rPr>
      </w:r>
    </w:p>
    <w:p>
      <w:pPr>
        <w:pStyle w:val="BodyTextIndent2"/>
        <w:rPr>
          <w:sz w:val="22"/>
        </w:rPr>
      </w:pPr>
      <w:r>
        <w:rPr>
          <w:sz w:val="22"/>
        </w:rPr>
        <w:t>IN WITNESS WHEREOF, the Parties have executed this Agreement by and through their duly authorized representatives, as of the day first above written.</w:t>
      </w:r>
    </w:p>
    <w:p>
      <w:pPr>
        <w:pStyle w:val="Normal"/>
        <w:spacing w:before="0" w:after="120"/>
        <w:jc w:val="both"/>
        <w:rPr>
          <w:sz w:val="22"/>
        </w:rPr>
      </w:pPr>
      <w:r>
        <w:rPr>
          <w:sz w:val="22"/>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spacing w:before="0" w:after="120"/>
        <w:ind w:end="-720"/>
        <w:jc w:val="both"/>
        <w:rPr>
          <w:sz w:val="22"/>
        </w:rPr>
      </w:pPr>
      <w:r>
        <w:rPr>
          <w:sz w:val="22"/>
        </w:rPr>
      </w:r>
    </w:p>
    <w:p>
      <w:pPr>
        <w:pStyle w:val="Normal"/>
        <w:spacing w:before="0" w:after="120"/>
        <w:ind w:end="-720"/>
        <w:jc w:val="both"/>
        <w:rPr>
          <w:sz w:val="22"/>
        </w:rPr>
      </w:pPr>
      <w:r>
        <w:rPr>
          <w:b/>
          <w:sz w:val="22"/>
        </w:rPr>
        <w:t>Enron Net Works LLC</w:t>
      </w:r>
      <w:r>
        <w:rPr>
          <w:sz w:val="22"/>
        </w:rPr>
        <w:tab/>
        <w:tab/>
        <w:tab/>
        <w:tab/>
      </w:r>
      <w:r>
        <w:rPr>
          <w:b/>
          <w:sz w:val="22"/>
        </w:rPr>
        <w:t>Interliant, Inc.</w:t>
      </w:r>
    </w:p>
    <w:p>
      <w:pPr>
        <w:pStyle w:val="Normal"/>
        <w:ind w:end="-720"/>
        <w:jc w:val="both"/>
        <w:rPr>
          <w:sz w:val="22"/>
        </w:rPr>
      </w:pPr>
      <w:r>
        <w:rPr>
          <w:sz w:val="22"/>
        </w:rPr>
      </w:r>
    </w:p>
    <w:p>
      <w:pPr>
        <w:pStyle w:val="Norma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ind w:firstLine="720" w:start="720" w:end="-720"/>
        <w:jc w:val="both"/>
        <w:rPr>
          <w:sz w:val="22"/>
          <w:vertAlign w:val="superscript"/>
        </w:rPr>
      </w:pPr>
      <w:r>
        <w:rPr>
          <w:sz w:val="22"/>
          <w:vertAlign w:val="superscript"/>
        </w:rPr>
        <w:t>(Signature)</w:t>
        <w:tab/>
        <w:tab/>
        <w:tab/>
        <w:tab/>
        <w:tab/>
        <w:tab/>
        <w:tab/>
        <w:t>(Signature)</w:t>
      </w:r>
    </w:p>
    <w:p>
      <w:pPr>
        <w:pStyle w:val="Norma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ind w:firstLine="720" w:start="720" w:end="-720"/>
        <w:jc w:val="both"/>
        <w:rPr>
          <w:sz w:val="22"/>
          <w:vertAlign w:val="superscript"/>
        </w:rPr>
      </w:pPr>
      <w:r>
        <w:rPr>
          <w:sz w:val="22"/>
          <w:vertAlign w:val="superscript"/>
        </w:rPr>
        <w:t>(Print Signer’s Name)</w:t>
        <w:tab/>
        <w:tab/>
        <w:tab/>
        <w:tab/>
        <w:tab/>
        <w:tab/>
        <w:t>(Print Signer’s Name)</w:t>
      </w:r>
    </w:p>
    <w:p>
      <w:pPr>
        <w:pStyle w:val="Norma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ind w:firstLine="720" w:start="720" w:end="-720"/>
        <w:jc w:val="both"/>
        <w:rPr>
          <w:sz w:val="22"/>
          <w:vertAlign w:val="superscript"/>
        </w:rPr>
      </w:pPr>
      <w:r>
        <w:rPr>
          <w:sz w:val="22"/>
          <w:vertAlign w:val="superscript"/>
        </w:rPr>
        <w:t>(Print Signer’s Title)</w:t>
        <w:tab/>
        <w:tab/>
        <w:tab/>
        <w:tab/>
        <w:tab/>
        <w:tab/>
        <w:t>(Print Signer’s Title)</w:t>
      </w:r>
    </w:p>
    <w:p>
      <w:pPr>
        <w:pStyle w:val="Normal"/>
        <w:spacing w:before="0" w:after="120"/>
        <w:jc w:val="both"/>
        <w:rPr>
          <w:sz w:val="22"/>
          <w:vertAlign w:val="superscript"/>
        </w:rPr>
      </w:pPr>
      <w:r>
        <w:rPr>
          <w:sz w:val="22"/>
          <w:vertAlign w:val="superscript"/>
        </w:rPr>
      </w:r>
    </w:p>
    <w:p>
      <w:pPr>
        <w:pStyle w:val="Normal"/>
        <w:spacing w:before="0" w:after="120"/>
        <w:jc w:val="both"/>
        <w:rPr/>
      </w:pPr>
      <w:r>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rPr/>
      </w:pPr>
      <w:r>
        <w:rPr/>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Fonts w:cs="Arial" w:ascii="Arial" w:hAnsi="Arial"/>
      </w:rPr>
      <w:tab/>
    </w:r>
  </w:p>
  <w:p>
    <w:pPr>
      <w:pStyle w:val="Normal"/>
      <w:tabs>
        <w:tab w:val="clear" w:pos="720"/>
        <w:tab w:val="center" w:pos="4320" w:leader="none"/>
        <w:tab w:val="right" w:pos="9360" w:leader="none"/>
      </w:tabs>
      <w:spacing w:lineRule="exact" w:line="240"/>
      <w:rPr>
        <w:rStyle w:val="PageNumber"/>
        <w:rFonts w:ascii="Arial" w:hAnsi="Arial" w:cs="Arial"/>
      </w:rPr>
    </w:pPr>
    <w:r>
      <w:rPr/>
    </w:r>
  </w:p>
  <w:p>
    <w:pPr>
      <w:pStyle w:val="Normal"/>
      <w:tabs>
        <w:tab w:val="clear" w:pos="720"/>
        <w:tab w:val="center" w:pos="4320" w:leader="none"/>
        <w:tab w:val="right" w:pos="9360" w:leader="none"/>
      </w:tabs>
      <w:spacing w:lineRule="exact" w:line="240"/>
      <w:rPr/>
    </w:pPr>
    <w:r>
      <w:rPr>
        <w:rStyle w:val="PageNumber"/>
        <w:rFonts w:cs="Arial" w:ascii="Arial" w:hAnsi="Arial"/>
        <w:sz w:val="16"/>
      </w:rPr>
      <w:fldChar w:fldCharType="begin"/>
    </w:r>
    <w:r>
      <w:rPr>
        <w:rStyle w:val="PageNumber"/>
        <w:sz w:val="16"/>
        <w:rFonts w:cs="Arial" w:ascii="Arial" w:hAnsi="Arial"/>
      </w:rPr>
      <w:instrText xml:space="preserve"> FILENAME \p </w:instrText>
    </w:r>
    <w:r>
      <w:rPr>
        <w:rStyle w:val="PageNumber"/>
        <w:sz w:val="16"/>
        <w:rFonts w:cs="Arial" w:ascii="Arial" w:hAnsi="Arial"/>
      </w:rPr>
      <w:fldChar w:fldCharType="separate"/>
    </w:r>
    <w:r>
      <w:rPr>
        <w:rStyle w:val="PageNumber"/>
        <w:sz w:val="16"/>
        <w:rFonts w:cs="Arial" w:ascii="Arial" w:hAnsi="Arial"/>
      </w:rPr>
      <w:t>/mnt/main-storage/datasets/enron-docs/doc/Interliant1.doc</w:t>
    </w:r>
    <w:r>
      <w:rPr>
        <w:rStyle w:val="PageNumber"/>
        <w:sz w:val="16"/>
        <w:rFonts w:cs="Arial" w:ascii="Arial" w:hAnsi="Arial"/>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2000-11-28T20:34:00Z</dcterms:created>
  <dc:creator>cheryl_kondo</dc:creator>
  <dc:description/>
  <dc:language>en-CA</dc:language>
  <cp:lastModifiedBy>tjones</cp:lastModifiedBy>
  <cp:lastPrinted>2000-11-28T16:33:00Z</cp:lastPrinted>
  <dcterms:modified xsi:type="dcterms:W3CDTF">2000-11-29T17:22:00Z</dcterms:modified>
  <cp:revision>7</cp:revision>
  <dc:subject/>
  <dc:title>CONFIDENTIALITY</dc:title>
</cp:coreProperties>
</file>