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r>
    </w:p>
    <w:p>
      <w:pPr>
        <w:pStyle w:val="Heading"/>
        <w:rPr>
          <w:rFonts w:ascii="Times New Roman" w:hAnsi="Times New Roman" w:cs="Times New Roman"/>
          <w:sz w:val="22"/>
        </w:rPr>
      </w:pPr>
      <w:r>
        <w:rPr>
          <w:rFonts w:cs="Times New Roman" w:ascii="Times New Roman" w:hAnsi="Times New Roman"/>
          <w:sz w:val="22"/>
        </w:rPr>
      </w:r>
    </w:p>
    <w:p>
      <w:pPr>
        <w:pStyle w:val="Heading"/>
        <w:rPr>
          <w:rFonts w:ascii="Times New Roman" w:hAnsi="Times New Roman" w:cs="Times New Roman"/>
          <w:sz w:val="22"/>
        </w:rPr>
      </w:pPr>
      <w:r>
        <w:rPr>
          <w:rFonts w:cs="Times New Roman" w:ascii="Times New Roman" w:hAnsi="Times New Roman"/>
          <w:sz w:val="22"/>
        </w:rPr>
      </w:r>
    </w:p>
    <w:p>
      <w:pPr>
        <w:pStyle w:val="Heading4"/>
        <w:ind w:hanging="0" w:start="0"/>
        <w:jc w:val="both"/>
        <w:rPr>
          <w:rFonts w:ascii="Times New Roman" w:hAnsi="Times New Roman" w:cs="Times New Roman"/>
          <w:sz w:val="22"/>
        </w:rPr>
      </w:pPr>
      <w:r>
        <w:rPr>
          <w:rFonts w:cs="Times New Roman"/>
          <w:sz w:val="22"/>
        </w:rPr>
      </w:r>
    </w:p>
    <w:p>
      <w:pPr>
        <w:pStyle w:val="Header"/>
        <w:tabs>
          <w:tab w:val="clear" w:pos="4320"/>
          <w:tab w:val="clear" w:pos="8640"/>
          <w:tab w:val="left" w:pos="142" w:leader="none"/>
          <w:tab w:val="left" w:pos="993"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142" w:leader="none"/>
          <w:tab w:val="left" w:pos="993" w:leader="none"/>
        </w:tabs>
        <w:spacing w:before="60" w:after="60"/>
        <w:jc w:val="both"/>
        <w:rPr>
          <w:rFonts w:ascii="Times New Roman" w:hAnsi="Times New Roman" w:cs="Times New Roman"/>
          <w:sz w:val="22"/>
        </w:rPr>
      </w:pPr>
      <w:r>
        <w:rPr>
          <w:rFonts w:cs="Times New Roman" w:ascii="Times New Roman" w:hAnsi="Times New Roman"/>
          <w:b/>
          <w:sz w:val="22"/>
        </w:rPr>
        <w:t>To:</w:t>
      </w:r>
      <w:r>
        <w:rPr>
          <w:rFonts w:cs="Times New Roman" w:ascii="Times New Roman" w:hAnsi="Times New Roman"/>
          <w:sz w:val="22"/>
        </w:rPr>
        <w:tab/>
        <w:t>Rick Buy</w:t>
        <w:tab/>
        <w:tab/>
      </w:r>
      <w:r>
        <w:rPr>
          <w:rFonts w:cs="Times New Roman" w:ascii="Times New Roman" w:hAnsi="Times New Roman"/>
          <w:sz w:val="22"/>
          <w:u w:val="single"/>
        </w:rPr>
        <w:tab/>
        <w:tab/>
        <w:tab/>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sz w:val="22"/>
        </w:rPr>
        <w:t>From:</w:t>
      </w:r>
      <w:r>
        <w:rPr>
          <w:rFonts w:cs="Times New Roman" w:ascii="Times New Roman" w:hAnsi="Times New Roman"/>
          <w:sz w:val="22"/>
        </w:rPr>
        <w:tab/>
        <w:t>Don Black</w:t>
      </w:r>
    </w:p>
    <w:p>
      <w:pPr>
        <w:pStyle w:val="Normal"/>
        <w:tabs>
          <w:tab w:val="left" w:pos="142" w:leader="none"/>
          <w:tab w:val="left" w:pos="540" w:leader="none"/>
          <w:tab w:val="left" w:pos="993" w:leader="none"/>
        </w:tabs>
        <w:spacing w:before="60" w:after="60"/>
        <w:jc w:val="both"/>
        <w:rPr>
          <w:rFonts w:ascii="Times New Roman" w:hAnsi="Times New Roman" w:cs="Times New Roman"/>
          <w:b/>
          <w:sz w:val="22"/>
        </w:rPr>
      </w:pPr>
      <w:r>
        <w:rPr>
          <w:rFonts w:cs="Times New Roman" w:ascii="Times New Roman" w:hAnsi="Times New Roman"/>
          <w:b/>
          <w:sz w:val="22"/>
        </w:rPr>
        <w:t>Date:</w:t>
      </w:r>
      <w:r>
        <w:rPr>
          <w:rFonts w:cs="Times New Roman" w:ascii="Times New Roman" w:hAnsi="Times New Roman"/>
          <w:sz w:val="22"/>
        </w:rPr>
        <w:tab/>
        <w:tab/>
        <w:t>11/29/00</w:t>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sz w:val="22"/>
        </w:rPr>
        <w:t>Subject:</w:t>
      </w:r>
      <w:r>
        <w:rPr>
          <w:rFonts w:cs="Times New Roman" w:ascii="Times New Roman" w:hAnsi="Times New Roman"/>
          <w:sz w:val="22"/>
        </w:rPr>
        <w:tab/>
        <w:t xml:space="preserve">Request for  </w:t>
      </w:r>
      <w:r>
        <w:rPr>
          <w:rFonts w:cs="Times New Roman" w:ascii="Times New Roman" w:hAnsi="Times New Roman"/>
          <w:b/>
          <w:sz w:val="22"/>
        </w:rPr>
        <w:t>Transmission &amp; Distribution Interest Rate</w:t>
      </w:r>
      <w:r>
        <w:rPr>
          <w:rFonts w:cs="Times New Roman" w:ascii="Times New Roman" w:hAnsi="Times New Roman"/>
          <w:sz w:val="22"/>
        </w:rPr>
        <w:t xml:space="preserve"> Hedging Policy</w:t>
      </w:r>
    </w:p>
    <w:p>
      <w:pPr>
        <w:pStyle w:val="Normal"/>
        <w:tabs>
          <w:tab w:val="left" w:pos="142" w:leader="none"/>
          <w:tab w:val="left" w:pos="540" w:leader="none"/>
          <w:tab w:val="left" w:pos="993" w:leader="none"/>
        </w:tabs>
        <w:spacing w:before="60" w:after="60"/>
        <w:jc w:val="both"/>
        <w:rPr>
          <w:rFonts w:ascii="Times New Roman" w:hAnsi="Times New Roman" w:cs="Times New Roman"/>
          <w:sz w:val="22"/>
        </w:rPr>
      </w:pPr>
      <w:r>
        <w:rPr>
          <w:rFonts w:cs="Times New Roman" w:ascii="Times New Roman" w:hAnsi="Times New Roman"/>
          <w:sz w:val="22"/>
        </w:rPr>
        <w:tab/>
        <w:tab/>
        <w:tab/>
      </w:r>
    </w:p>
    <w:p>
      <w:pPr>
        <w:pStyle w:val="Heading1"/>
        <w:pBdr>
          <w:top w:val="single" w:sz="18" w:space="1" w:color="000000"/>
        </w:pBdr>
        <w:ind w:hanging="0" w:start="0"/>
        <w:jc w:val="both"/>
        <w:rPr>
          <w:rFonts w:ascii="Times New Roman" w:hAnsi="Times New Roman" w:cs="Times New Roman"/>
          <w:b w:val="false"/>
          <w:sz w:val="22"/>
        </w:rPr>
      </w:pPr>
      <w:r>
        <w:rPr>
          <w:rFonts w:cs="Times New Roman"/>
          <w:b w:val="false"/>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Type of Trading Limit Request</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jc w:val="both"/>
        <w:rPr>
          <w:rFonts w:ascii="Times New Roman" w:hAnsi="Times New Roman" w:cs="Times New Roman"/>
          <w:sz w:val="22"/>
          <w:u w:val="single"/>
        </w:rPr>
      </w:pPr>
      <w:r>
        <w:rPr>
          <w:rFonts w:cs="Times New Roman" w:ascii="Times New Roman" w:hAnsi="Times New Roman"/>
          <w:sz w:val="22"/>
        </w:rPr>
        <w:t>Interim Policy Limits for New Commodity</w:t>
        <w:tab/>
        <w:tab/>
      </w:r>
      <w:r>
        <w:rPr>
          <w:rFonts w:cs="Times New Roman" w:ascii="Times New Roman" w:hAnsi="Times New Roman"/>
          <w:sz w:val="22"/>
          <w:u w:val="single"/>
        </w:rPr>
        <w:tab/>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 xml:space="preserve">Interim Policy Limit Extension </w:t>
        <w:tab/>
        <w:tab/>
        <w:tab/>
      </w:r>
      <w:r>
        <w:rPr>
          <w:rFonts w:cs="Times New Roman" w:ascii="Times New Roman" w:hAnsi="Times New Roman"/>
          <w:sz w:val="22"/>
          <w:u w:val="single"/>
        </w:rPr>
        <w:tab/>
      </w:r>
    </w:p>
    <w:p>
      <w:pPr>
        <w:pStyle w:val="Normal"/>
        <w:numPr>
          <w:ilvl w:val="0"/>
          <w:numId w:val="3"/>
        </w:numPr>
        <w:jc w:val="both"/>
        <w:rPr>
          <w:rFonts w:ascii="Times New Roman" w:hAnsi="Times New Roman" w:cs="Times New Roman"/>
          <w:sz w:val="22"/>
          <w:u w:val="single"/>
        </w:rPr>
      </w:pPr>
      <w:r>
        <w:rPr>
          <w:rFonts w:cs="Times New Roman" w:ascii="Times New Roman" w:hAnsi="Times New Roman"/>
          <w:sz w:val="22"/>
        </w:rPr>
        <w:t>Permanent Policy Limits</w:t>
        <w:tab/>
        <w:tab/>
        <w:tab/>
        <w:tab/>
      </w:r>
      <w:r>
        <w:rPr>
          <w:rFonts w:cs="Times New Roman" w:ascii="Times New Roman" w:hAnsi="Times New Roman"/>
          <w:sz w:val="22"/>
          <w:u w:val="single"/>
        </w:rPr>
        <w:tab/>
      </w:r>
    </w:p>
    <w:p>
      <w:pPr>
        <w:pStyle w:val="Normal"/>
        <w:numPr>
          <w:ilvl w:val="0"/>
          <w:numId w:val="3"/>
        </w:numPr>
        <w:jc w:val="both"/>
        <w:rPr>
          <w:rFonts w:ascii="Times New Roman" w:hAnsi="Times New Roman" w:cs="Times New Roman"/>
          <w:sz w:val="22"/>
          <w:u w:val="single"/>
        </w:rPr>
      </w:pPr>
      <w:r>
        <w:rPr>
          <w:rFonts w:cs="Times New Roman" w:ascii="Times New Roman" w:hAnsi="Times New Roman"/>
          <w:sz w:val="22"/>
        </w:rPr>
        <w:t>Change in Permanent Policy Limits</w:t>
        <w:tab/>
        <w:tab/>
        <w:tab/>
      </w:r>
      <w:r>
        <w:rPr>
          <w:rFonts w:cs="Times New Roman" w:ascii="Times New Roman" w:hAnsi="Times New Roman"/>
          <w:sz w:val="22"/>
          <w:u w:val="single"/>
        </w:rPr>
        <w:tab/>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Discretionary VaR Allocation</w:t>
        <w:tab/>
        <w:tab/>
        <w:tab/>
      </w:r>
      <w:r>
        <w:rPr>
          <w:rFonts w:cs="Times New Roman" w:ascii="Times New Roman" w:hAnsi="Times New Roman"/>
          <w:sz w:val="22"/>
          <w:u w:val="single"/>
        </w:rPr>
        <w:tab/>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Other</w:t>
        <w:tab/>
        <w:tab/>
        <w:tab/>
        <w:tab/>
        <w:tab/>
        <w:tab/>
        <w:t>___X___</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Objective:</w:t>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7"/>
        </w:numPr>
        <w:jc w:val="both"/>
        <w:rPr>
          <w:rFonts w:ascii="Times New Roman" w:hAnsi="Times New Roman" w:cs="Times New Roman"/>
          <w:sz w:val="22"/>
        </w:rPr>
      </w:pPr>
      <w:r>
        <w:rPr>
          <w:rFonts w:cs="Times New Roman" w:ascii="Times New Roman" w:hAnsi="Times New Roman"/>
          <w:sz w:val="22"/>
        </w:rPr>
        <w:t>Hedge to mitigate interest rate exposure on EES’ electric transmission and distribution positions.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Products:</w:t>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 xml:space="preserve">Amortizing LIBOR Swap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Frequency:</w:t>
      </w:r>
    </w:p>
    <w:p>
      <w:pPr>
        <w:pStyle w:val="Normal"/>
        <w:jc w:val="both"/>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6"/>
        </w:numPr>
        <w:jc w:val="both"/>
        <w:rPr>
          <w:rFonts w:ascii="Times New Roman" w:hAnsi="Times New Roman" w:cs="Times New Roman"/>
          <w:sz w:val="22"/>
        </w:rPr>
      </w:pPr>
      <w:r>
        <w:rPr>
          <w:rFonts w:cs="Times New Roman" w:ascii="Times New Roman" w:hAnsi="Times New Roman"/>
          <w:sz w:val="22"/>
        </w:rPr>
        <w:t>Monthly or as large deals are transacted.</w:t>
      </w:r>
    </w:p>
    <w:p>
      <w:pPr>
        <w:pStyle w:val="Normal"/>
        <w:jc w:val="both"/>
        <w:rPr>
          <w:rFonts w:ascii="Times New Roman" w:hAnsi="Times New Roman" w:cs="Times New Roman"/>
          <w:sz w:val="22"/>
        </w:rPr>
      </w:pPr>
      <w:r>
        <w:rPr>
          <w:rFonts w:cs="Times New Roman" w:ascii="Times New Roman" w:hAnsi="Times New Roman"/>
          <w:sz w:val="22"/>
        </w:rPr>
      </w:r>
    </w:p>
    <w:p>
      <w:pPr>
        <w:pStyle w:val="Heading7"/>
        <w:ind w:hanging="0" w:start="0"/>
        <w:rPr/>
      </w:pPr>
      <w:r>
        <w:rPr/>
        <w:t>Markets approved for trading</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North America</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Background:</w:t>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7"/>
        </w:numPr>
        <w:jc w:val="both"/>
        <w:rPr>
          <w:rFonts w:ascii="Times New Roman" w:hAnsi="Times New Roman" w:cs="Times New Roman"/>
          <w:sz w:val="22"/>
        </w:rPr>
      </w:pPr>
      <w:r>
        <w:rPr>
          <w:rFonts w:cs="Times New Roman" w:ascii="Times New Roman" w:hAnsi="Times New Roman"/>
          <w:sz w:val="22"/>
          <w:u w:val="single"/>
        </w:rPr>
        <w:t>Description of Product</w:t>
      </w:r>
      <w:r>
        <w:rPr>
          <w:rFonts w:cs="Times New Roman" w:ascii="Times New Roman" w:hAnsi="Times New Roman"/>
          <w:sz w:val="22"/>
        </w:rPr>
        <w:t xml:space="preserve"> : Hedge to mitigate interest rate exposure on EES’ electric transmission and distribution positions.</w:t>
      </w:r>
    </w:p>
    <w:p>
      <w:pPr>
        <w:pStyle w:val="Normal"/>
        <w:numPr>
          <w:ilvl w:val="0"/>
          <w:numId w:val="7"/>
        </w:numPr>
        <w:jc w:val="both"/>
        <w:rPr>
          <w:rFonts w:ascii="Times New Roman" w:hAnsi="Times New Roman" w:cs="Times New Roman"/>
          <w:sz w:val="22"/>
        </w:rPr>
      </w:pPr>
      <w:r>
        <w:rPr>
          <w:rFonts w:cs="Times New Roman" w:ascii="Times New Roman" w:hAnsi="Times New Roman"/>
          <w:sz w:val="22"/>
          <w:u w:val="single"/>
        </w:rPr>
        <w:t>Size of Market</w:t>
      </w:r>
      <w:r>
        <w:rPr>
          <w:rFonts w:cs="Times New Roman" w:ascii="Times New Roman" w:hAnsi="Times New Roman"/>
          <w:sz w:val="22"/>
        </w:rPr>
        <w:t xml:space="preserve"> : Approximately $1 billion PV Cashflows</w:t>
      </w:r>
    </w:p>
    <w:p>
      <w:pPr>
        <w:pStyle w:val="Normal"/>
        <w:numPr>
          <w:ilvl w:val="0"/>
          <w:numId w:val="7"/>
        </w:numPr>
        <w:jc w:val="both"/>
        <w:rPr>
          <w:rFonts w:ascii="Times New Roman" w:hAnsi="Times New Roman" w:cs="Times New Roman"/>
          <w:sz w:val="22"/>
        </w:rPr>
      </w:pPr>
      <w:r>
        <w:rPr>
          <w:rFonts w:cs="Times New Roman" w:ascii="Times New Roman" w:hAnsi="Times New Roman"/>
          <w:sz w:val="22"/>
          <w:u w:val="single"/>
        </w:rPr>
        <w:t>Growth Rate</w:t>
      </w:r>
      <w:r>
        <w:rPr>
          <w:rFonts w:cs="Times New Roman" w:ascii="Times New Roman" w:hAnsi="Times New Roman"/>
          <w:sz w:val="22"/>
        </w:rPr>
        <w:t xml:space="preserve"> : Equivalent to portfolio growth</w:t>
      </w:r>
    </w:p>
    <w:p>
      <w:pPr>
        <w:pStyle w:val="Normal"/>
        <w:numPr>
          <w:ilvl w:val="0"/>
          <w:numId w:val="7"/>
        </w:numPr>
        <w:jc w:val="both"/>
        <w:rPr>
          <w:rFonts w:ascii="Times New Roman" w:hAnsi="Times New Roman" w:cs="Times New Roman"/>
          <w:sz w:val="22"/>
        </w:rPr>
      </w:pPr>
      <w:r>
        <w:rPr>
          <w:rFonts w:cs="Times New Roman" w:ascii="Times New Roman" w:hAnsi="Times New Roman"/>
          <w:sz w:val="22"/>
          <w:u w:val="single"/>
        </w:rPr>
        <w:t>Number of Market Participants</w:t>
      </w:r>
      <w:r>
        <w:rPr>
          <w:rFonts w:cs="Times New Roman" w:ascii="Times New Roman" w:hAnsi="Times New Roman"/>
          <w:sz w:val="22"/>
        </w:rPr>
        <w:t xml:space="preserve"> : N/A</w:t>
      </w:r>
    </w:p>
    <w:p>
      <w:pPr>
        <w:pStyle w:val="Normal"/>
        <w:numPr>
          <w:ilvl w:val="0"/>
          <w:numId w:val="7"/>
        </w:numPr>
        <w:jc w:val="both"/>
        <w:rPr>
          <w:rFonts w:ascii="Times New Roman" w:hAnsi="Times New Roman" w:cs="Times New Roman"/>
          <w:sz w:val="22"/>
        </w:rPr>
      </w:pPr>
      <w:r>
        <w:rPr>
          <w:rFonts w:cs="Times New Roman" w:ascii="Times New Roman" w:hAnsi="Times New Roman"/>
          <w:sz w:val="22"/>
          <w:u w:val="single"/>
        </w:rPr>
        <w:t xml:space="preserve">Concentration of Market Share </w:t>
      </w:r>
      <w:r>
        <w:rPr>
          <w:rFonts w:cs="Times New Roman" w:ascii="Times New Roman" w:hAnsi="Times New Roman"/>
          <w:sz w:val="22"/>
        </w:rPr>
        <w:t>: N/A</w:t>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Body"/>
        <w:rPr>
          <w:rFonts w:ascii="Times New Roman" w:hAnsi="Times New Roman" w:cs="Times New Roman"/>
          <w:color w:val="auto"/>
          <w:sz w:val="22"/>
        </w:rPr>
      </w:pPr>
      <w:r>
        <w:rPr>
          <w:rFonts w:cs="Times New Roman" w:ascii="Times New Roman" w:hAnsi="Times New Roman"/>
          <w:color w:val="auto"/>
          <w:sz w:val="22"/>
        </w:rPr>
        <w:t>Transmission and Distribution cash flows combined are approximately $1 Billion discounted value and are sensitive to changes in interest rates and inflation through Cost-of-Service and Performance-Based ratemaking methodologies.</w:t>
      </w:r>
    </w:p>
    <w:p>
      <w:pPr>
        <w:pStyle w:val="Body"/>
        <w:rPr>
          <w:rFonts w:ascii="Times New Roman" w:hAnsi="Times New Roman" w:cs="Times New Roman"/>
          <w:color w:val="auto"/>
          <w:sz w:val="22"/>
        </w:rPr>
      </w:pPr>
      <w:r>
        <w:rPr>
          <w:rFonts w:cs="Times New Roman" w:ascii="Times New Roman" w:hAnsi="Times New Roman"/>
          <w:color w:val="auto"/>
          <w:sz w:val="22"/>
        </w:rPr>
      </w:r>
    </w:p>
    <w:p>
      <w:pPr>
        <w:pStyle w:val="Body"/>
        <w:rPr>
          <w:rFonts w:ascii="Times New Roman" w:hAnsi="Times New Roman" w:cs="Times New Roman"/>
          <w:color w:val="auto"/>
          <w:sz w:val="22"/>
        </w:rPr>
      </w:pPr>
      <w:r>
        <w:rPr>
          <w:rFonts w:cs="Times New Roman" w:ascii="Times New Roman" w:hAnsi="Times New Roman"/>
          <w:color w:val="auto"/>
          <w:sz w:val="22"/>
        </w:rPr>
        <w:t xml:space="preserve">EES Utility Risk Management Group (URM) has isolated and estimated the impact of interest rates and inflation on forward transmission and distribution curves.  Interest rates were correlated to Allowed-Rate-of-Return for utilities under Cost-of-Service regulation.  For utilities under Performance Based Rate regulation, interest rates were correlated to inflation. </w:t>
      </w:r>
    </w:p>
    <w:p>
      <w:pPr>
        <w:pStyle w:val="Normal"/>
        <w:ind w:hanging="2160" w:start="2160" w:end="0"/>
        <w:jc w:val="both"/>
        <w:rPr>
          <w:rFonts w:ascii="Times New Roman" w:hAnsi="Times New Roman" w:cs="Times New Roman"/>
          <w:b/>
          <w:color w:val="auto"/>
          <w:sz w:val="22"/>
          <w:u w:val="single"/>
        </w:rPr>
      </w:pPr>
      <w:r>
        <w:rPr>
          <w:rFonts w:cs="Times New Roman" w:ascii="Times New Roman" w:hAnsi="Times New Roman"/>
          <w:b/>
          <w:color w:val="auto"/>
          <w:sz w:val="22"/>
          <w:u w:val="single"/>
        </w:rPr>
      </w:r>
    </w:p>
    <w:p>
      <w:pPr>
        <w:pStyle w:val="Normal"/>
        <w:tabs>
          <w:tab w:val="clear" w:pos="540"/>
          <w:tab w:val="left" w:pos="0" w:leader="none"/>
          <w:tab w:val="left" w:pos="4320" w:leader="none"/>
        </w:tabs>
        <w:ind w:hanging="3240" w:start="324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tabs>
          <w:tab w:val="left" w:pos="5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b/>
          <w:sz w:val="22"/>
          <w:u w:val="single"/>
        </w:rPr>
        <w:t>Strategy:</w:t>
      </w:r>
    </w:p>
    <w:p>
      <w:pPr>
        <w:pStyle w:val="Normal"/>
        <w:tabs>
          <w:tab w:val="left" w:pos="5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b/>
          <w:color w:val="auto"/>
          <w:sz w:val="22"/>
          <w:u w:val="single"/>
        </w:rPr>
      </w:pPr>
      <w:r>
        <w:rPr>
          <w:rFonts w:cs="Times New Roman" w:ascii="Times New Roman" w:hAnsi="Times New Roman"/>
          <w:b/>
          <w:color w:val="auto"/>
          <w:sz w:val="22"/>
          <w:u w:val="single"/>
        </w:rPr>
        <w:t>Risk Mitigation</w:t>
      </w:r>
    </w:p>
    <w:p>
      <w:pPr>
        <w:pStyle w:val="Body"/>
        <w:rPr>
          <w:rFonts w:ascii="Times New Roman" w:hAnsi="Times New Roman" w:cs="Times New Roman"/>
          <w:b/>
          <w:color w:val="auto"/>
          <w:sz w:val="22"/>
          <w:u w:val="single"/>
        </w:rPr>
      </w:pPr>
      <w:r>
        <w:rPr>
          <w:rFonts w:cs="Times New Roman" w:ascii="Times New Roman" w:hAnsi="Times New Roman"/>
          <w:b/>
          <w:color w:val="auto"/>
          <w:sz w:val="22"/>
          <w:u w:val="single"/>
        </w:rPr>
      </w:r>
    </w:p>
    <w:p>
      <w:pPr>
        <w:pStyle w:val="Body"/>
        <w:rPr>
          <w:rFonts w:ascii="Times New Roman" w:hAnsi="Times New Roman" w:cs="Times New Roman"/>
          <w:color w:val="auto"/>
          <w:sz w:val="22"/>
        </w:rPr>
      </w:pPr>
      <w:r>
        <w:rPr>
          <w:rFonts w:cs="Times New Roman" w:ascii="Times New Roman" w:hAnsi="Times New Roman"/>
          <w:color w:val="auto"/>
          <w:sz w:val="22"/>
        </w:rPr>
        <w:t>The model estimates a daily and annual VaR of $1.1MM and $17.3MM respectively.</w:t>
      </w:r>
    </w:p>
    <w:p>
      <w:pPr>
        <w:pStyle w:val="Body"/>
        <w:rPr>
          <w:rFonts w:ascii="Times New Roman" w:hAnsi="Times New Roman" w:cs="Times New Roman"/>
          <w:color w:val="auto"/>
          <w:sz w:val="22"/>
        </w:rPr>
      </w:pPr>
      <w:r>
        <w:rPr>
          <w:rFonts w:cs="Times New Roman" w:ascii="Times New Roman" w:hAnsi="Times New Roman"/>
          <w:color w:val="auto"/>
          <w:sz w:val="22"/>
        </w:rPr>
      </w:r>
    </w:p>
    <w:p>
      <w:pPr>
        <w:pStyle w:val="Body"/>
        <w:rPr>
          <w:rFonts w:ascii="Times New Roman" w:hAnsi="Times New Roman" w:cs="Times New Roman"/>
          <w:color w:val="auto"/>
          <w:sz w:val="22"/>
        </w:rPr>
      </w:pPr>
      <w:r>
        <w:rPr>
          <w:rFonts w:cs="Times New Roman" w:ascii="Times New Roman" w:hAnsi="Times New Roman"/>
          <w:color w:val="auto"/>
          <w:sz w:val="22"/>
        </w:rPr>
        <w:t>Since URM is not authorized to take a position regarding interest rates, the Value-at-Risk Mitigation strategy will be to target a net VaR equal to zero.  In order to minimize hedging transaction costs when VaR diverges from zero due to fluctuations in EES’ Mwh position, changes in regulatory assumptions, hedge slippage, and other factors, it is recommended that VaR be set at $900k.  This limit was calculated by taking the difference in PV between the highest and expected level of interest rate volatility observed over the past ten years ($100k), maximum recorded monthly slippage ($100k), and potential regulatory uncertainty (1 month shift in rate freeze = $100k) times the expected 2001 volume increase of approximately 200%.</w:t>
      </w:r>
    </w:p>
    <w:p>
      <w:pPr>
        <w:pStyle w:val="Body"/>
        <w:rPr>
          <w:rFonts w:ascii="Times New Roman" w:hAnsi="Times New Roman" w:cs="Times New Roman"/>
          <w:color w:val="auto"/>
          <w:sz w:val="22"/>
        </w:rPr>
      </w:pPr>
      <w:r>
        <w:rPr>
          <w:rFonts w:cs="Times New Roman" w:ascii="Times New Roman" w:hAnsi="Times New Roman"/>
          <w:color w:val="auto"/>
          <w:sz w:val="22"/>
        </w:rPr>
      </w:r>
    </w:p>
    <w:p>
      <w:pPr>
        <w:pStyle w:val="Body"/>
        <w:rPr>
          <w:rFonts w:ascii="Times New Roman" w:hAnsi="Times New Roman" w:cs="Times New Roman"/>
          <w:color w:val="auto"/>
          <w:sz w:val="22"/>
        </w:rPr>
      </w:pPr>
      <w:r>
        <w:rPr>
          <w:rFonts w:cs="Times New Roman" w:ascii="Times New Roman" w:hAnsi="Times New Roman"/>
          <w:color w:val="auto"/>
          <w:sz w:val="22"/>
        </w:rPr>
        <w:t>VaR will be run daily taking into account changes in the position and changes in URM’s forecast assumptions.</w:t>
      </w:r>
    </w:p>
    <w:p>
      <w:pPr>
        <w:pStyle w:val="Body"/>
        <w:rPr>
          <w:rFonts w:ascii="Times New Roman" w:hAnsi="Times New Roman" w:cs="Times New Roman"/>
          <w:color w:val="auto"/>
          <w:sz w:val="22"/>
        </w:rPr>
      </w:pPr>
      <w:r>
        <w:rPr>
          <w:rFonts w:cs="Times New Roman" w:ascii="Times New Roman" w:hAnsi="Times New Roman"/>
          <w:color w:val="auto"/>
          <w:sz w:val="22"/>
        </w:rPr>
      </w:r>
    </w:p>
    <w:p>
      <w:pPr>
        <w:pStyle w:val="Body"/>
        <w:rPr>
          <w:rFonts w:ascii="Times New Roman" w:hAnsi="Times New Roman" w:cs="Times New Roman"/>
          <w:b/>
          <w:color w:val="auto"/>
          <w:sz w:val="22"/>
          <w:u w:val="single"/>
        </w:rPr>
      </w:pPr>
      <w:r>
        <w:rPr>
          <w:rFonts w:cs="Times New Roman" w:ascii="Times New Roman" w:hAnsi="Times New Roman"/>
          <w:b/>
          <w:color w:val="auto"/>
          <w:sz w:val="22"/>
          <w:u w:val="single"/>
        </w:rPr>
        <w:t>Hedging Process</w:t>
      </w:r>
    </w:p>
    <w:p>
      <w:pPr>
        <w:pStyle w:val="Body"/>
        <w:rPr>
          <w:rFonts w:ascii="Times New Roman" w:hAnsi="Times New Roman" w:cs="Times New Roman"/>
          <w:b/>
          <w:color w:val="auto"/>
          <w:sz w:val="22"/>
          <w:u w:val="single"/>
        </w:rPr>
      </w:pPr>
      <w:r>
        <w:rPr>
          <w:rFonts w:cs="Times New Roman" w:ascii="Times New Roman" w:hAnsi="Times New Roman"/>
          <w:b/>
          <w:color w:val="auto"/>
          <w:sz w:val="22"/>
          <w:u w:val="single"/>
        </w:rPr>
      </w:r>
    </w:p>
    <w:p>
      <w:pPr>
        <w:pStyle w:val="Body"/>
        <w:rPr>
          <w:rFonts w:ascii="Times New Roman" w:hAnsi="Times New Roman" w:cs="Times New Roman"/>
          <w:color w:val="auto"/>
          <w:sz w:val="22"/>
        </w:rPr>
      </w:pPr>
      <w:r>
        <w:rPr>
          <w:rFonts w:cs="Times New Roman" w:ascii="Times New Roman" w:hAnsi="Times New Roman"/>
          <w:color w:val="auto"/>
          <w:sz w:val="22"/>
        </w:rPr>
        <w:t>The Interest Rate Foreign Exchange Desk (IRFX) designed a LIBOR swap instrument to provide equivalent and opposite MTM valuation from URM’s portfolio value change subject to changes in interest rates.  This instrument was constructed using calculated Partial Derivative Hedge ratios (PDH) from twenty-eight observed rates.  The overall PV-01 is approximately $108k.  With an expected Mid-Offer spread of 2.5 basis points, the day one P&amp;L effect from execution is expected to be approximately $270k.</w:t>
      </w:r>
    </w:p>
    <w:p>
      <w:pPr>
        <w:pStyle w:val="Body"/>
        <w:rPr>
          <w:rFonts w:ascii="Times New Roman" w:hAnsi="Times New Roman" w:cs="Times New Roman"/>
          <w:color w:val="auto"/>
          <w:sz w:val="22"/>
        </w:rPr>
      </w:pPr>
      <w:r>
        <w:rPr>
          <w:rFonts w:cs="Times New Roman" w:ascii="Times New Roman" w:hAnsi="Times New Roman"/>
          <w:color w:val="auto"/>
          <w:sz w:val="22"/>
        </w:rPr>
      </w:r>
    </w:p>
    <w:p>
      <w:pPr>
        <w:pStyle w:val="Body"/>
        <w:rPr>
          <w:rFonts w:ascii="Times New Roman" w:hAnsi="Times New Roman" w:cs="Times New Roman"/>
          <w:color w:val="auto"/>
          <w:sz w:val="22"/>
        </w:rPr>
      </w:pPr>
      <w:r>
        <w:rPr>
          <w:rFonts w:cs="Times New Roman" w:ascii="Times New Roman" w:hAnsi="Times New Roman"/>
          <w:color w:val="auto"/>
          <w:sz w:val="22"/>
        </w:rPr>
        <w:t xml:space="preserve">Backtesting over three months revealed a cumulative slippage between the model and the swap of $175k (Attachment A).  Due to the this slippage, changes in EES Mwh position, changes in regulatory assumptions, and other factors it is expected that the VaR will deviate from zero and swap will need to be rebalanced monthly and as VaR approaches the allowed limit.    </w:t>
      </w:r>
    </w:p>
    <w:p>
      <w:pPr>
        <w:pStyle w:val="Body"/>
        <w:rPr>
          <w:rFonts w:ascii="Times New Roman" w:hAnsi="Times New Roman" w:cs="Times New Roman"/>
          <w:color w:val="auto"/>
          <w:sz w:val="22"/>
        </w:rPr>
      </w:pPr>
      <w:r>
        <w:rPr>
          <w:rFonts w:cs="Times New Roman" w:ascii="Times New Roman" w:hAnsi="Times New Roman"/>
          <w:color w:val="auto"/>
          <w:sz w:val="22"/>
        </w:rPr>
      </w:r>
    </w:p>
    <w:p>
      <w:pPr>
        <w:pStyle w:val="Body"/>
        <w:rPr>
          <w:rFonts w:ascii="Times New Roman" w:hAnsi="Times New Roman" w:cs="Times New Roman"/>
          <w:color w:val="auto"/>
          <w:sz w:val="22"/>
        </w:rPr>
      </w:pPr>
      <w:r>
        <w:rPr>
          <w:rFonts w:cs="Times New Roman" w:ascii="Times New Roman" w:hAnsi="Times New Roman"/>
          <w:color w:val="auto"/>
          <w:sz w:val="22"/>
        </w:rPr>
        <w:t>This rebalancing will be a joint effort between URM and IRFX.  Individual instrument PdH’s and overall PV-01 will be recalculated in order to re-calibrate the swap position.</w:t>
      </w:r>
    </w:p>
    <w:p>
      <w:pPr>
        <w:pStyle w:val="Normal"/>
        <w:tabs>
          <w:tab w:val="left" w:pos="540" w:leader="none"/>
          <w:tab w:val="left" w:pos="3240" w:leader="none"/>
          <w:tab w:val="left" w:pos="4320" w:leader="none"/>
        </w:tabs>
        <w:jc w:val="both"/>
        <w:rPr>
          <w:rFonts w:ascii="Times New Roman" w:hAnsi="Times New Roman" w:cs="Times New Roman"/>
          <w:color w:val="auto"/>
          <w:sz w:val="22"/>
        </w:rPr>
      </w:pPr>
      <w:r>
        <w:rPr>
          <w:rFonts w:cs="Times New Roman" w:ascii="Times New Roman" w:hAnsi="Times New Roman"/>
          <w:color w:val="auto"/>
          <w:sz w:val="22"/>
        </w:rPr>
      </w:r>
    </w:p>
    <w:p>
      <w:pPr>
        <w:pStyle w:val="Heading6"/>
        <w:jc w:val="start"/>
        <w:rPr/>
      </w:pPr>
      <w:r>
        <w:rPr/>
        <w:t>Book Architecture</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Transmission and distribution delivery cashflows are marked-to-market.  As interest rates change so will the value of the portfolio.  Currently, the T&amp;D curves are updated in the book monthly.  The swap will be revalued daily by IRFX.  Until the tariff curves are decomposed to allow for discreet valuation of tariff risk components in the system daily, the manual swap model will be used to estimate daily movement in the book.  The daily P&amp;L will be reported in the internal Management Position Report.  The monthly P&amp;L will be reported in the DPR at the end of each month when the T&amp;D curves are updated.</w:t>
      </w:r>
    </w:p>
    <w:p>
      <w:pPr>
        <w:pStyle w:val="Normal"/>
        <w:tabs>
          <w:tab w:val="left" w:pos="540" w:leader="none"/>
          <w:tab w:val="left" w:pos="2520" w:leader="none"/>
        </w:tabs>
        <w:rPr>
          <w:rFonts w:ascii="Times New Roman" w:hAnsi="Times New Roman" w:cs="Times New Roman"/>
          <w:sz w:val="22"/>
        </w:rPr>
      </w:pPr>
      <w:r>
        <w:rPr>
          <w:rFonts w:cs="Times New Roman" w:ascii="Times New Roman" w:hAnsi="Times New Roman"/>
          <w:sz w:val="22"/>
        </w:rPr>
      </w:r>
    </w:p>
    <w:p>
      <w:pPr>
        <w:pStyle w:val="Heading6"/>
        <w:jc w:val="start"/>
        <w:rPr/>
      </w:pPr>
      <w:r>
        <w:rPr/>
        <w:t>Risk Assessment Detail</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left" w:pos="540" w:leader="none"/>
          <w:tab w:val="left" w:pos="2520" w:leader="none"/>
        </w:tabs>
        <w:rPr>
          <w:rFonts w:ascii="Times New Roman" w:hAnsi="Times New Roman" w:cs="Times New Roman"/>
          <w:sz w:val="22"/>
        </w:rPr>
      </w:pPr>
      <w:r>
        <w:rPr>
          <w:rFonts w:cs="Times New Roman" w:ascii="Times New Roman" w:hAnsi="Times New Roman"/>
          <w:sz w:val="22"/>
        </w:rPr>
        <w:t>Attachment B</w:t>
      </w:r>
    </w:p>
    <w:p>
      <w:pPr>
        <w:pStyle w:val="Normal"/>
        <w:tabs>
          <w:tab w:val="left" w:pos="540" w:leader="none"/>
          <w:tab w:val="left" w:pos="2520" w:leader="none"/>
        </w:tabs>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2520" w:leader="none"/>
        </w:tabs>
        <w:rPr/>
      </w:pPr>
      <w:r>
        <w:rPr>
          <w:rFonts w:cs="Times New Roman" w:ascii="Times New Roman" w:hAnsi="Times New Roman"/>
          <w:sz w:val="22"/>
        </w:rPr>
        <w:tab/>
      </w:r>
      <w:r>
        <w:rPr>
          <w:rFonts w:cs="Times New Roman" w:ascii="Times New Roman" w:hAnsi="Times New Roman"/>
          <w:b/>
          <w:sz w:val="22"/>
        </w:rPr>
        <w:tab/>
      </w:r>
      <w:r>
        <w:rPr>
          <w:rFonts w:cs="Times New Roman" w:ascii="Times New Roman" w:hAnsi="Times New Roman"/>
          <w:sz w:val="22"/>
        </w:rPr>
        <w:tab/>
        <w:tab/>
      </w:r>
    </w:p>
    <w:p>
      <w:pPr>
        <w:pStyle w:val="Heading6"/>
        <w:jc w:val="start"/>
        <w:rPr/>
      </w:pPr>
      <w:r>
        <w:rPr/>
        <w:t>Authorized Traders</w:t>
      </w:r>
    </w:p>
    <w:p>
      <w:pPr>
        <w:pStyle w:val="Normal"/>
        <w:rPr>
          <w:rFonts w:ascii="Times New Roman" w:hAnsi="Times New Roman" w:cs="Times New Roman"/>
          <w:sz w:val="22"/>
        </w:rPr>
      </w:pPr>
      <w:r>
        <w:rPr>
          <w:rFonts w:cs="Times New Roman" w:ascii="Times New Roman" w:hAnsi="Times New Roman"/>
          <w:sz w:val="22"/>
        </w:rPr>
      </w:r>
    </w:p>
    <w:p>
      <w:pPr>
        <w:pStyle w:val="Heading6"/>
        <w:numPr>
          <w:ilvl w:val="0"/>
          <w:numId w:val="2"/>
        </w:numPr>
        <w:jc w:val="start"/>
        <w:rPr>
          <w:b w:val="false"/>
          <w:u w:val="none"/>
        </w:rPr>
      </w:pPr>
      <w:r>
        <w:rPr>
          <w:b w:val="false"/>
          <w:u w:val="none"/>
        </w:rPr>
        <w:t>Scott Stoness</w:t>
      </w:r>
    </w:p>
    <w:p>
      <w:pPr>
        <w:pStyle w:val="BodyText"/>
        <w:rPr>
          <w:b/>
          <w:u w:val="none"/>
        </w:rPr>
      </w:pPr>
      <w:r>
        <w:rPr>
          <w:b/>
          <w:u w:val="none"/>
        </w:rPr>
      </w:r>
      <w:r>
        <w:br w:type="page"/>
      </w:r>
    </w:p>
    <w:p>
      <w:pPr>
        <w:pStyle w:val="BodyText"/>
        <w:jc w:val="start"/>
        <w:rPr>
          <w:b/>
          <w:u w:val="single"/>
        </w:rPr>
      </w:pPr>
      <w:r>
        <w:rPr>
          <w:b/>
          <w:u w:val="single"/>
        </w:rPr>
        <w:t>Approvals</w:t>
      </w:r>
    </w:p>
    <w:p>
      <w:pPr>
        <w:pStyle w:val="Normal"/>
        <w:tabs>
          <w:tab w:val="left" w:pos="540" w:leader="none"/>
          <w:tab w:val="left" w:pos="2520" w:leader="none"/>
        </w:tabs>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BodyText"/>
        <w:rPr/>
      </w:pPr>
      <w:r>
        <w:rPr/>
        <w:t>The aforementioned limits are effective on _________, subject to completion of the items listed in the</w:t>
      </w:r>
      <w:r>
        <w:rPr>
          <w:b/>
        </w:rPr>
        <w:t xml:space="preserve"> Conditions Precedent</w:t>
      </w:r>
      <w:r>
        <w:rPr/>
        <w:t xml:space="preserve"> section, and shall remain in place unless amended by the signatories through the end of _____ (no more than 6 months for new commodity).  </w:t>
      </w:r>
    </w:p>
    <w:p>
      <w:pPr>
        <w:pStyle w:val="BodyText"/>
        <w:rPr/>
      </w:pPr>
      <w:r>
        <w:rPr/>
      </w:r>
    </w:p>
    <w:p>
      <w:pPr>
        <w:pStyle w:val="BodyText"/>
        <w:rPr/>
      </w:pPr>
      <w:r>
        <w:rPr/>
        <w:t xml:space="preserve">Signature below signifies this function will have the infrastructure in place to handle this new business, unless noted above in the </w:t>
      </w:r>
      <w:r>
        <w:rPr>
          <w:b/>
        </w:rPr>
        <w:t>Conditions Precedent</w:t>
      </w:r>
      <w:r>
        <w:rPr/>
        <w:t xml:space="preserve"> section.</w:t>
      </w:r>
    </w:p>
    <w:p>
      <w:pPr>
        <w:pStyle w:val="BodyText"/>
        <w:rPr/>
      </w:pPr>
      <w:r>
        <w:rPr/>
        <w:tab/>
        <w:tab/>
        <w:tab/>
        <w:tab/>
        <w:tab/>
        <w:tab/>
        <w:t xml:space="preserve">          </w:t>
      </w:r>
      <w:r>
        <w:rPr>
          <w:b/>
        </w:rPr>
        <w:t>Approved</w:t>
        <w:tab/>
        <w:tab/>
        <w:tab/>
        <w:tab/>
        <w:t>Date</w:t>
      </w:r>
    </w:p>
    <w:p>
      <w:pPr>
        <w:pStyle w:val="BodyText"/>
        <w:rPr>
          <w:b/>
        </w:rPr>
      </w:pPr>
      <w:r>
        <w:rPr>
          <w:b/>
        </w:rPr>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VP Risk Management – Business Unit</w:t>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(Don Black)</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VP Risk Controls – Business Unit</w:t>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(Wanda Curry)</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COO or CEO – Business Unit</w:t>
        <w:tab/>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(Marty Sunde)</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Research</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(Vince Kaminski)</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Accounting</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(Meredith Eggleston)</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Regulatory Assessment</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(Jim Steffes)</w:t>
        <w:tab/>
        <w:tab/>
        <w:t>_______________________________               _____________</w:t>
      </w:r>
    </w:p>
    <w:p>
      <w:pPr>
        <w:pStyle w:val="Normal"/>
        <w:tabs>
          <w:tab w:val="left" w:pos="540" w:leader="none"/>
          <w:tab w:val="left" w:pos="32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2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1793653723"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2000-12-04T21:57:00Z</dcterms:created>
  <dc:creator>Jeff Ford</dc:creator>
  <dc:description/>
  <dc:language>en-CA</dc:language>
  <cp:lastModifiedBy>dfoti</cp:lastModifiedBy>
  <cp:lastPrinted>2000-12-05T08:56:00Z</cp:lastPrinted>
  <dcterms:modified xsi:type="dcterms:W3CDTF">2000-12-05T17:26:00Z</dcterms:modified>
  <cp:revision>11</cp:revision>
  <dc:subject/>
  <dc:title>Eron Capital &amp; Trade Resources Memo</dc:title>
</cp:coreProperties>
</file>