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rPr>
          <w:smallCaps/>
        </w:rPr>
      </w:pPr>
      <w:r>
        <w:rPr>
          <w:smallCaps/>
        </w:rPr>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8"/>
        <w:ind w:hanging="0" w:start="0"/>
        <w:rPr/>
      </w:pPr>
      <w:r>
        <w:rPr/>
        <w:t>Interim Grains Report</w:t>
      </w:r>
    </w:p>
    <w:p>
      <w:pPr>
        <w:pStyle w:val="Normal"/>
        <w:jc w:val="center"/>
        <w:rPr>
          <w:sz w:val="48"/>
        </w:rPr>
      </w:pPr>
      <w:r>
        <w:rPr>
          <w:sz w:val="48"/>
        </w:rPr>
      </w:r>
    </w:p>
    <w:p>
      <w:pPr>
        <w:pStyle w:val="Heading9"/>
        <w:ind w:hanging="0" w:start="0"/>
        <w:rPr/>
      </w:pPr>
      <w:r>
        <w:rPr/>
        <w:t>Enron Research</w:t>
      </w:r>
    </w:p>
    <w:p>
      <w:pPr>
        <w:pStyle w:val="Normal"/>
        <w:jc w:val="center"/>
        <w:rPr>
          <w:sz w:val="36"/>
        </w:rPr>
      </w:pPr>
      <w:r>
        <w:rPr>
          <w:sz w:val="36"/>
        </w:rPr>
        <w:t>December 2000</w:t>
      </w:r>
    </w:p>
    <w:p>
      <w:pPr>
        <w:pStyle w:val="Normal"/>
        <w:rPr>
          <w:sz w:val="36"/>
        </w:rPr>
      </w:pPr>
      <w:r>
        <w:rPr>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mallCaps/>
          <w:sz w:val="24"/>
        </w:rPr>
      </w:pPr>
      <w:r>
        <w:rPr>
          <w:b/>
          <w:smallCaps/>
          <w:sz w:val="24"/>
        </w:rPr>
        <w:t>Table of Contents</w:t>
      </w:r>
    </w:p>
    <w:p>
      <w:pPr>
        <w:pStyle w:val="Normal"/>
        <w:rPr>
          <w:b/>
          <w:smallCaps/>
          <w:sz w:val="24"/>
        </w:rPr>
      </w:pPr>
      <w:r>
        <w:rPr>
          <w:b/>
          <w:smallCaps/>
          <w:sz w:val="24"/>
        </w:rPr>
      </w:r>
    </w:p>
    <w:p>
      <w:pPr>
        <w:pStyle w:val="Normal"/>
        <w:rPr>
          <w:smallCaps/>
          <w:sz w:val="24"/>
        </w:rPr>
      </w:pPr>
      <w:r>
        <w:rPr>
          <w:smallCaps/>
          <w:sz w:val="24"/>
        </w:rPr>
        <w:t>I.</w:t>
        <w:tab/>
        <w:t>Summary</w:t>
        <w:tab/>
        <w:tab/>
        <w:tab/>
        <w:tab/>
        <w:tab/>
        <w:tab/>
        <w:tab/>
        <w:tab/>
        <w:tab/>
        <w:t>3</w:t>
      </w:r>
    </w:p>
    <w:p>
      <w:pPr>
        <w:pStyle w:val="Normal"/>
        <w:rPr>
          <w:smallCaps/>
          <w:sz w:val="24"/>
        </w:rPr>
      </w:pPr>
      <w:r>
        <w:rPr>
          <w:smallCaps/>
          <w:sz w:val="24"/>
        </w:rPr>
      </w:r>
    </w:p>
    <w:p>
      <w:pPr>
        <w:pStyle w:val="Normal"/>
        <w:rPr>
          <w:smallCaps/>
          <w:sz w:val="24"/>
        </w:rPr>
      </w:pPr>
      <w:r>
        <w:rPr>
          <w:smallCaps/>
          <w:sz w:val="24"/>
        </w:rPr>
        <w:t>II.</w:t>
        <w:tab/>
        <w:t>Grains Research and Development</w:t>
        <w:tab/>
        <w:tab/>
        <w:tab/>
        <w:tab/>
        <w:tab/>
        <w:t>4</w:t>
      </w:r>
    </w:p>
    <w:p>
      <w:pPr>
        <w:pStyle w:val="Normal"/>
        <w:rPr>
          <w:smallCaps/>
          <w:sz w:val="24"/>
        </w:rPr>
      </w:pPr>
      <w:r>
        <w:rPr>
          <w:smallCaps/>
          <w:sz w:val="24"/>
        </w:rPr>
      </w:r>
    </w:p>
    <w:p>
      <w:pPr>
        <w:pStyle w:val="Normal"/>
        <w:ind w:firstLine="720" w:start="720" w:end="0"/>
        <w:rPr>
          <w:smallCaps/>
          <w:sz w:val="24"/>
        </w:rPr>
      </w:pPr>
      <w:r>
        <w:rPr>
          <w:smallCaps/>
          <w:sz w:val="24"/>
        </w:rPr>
        <w:t>Overview and Approach</w:t>
        <w:tab/>
        <w:tab/>
        <w:tab/>
        <w:tab/>
        <w:tab/>
        <w:tab/>
        <w:t>4</w:t>
      </w:r>
    </w:p>
    <w:p>
      <w:pPr>
        <w:pStyle w:val="Normal"/>
        <w:rPr>
          <w:smallCaps/>
          <w:sz w:val="24"/>
        </w:rPr>
      </w:pPr>
      <w:r>
        <w:rPr>
          <w:smallCaps/>
          <w:sz w:val="24"/>
        </w:rPr>
        <w:tab/>
        <w:tab/>
        <w:t>Wheat</w:t>
        <w:tab/>
        <w:tab/>
        <w:tab/>
        <w:tab/>
        <w:tab/>
        <w:tab/>
        <w:tab/>
        <w:tab/>
        <w:t>4</w:t>
      </w:r>
    </w:p>
    <w:p>
      <w:pPr>
        <w:pStyle w:val="Normal"/>
        <w:rPr>
          <w:smallCaps/>
          <w:sz w:val="24"/>
        </w:rPr>
      </w:pPr>
      <w:r>
        <w:rPr>
          <w:smallCaps/>
          <w:sz w:val="24"/>
        </w:rPr>
        <w:tab/>
        <w:tab/>
        <w:t>Corn</w:t>
        <w:tab/>
        <w:tab/>
        <w:tab/>
        <w:tab/>
        <w:tab/>
        <w:tab/>
        <w:tab/>
        <w:tab/>
        <w:tab/>
        <w:t>8</w:t>
      </w:r>
    </w:p>
    <w:p>
      <w:pPr>
        <w:pStyle w:val="Normal"/>
        <w:rPr>
          <w:smallCaps/>
          <w:sz w:val="24"/>
        </w:rPr>
      </w:pPr>
      <w:r>
        <w:rPr>
          <w:smallCaps/>
          <w:sz w:val="24"/>
        </w:rPr>
      </w:r>
    </w:p>
    <w:p>
      <w:pPr>
        <w:pStyle w:val="Normal"/>
        <w:numPr>
          <w:ilvl w:val="0"/>
          <w:numId w:val="2"/>
        </w:numPr>
        <w:rPr>
          <w:smallCaps/>
          <w:sz w:val="24"/>
        </w:rPr>
      </w:pPr>
      <w:r>
        <w:rPr>
          <w:smallCaps/>
          <w:sz w:val="24"/>
        </w:rPr>
        <w:t>Interim Conclusions and Outline for Future Work</w:t>
        <w:tab/>
        <w:tab/>
        <w:tab/>
        <w:t>11</w:t>
      </w:r>
    </w:p>
    <w:p>
      <w:pPr>
        <w:pStyle w:val="Normal"/>
        <w:rPr>
          <w:smallCaps/>
          <w:sz w:val="24"/>
        </w:rPr>
      </w:pPr>
      <w:r>
        <w:rPr>
          <w:smallCaps/>
          <w:sz w:val="24"/>
        </w:rPr>
      </w:r>
    </w:p>
    <w:p>
      <w:pPr>
        <w:pStyle w:val="Normal"/>
        <w:rPr>
          <w:smallCaps/>
          <w:sz w:val="24"/>
        </w:rPr>
      </w:pPr>
      <w:r>
        <w:rPr>
          <w:smallCaps/>
          <w:sz w:val="24"/>
        </w:rPr>
        <w:t>Appendix A: Definition of Fundamental Model Terms</w:t>
        <w:tab/>
        <w:tab/>
        <w:tab/>
        <w:tab/>
        <w:t>13</w:t>
      </w:r>
    </w:p>
    <w:p>
      <w:pPr>
        <w:pStyle w:val="Normal"/>
        <w:rPr>
          <w:smallCaps/>
          <w:sz w:val="24"/>
        </w:rPr>
      </w:pPr>
      <w:r>
        <w:rPr>
          <w:smallCaps/>
          <w:sz w:val="24"/>
        </w:rPr>
      </w:r>
    </w:p>
    <w:p>
      <w:pPr>
        <w:pStyle w:val="Normal"/>
        <w:rPr>
          <w:smallCaps/>
          <w:sz w:val="24"/>
        </w:rPr>
      </w:pPr>
      <w:r>
        <w:rPr>
          <w:smallCaps/>
          <w:sz w:val="24"/>
        </w:rPr>
        <w:t>Appendix B: Graphical Results from Fundamental Models</w:t>
        <w:tab/>
        <w:tab/>
        <w:tab/>
        <w:t>15</w:t>
      </w:r>
    </w:p>
    <w:p>
      <w:pPr>
        <w:pStyle w:val="Normal"/>
        <w:rPr>
          <w:smallCaps/>
          <w:sz w:val="24"/>
        </w:rPr>
      </w:pPr>
      <w:r>
        <w:rPr>
          <w:smallCaps/>
          <w:sz w:val="24"/>
        </w:rPr>
      </w:r>
    </w:p>
    <w:p>
      <w:pPr>
        <w:pStyle w:val="Normal"/>
        <w:rPr>
          <w:smallCaps/>
          <w:sz w:val="24"/>
        </w:rPr>
      </w:pPr>
      <w:r>
        <w:rPr>
          <w:smallCaps/>
          <w:sz w:val="24"/>
        </w:rPr>
        <w:t>Appendix C: Definition of Production/Yield Model Weather Terms</w:t>
        <w:tab/>
        <w:tab/>
        <w:t>20</w:t>
      </w:r>
    </w:p>
    <w:p>
      <w:pPr>
        <w:pStyle w:val="Normal"/>
        <w:rPr>
          <w:smallCaps/>
          <w:sz w:val="24"/>
        </w:rPr>
      </w:pPr>
      <w:r>
        <w:rPr>
          <w:smallCaps/>
          <w:sz w:val="24"/>
        </w:rPr>
        <w:tab/>
        <w:tab/>
      </w:r>
    </w:p>
    <w:p>
      <w:pPr>
        <w:pStyle w:val="Normal"/>
        <w:rPr>
          <w:smallCaps/>
          <w:sz w:val="24"/>
        </w:rPr>
      </w:pPr>
      <w:r>
        <w:rPr>
          <w:smallCaps/>
          <w:sz w:val="24"/>
        </w:rPr>
        <w:t>Appendix D: Summary of Convenience Yield Data for Forward</w:t>
        <w:tab/>
        <w:tab/>
        <w:t>21</w:t>
      </w:r>
    </w:p>
    <w:p>
      <w:pPr>
        <w:pStyle w:val="Normal"/>
        <w:rPr>
          <w:smallCaps/>
          <w:sz w:val="24"/>
        </w:rPr>
      </w:pPr>
      <w:r>
        <w:rPr>
          <w:smallCaps/>
          <w:sz w:val="24"/>
        </w:rPr>
        <w:tab/>
        <w:tab/>
        <w:t>Curve Models</w:t>
      </w:r>
    </w:p>
    <w:p>
      <w:pPr>
        <w:pStyle w:val="Normal"/>
        <w:rPr>
          <w:smallCaps/>
          <w:sz w:val="24"/>
        </w:rPr>
      </w:pPr>
      <w:r>
        <w:rPr>
          <w:smallCaps/>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4"/>
        </w:numPr>
        <w:ind w:hanging="0" w:start="0"/>
        <w:rPr>
          <w:smallCaps/>
        </w:rPr>
      </w:pPr>
      <w:r>
        <w:rPr>
          <w:smallCaps/>
        </w:rPr>
        <w:t>Summary</w:t>
      </w:r>
    </w:p>
    <w:p>
      <w:pPr>
        <w:pStyle w:val="Normal"/>
        <w:rPr>
          <w:smallCaps/>
          <w:sz w:val="22"/>
        </w:rPr>
      </w:pPr>
      <w:r>
        <w:rPr>
          <w:smallCaps/>
          <w:sz w:val="22"/>
        </w:rPr>
      </w:r>
    </w:p>
    <w:p>
      <w:pPr>
        <w:pStyle w:val="Normal"/>
        <w:rPr>
          <w:sz w:val="21"/>
        </w:rPr>
      </w:pPr>
      <w:r>
        <w:rPr>
          <w:sz w:val="21"/>
        </w:rPr>
        <w:t xml:space="preserve">The total transactional value of the international grains market has been recently estimated at $1 trillion, with approximately 25% of this value associated with unprocessed grains (i.e., wholesale commodities).  Enron’s Agricultural Group aims to enter and transform the physical grain commodities marketplace by initially offering long-term (3-5 year) fixed price deals to grains clients.  This initial strategy will be further enhanced by the development and marketing of a suite of financial and risk management products and services tailored to grains users and other industries that directly support the marketplace.  In support of this general market-making approach and initial short position, Enron’s research and agricultural groups teamed to develop a set of wheat and corn pricing models that may be used to forecast the behavior of these commodities prices one to two years into the future.  Model development and analysis was broken down into three distinct areas: 1) average annual commodity price as a function of fundamental economic factors, 2) commodity production and yield as a function of technology, acreage, and weather, and 3) forward curve pricing as a function of storage costs, interest, and convenience yield. </w:t>
      </w:r>
    </w:p>
    <w:p>
      <w:pPr>
        <w:pStyle w:val="Normal"/>
        <w:rPr>
          <w:sz w:val="21"/>
        </w:rPr>
      </w:pPr>
      <w:r>
        <w:rPr>
          <w:sz w:val="21"/>
        </w:rPr>
      </w:r>
    </w:p>
    <w:p>
      <w:pPr>
        <w:pStyle w:val="Normal"/>
        <w:rPr/>
      </w:pPr>
      <w:r>
        <w:rPr>
          <w:sz w:val="21"/>
        </w:rPr>
        <w:t>For wheat, two fundamental average price models were developed and showed good agreement between actual price and predicted price based on data from 1975 through 1999.  First, the USDA model—based on supply, demand, government supports, and cross-commodity influences—showed a goodness of fit of R</w:t>
      </w:r>
      <w:r>
        <w:rPr>
          <w:sz w:val="21"/>
          <w:vertAlign w:val="superscript"/>
        </w:rPr>
        <w:t>2</w:t>
      </w:r>
      <w:r>
        <w:rPr>
          <w:sz w:val="21"/>
        </w:rPr>
        <w:t>=0.91 for farm-level cash price.  Second, the Enron model—based on the above USDA model factors along with wheat prices from previous years—also showed good agreement with actual wheat cash price values (R</w:t>
      </w:r>
      <w:r>
        <w:rPr>
          <w:sz w:val="21"/>
          <w:vertAlign w:val="superscript"/>
        </w:rPr>
        <w:t>2</w:t>
      </w:r>
      <w:r>
        <w:rPr>
          <w:sz w:val="21"/>
        </w:rPr>
        <w:t>=0.93).</w:t>
      </w:r>
      <w:r>
        <w:rPr>
          <w:color w:val="0000FF"/>
          <w:sz w:val="21"/>
        </w:rPr>
        <w:t xml:space="preserve">  </w:t>
      </w:r>
      <w:r>
        <w:rPr>
          <w:sz w:val="21"/>
        </w:rPr>
        <w:t>Models for wheat production and yield (production per unit acre) were developed based on technology trends, crop area harvested, and weather.  Strong agreement was found between production and the three variables (R</w:t>
      </w:r>
      <w:r>
        <w:rPr>
          <w:sz w:val="21"/>
          <w:vertAlign w:val="superscript"/>
        </w:rPr>
        <w:t>2</w:t>
      </w:r>
      <w:r>
        <w:rPr>
          <w:rFonts w:eastAsia="Symbol" w:cs="Symbol" w:ascii="Symbol" w:hAnsi="Symbol"/>
          <w:sz w:val="21"/>
        </w:rPr>
        <w:sym w:font="Symbol" w:char="f040"/>
      </w:r>
      <w:r>
        <w:rPr>
          <w:sz w:val="21"/>
        </w:rPr>
        <w:t>0.92); however, for yield the goodness of fit results were much weaker (R</w:t>
      </w:r>
      <w:r>
        <w:rPr>
          <w:sz w:val="21"/>
          <w:vertAlign w:val="superscript"/>
        </w:rPr>
        <w:t>2</w:t>
      </w:r>
      <w:r>
        <w:rPr>
          <w:rFonts w:eastAsia="Symbol" w:cs="Symbol" w:ascii="Symbol" w:hAnsi="Symbol"/>
          <w:sz w:val="21"/>
        </w:rPr>
        <w:sym w:font="Symbol" w:char="f040"/>
      </w:r>
      <w:r>
        <w:rPr>
          <w:sz w:val="21"/>
        </w:rPr>
        <w:t>0.40).  The impacts of weather were rigorously evaluated using a number of metrics (e.g., temperature, precipitation, cooling degree days, Palmer Drought Index, etc.), and the results indicated that the majority of these weather terms were statistically significant in the model.  Yet, most of the</w:t>
      </w:r>
      <w:r>
        <w:rPr>
          <w:color w:val="FF0000"/>
          <w:sz w:val="21"/>
        </w:rPr>
        <w:t xml:space="preserve"> </w:t>
      </w:r>
      <w:r>
        <w:rPr>
          <w:sz w:val="21"/>
        </w:rPr>
        <w:t>variation in production was driven by technology trends and crop area. The forward curve for wheat was developed based on historical patterns in the wheat futures prices and current wheat futures market data.</w:t>
      </w:r>
    </w:p>
    <w:p>
      <w:pPr>
        <w:pStyle w:val="Normal"/>
        <w:rPr>
          <w:sz w:val="21"/>
        </w:rPr>
      </w:pPr>
      <w:r>
        <w:rPr>
          <w:sz w:val="21"/>
        </w:rPr>
      </w:r>
    </w:p>
    <w:p>
      <w:pPr>
        <w:pStyle w:val="Normal"/>
        <w:rPr/>
      </w:pPr>
      <w:r>
        <w:rPr>
          <w:sz w:val="21"/>
        </w:rPr>
        <w:t>For corn, a fundamental average price model was also developed using data from 1975 through 1999.  Goodness of fit analysis of the USDA model—using similar inputs to the wheat models—resulted in a R</w:t>
      </w:r>
      <w:r>
        <w:rPr>
          <w:sz w:val="21"/>
          <w:vertAlign w:val="superscript"/>
        </w:rPr>
        <w:t>2</w:t>
      </w:r>
      <w:r>
        <w:rPr>
          <w:sz w:val="21"/>
        </w:rPr>
        <w:t xml:space="preserve"> of 0.87.  A production model for corn was also estimated.  Strong agreement was found between production and technology trend, harvested area, and weather (R</w:t>
      </w:r>
      <w:r>
        <w:rPr>
          <w:sz w:val="21"/>
          <w:vertAlign w:val="superscript"/>
        </w:rPr>
        <w:t>2</w:t>
      </w:r>
      <w:r>
        <w:rPr>
          <w:rFonts w:eastAsia="Symbol" w:cs="Symbol" w:ascii="Symbol" w:hAnsi="Symbol"/>
          <w:sz w:val="21"/>
        </w:rPr>
        <w:sym w:font="Symbol" w:char="f040"/>
      </w:r>
      <w:r>
        <w:rPr>
          <w:sz w:val="21"/>
        </w:rPr>
        <w:t>0.93).  In contrast with the results for wheat, the corn yield model showed a better fit (R</w:t>
      </w:r>
      <w:r>
        <w:rPr>
          <w:sz w:val="21"/>
          <w:vertAlign w:val="superscript"/>
        </w:rPr>
        <w:t>2</w:t>
      </w:r>
      <w:r>
        <w:rPr>
          <w:rFonts w:eastAsia="Symbol" w:cs="Symbol" w:ascii="Symbol" w:hAnsi="Symbol"/>
          <w:sz w:val="21"/>
        </w:rPr>
        <w:sym w:font="Symbol" w:char="f040"/>
      </w:r>
      <w:r>
        <w:rPr>
          <w:sz w:val="21"/>
        </w:rPr>
        <w:t>0.60).  Despite the fact that weather variables were statistically significant in these models, their contribution to explaining the variance in corn production and yield was much less when compared to technology trends and crop area harvested.</w:t>
      </w:r>
      <w:r>
        <w:rPr>
          <w:color w:val="FF0000"/>
          <w:sz w:val="21"/>
        </w:rPr>
        <w:t xml:space="preserve">  </w:t>
      </w:r>
      <w:r>
        <w:rPr>
          <w:sz w:val="21"/>
        </w:rPr>
        <w:t xml:space="preserve">As for wheat, the corn forward curve was developed based on historical patterns in the corn futures prices and current wheat futures market data. </w:t>
      </w:r>
    </w:p>
    <w:p>
      <w:pPr>
        <w:pStyle w:val="Normal"/>
        <w:rPr>
          <w:sz w:val="21"/>
        </w:rPr>
      </w:pPr>
      <w:r>
        <w:rPr>
          <w:sz w:val="21"/>
        </w:rPr>
      </w:r>
    </w:p>
    <w:p>
      <w:pPr>
        <w:pStyle w:val="Normal"/>
        <w:rPr>
          <w:sz w:val="21"/>
        </w:rPr>
      </w:pPr>
      <w:r>
        <w:rPr>
          <w:sz w:val="21"/>
        </w:rPr>
        <w:t xml:space="preserve">Based on the work to date, both the wheat and corn fundamental models may be used to forecast average annual commodity prices.  While weather represents a significant variable for production and yield, its impact is much less than technology trends or harvested area and should not be the sole component of a hedging strategy.  An alternative strategy may focus on the relationship between harvested area and land values.  Finally, the forward curve framework, when coupled with the average annual price projections from the fundamental models, provides a sound basis for forecasting monthly futures curves that may be used in trading analysis. </w:t>
      </w:r>
    </w:p>
    <w:p>
      <w:pPr>
        <w:pStyle w:val="BodyText2"/>
        <w:rPr>
          <w:sz w:val="21"/>
        </w:rPr>
      </w:pPr>
      <w:r>
        <w:rPr>
          <w:sz w:val="21"/>
        </w:rPr>
      </w:r>
    </w:p>
    <w:p>
      <w:pPr>
        <w:pStyle w:val="BodyText2"/>
        <w:rPr/>
      </w:pPr>
      <w:r>
        <w:rPr/>
      </w:r>
    </w:p>
    <w:p>
      <w:pPr>
        <w:pStyle w:val="BodyText2"/>
        <w:rPr/>
      </w:pPr>
      <w:r>
        <w:rPr/>
      </w:r>
    </w:p>
    <w:p>
      <w:pPr>
        <w:pStyle w:val="BodyText2"/>
        <w:rPr/>
      </w:pPr>
      <w:r>
        <w:rPr/>
      </w:r>
    </w:p>
    <w:p>
      <w:pPr>
        <w:pStyle w:val="Heading1"/>
        <w:numPr>
          <w:ilvl w:val="0"/>
          <w:numId w:val="5"/>
        </w:numPr>
        <w:rPr>
          <w:smallCaps/>
        </w:rPr>
      </w:pPr>
      <w:r>
        <w:rPr>
          <w:smallCaps/>
        </w:rPr>
        <w:t>Grains Research and Development</w:t>
      </w:r>
    </w:p>
    <w:p>
      <w:pPr>
        <w:pStyle w:val="Normal"/>
        <w:rPr>
          <w:smallCaps/>
        </w:rPr>
      </w:pPr>
      <w:r>
        <w:rPr>
          <w:smallCaps/>
        </w:rPr>
      </w:r>
    </w:p>
    <w:p>
      <w:pPr>
        <w:pStyle w:val="Heading4"/>
        <w:ind w:hanging="0" w:start="0"/>
        <w:rPr>
          <w:sz w:val="24"/>
        </w:rPr>
      </w:pPr>
      <w:r>
        <w:rPr>
          <w:sz w:val="24"/>
        </w:rPr>
        <w:t>Overview and Approach</w:t>
      </w:r>
    </w:p>
    <w:p>
      <w:pPr>
        <w:pStyle w:val="Normal"/>
        <w:rPr>
          <w:b/>
          <w:sz w:val="22"/>
        </w:rPr>
      </w:pPr>
      <w:r>
        <w:rPr>
          <w:b/>
          <w:sz w:val="22"/>
        </w:rPr>
      </w:r>
    </w:p>
    <w:p>
      <w:pPr>
        <w:pStyle w:val="Normal"/>
        <w:rPr>
          <w:sz w:val="21"/>
        </w:rPr>
      </w:pPr>
      <w:r>
        <w:rPr>
          <w:sz w:val="21"/>
        </w:rPr>
        <w:t xml:space="preserve">Analysis of each of the commodities was separated into three integrated areas as shown in Figure 1.  For both wheat and corn, fundamental pricing models were developed as a function of selected economic indicators.  Secondary model investigations were subsequently implemented to determine the relationship between certain explanatory terms in the fundamental model (i.e., production) and weather.  Results from the secondary models and the fundamental pricing models were then used to develop forward pricing curves for each commodity.  Factors used in the development of forward curves included interest rate, storage costs, and convenience yield.  The following sections offer a more detailed analysis of each of the three areas.   </w:t>
      </w:r>
    </w:p>
    <w:p>
      <w:pPr>
        <w:pStyle w:val="Normal"/>
        <w:rPr>
          <w:sz w:val="21"/>
        </w:rPr>
      </w:pPr>
      <w:r>
        <w:rPr>
          <w:sz w:val="21"/>
        </w:rPr>
      </w:r>
    </w:p>
    <w:p>
      <w:pPr>
        <w:pStyle w:val="Normal"/>
        <w:rPr>
          <w:b/>
        </w:rPr>
      </w:pPr>
      <w:r>
        <w:drawing>
          <wp:anchor behindDoc="0" distT="0" distB="0" distL="114935" distR="114935" simplePos="0" locked="0" layoutInCell="0" allowOverlap="1" relativeHeight="23">
            <wp:simplePos x="0" y="0"/>
            <wp:positionH relativeFrom="column">
              <wp:posOffset>45720</wp:posOffset>
            </wp:positionH>
            <wp:positionV relativeFrom="paragraph">
              <wp:posOffset>95250</wp:posOffset>
            </wp:positionV>
            <wp:extent cx="5481955" cy="31089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1955" cy="3108960"/>
                    </a:xfrm>
                    <a:prstGeom prst="rect">
                      <a:avLst/>
                    </a:prstGeom>
                    <a:noFill/>
                  </pic:spPr>
                </pic:pic>
              </a:graphicData>
            </a:graphic>
          </wp:anchor>
        </w:drawing>
      </w:r>
      <w:r>
        <w:rPr>
          <w:b/>
        </w:rPr>
        <w:t xml:space="preserve"> </w:t>
      </w:r>
      <w:r>
        <w:rPr>
          <w:b/>
        </w:rPr>
        <w:t>Figure 1.  Framework for commodity modeling (wheat shown).</w:t>
      </w:r>
    </w:p>
    <w:p>
      <w:pPr>
        <w:pStyle w:val="Normal"/>
        <w:rPr>
          <w:b/>
        </w:rPr>
      </w:pPr>
      <w:r>
        <w:rPr>
          <w:b/>
        </w:rPr>
      </w:r>
    </w:p>
    <w:p>
      <w:pPr>
        <w:pStyle w:val="Heading2"/>
        <w:ind w:hanging="0" w:start="0"/>
        <w:rPr>
          <w:smallCaps/>
          <w:sz w:val="24"/>
        </w:rPr>
      </w:pPr>
      <w:r>
        <w:rPr>
          <w:smallCaps/>
          <w:sz w:val="24"/>
        </w:rPr>
      </w:r>
    </w:p>
    <w:p>
      <w:pPr>
        <w:pStyle w:val="Heading2"/>
        <w:ind w:hanging="0" w:start="0"/>
        <w:rPr>
          <w:smallCaps/>
          <w:sz w:val="24"/>
        </w:rPr>
      </w:pPr>
      <w:r>
        <w:rPr>
          <w:smallCaps/>
          <w:sz w:val="24"/>
        </w:rPr>
        <w:t>Wheat</w:t>
      </w:r>
    </w:p>
    <w:p>
      <w:pPr>
        <w:pStyle w:val="Normal"/>
        <w:rPr>
          <w:smallCaps/>
          <w:sz w:val="21"/>
        </w:rPr>
      </w:pPr>
      <w:r>
        <w:rPr>
          <w:smallCaps/>
          <w:sz w:val="21"/>
        </w:rPr>
      </w:r>
    </w:p>
    <w:p>
      <w:pPr>
        <w:pStyle w:val="Heading2"/>
        <w:ind w:hanging="0" w:start="0"/>
        <w:rPr/>
      </w:pPr>
      <w:r>
        <w:rPr/>
        <w:t xml:space="preserve">Fundamental Price Forecast Model </w:t>
      </w:r>
    </w:p>
    <w:p>
      <w:pPr>
        <w:pStyle w:val="Normal"/>
        <w:rPr>
          <w:sz w:val="21"/>
        </w:rPr>
      </w:pPr>
      <w:r>
        <w:rPr>
          <w:sz w:val="21"/>
        </w:rPr>
      </w:r>
    </w:p>
    <w:p>
      <w:pPr>
        <w:pStyle w:val="Normal"/>
        <w:rPr>
          <w:sz w:val="21"/>
        </w:rPr>
      </w:pPr>
      <w:r>
        <w:rPr>
          <w:sz w:val="21"/>
        </w:rPr>
        <w:t xml:space="preserve">Multiple linear regression models were developed to relate the average annual price of wheat to a number of supply and demand variables as well as other potential explanatory terms.  For wheat, two fundamental price forecast models were created including an USDA model, based on work by the Economic Research Service, and an Enron model.  Key variables in the USDA model were normalized to total use and included a domestic ending stocks-to-use ratio combining both supply and demand factors, an aggregated ending stocks-to-use ratio for four major wheat export competitors, a government stocks-to-use ratio to account for wheat stocks inaccessible to the marketplace, an interaction term encompassing both government loan rate and storage subsidy programs, and feed use-to-total use and summer quarter corn prices to reflect cross-commodity influences.  The Enron model contained similar terms (production, exports, beginning stocks, loan rate, dummy variable for price spike in 1995) and also incorporated lagged variables to for account average annual wheat prices for previous years.  A more in-depth description of the explanatory variables included in the models may be found in Appendix A.  </w:t>
      </w:r>
    </w:p>
    <w:p>
      <w:pPr>
        <w:pStyle w:val="Normal"/>
        <w:rPr>
          <w:sz w:val="21"/>
        </w:rPr>
      </w:pPr>
      <w:r>
        <w:rPr>
          <w:sz w:val="21"/>
        </w:rPr>
      </w:r>
    </w:p>
    <w:p>
      <w:pPr>
        <w:pStyle w:val="BodyText"/>
        <w:rPr/>
      </w:pPr>
      <w:r>
        <w:rPr/>
        <w:t xml:space="preserve">USDA model regressions were conducted using farm-level cash price as the dependent variable while tests on the Enron model used both the farm-level cash price and the Chicago Board of Trade (CBOT) futures price as dependent variables.  Model analysis was conducted for two time periods including 1975-1996 and 1975-1999.  The regression models based on the 1975-1996 time frame provided a means for backcasting—forecasting at a prior point in time using known independent variables—and model validation.  An example of the Enron model to predict cash level wheat price and backcasting is shown in Figure 2.  </w:t>
      </w:r>
    </w:p>
    <w:p>
      <w:pPr>
        <w:pStyle w:val="Normal"/>
        <w:rPr>
          <w:sz w:val="21"/>
        </w:rPr>
      </w:pPr>
      <w:r>
        <w:rPr>
          <w:sz w:val="21"/>
        </w:rPr>
      </w:r>
    </w:p>
    <w:p>
      <w:pPr>
        <w:pStyle w:val="Normal"/>
        <w:rPr>
          <w:b/>
          <w:color w:val="0000FF"/>
          <w:sz w:val="21"/>
          <w:lang w:val="en-CA"/>
        </w:rPr>
      </w:pPr>
      <w:r>
        <w:rPr>
          <w:b/>
          <w:color w:val="0000FF"/>
          <w:sz w:val="21"/>
          <w:lang w:val="en-CA"/>
        </w:rPr>
        <w:drawing>
          <wp:anchor behindDoc="0" distT="0" distB="0" distL="114935" distR="114935" simplePos="0" locked="0" layoutInCell="1" allowOverlap="1" relativeHeight="22">
            <wp:simplePos x="0" y="0"/>
            <wp:positionH relativeFrom="column">
              <wp:posOffset>-45720</wp:posOffset>
            </wp:positionH>
            <wp:positionV relativeFrom="paragraph">
              <wp:posOffset>20955</wp:posOffset>
            </wp:positionV>
            <wp:extent cx="5577840" cy="301752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8" r="-5" b="-8"/>
                    <a:stretch>
                      <a:fillRect/>
                    </a:stretch>
                  </pic:blipFill>
                  <pic:spPr bwMode="auto">
                    <a:xfrm>
                      <a:off x="0" y="0"/>
                      <a:ext cx="5577840" cy="3017520"/>
                    </a:xfrm>
                    <a:prstGeom prst="rect">
                      <a:avLst/>
                    </a:prstGeom>
                    <a:noFill/>
                  </pic:spPr>
                </pic:pic>
              </a:graphicData>
            </a:graphic>
          </wp:anchor>
        </w:drawing>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rPr>
      </w:pPr>
      <w:r>
        <w:rPr>
          <w:b/>
        </w:rPr>
      </w:r>
    </w:p>
    <w:p>
      <w:pPr>
        <w:pStyle w:val="Normal"/>
        <w:rPr>
          <w:b/>
        </w:rPr>
      </w:pPr>
      <w:r>
        <w:rPr>
          <w:b/>
        </w:rPr>
        <w:t xml:space="preserve">Figure 2.  Actual and predicted cash price (1975-1996) and backcast using Enron model.  </w:t>
      </w:r>
    </w:p>
    <w:p>
      <w:pPr>
        <w:pStyle w:val="Normal"/>
        <w:rPr>
          <w:b/>
          <w:sz w:val="21"/>
        </w:rPr>
      </w:pPr>
      <w:r>
        <w:rPr>
          <w:b/>
          <w:sz w:val="21"/>
        </w:rPr>
      </w:r>
    </w:p>
    <w:p>
      <w:pPr>
        <w:pStyle w:val="Normal"/>
        <w:rPr/>
      </w:pPr>
      <w:r>
        <w:rPr>
          <w:sz w:val="21"/>
        </w:rPr>
        <w:t>As shown in the above figure, there was very good agreement between the actual wheat cash prices and the Enron model-predicted wheat cash prices (R</w:t>
      </w:r>
      <w:r>
        <w:rPr>
          <w:sz w:val="21"/>
          <w:vertAlign w:val="superscript"/>
        </w:rPr>
        <w:t>2</w:t>
      </w:r>
      <w:r>
        <w:rPr>
          <w:sz w:val="21"/>
        </w:rPr>
        <w:t>=0.92) for the time period 1975-1996.  The backcasted values (see red dashed line on Figure 2) reveal the average annual prices that the Enron model would have forecasted for the time period 1997-1999 assuming perfect information regarding the independent variables used in the model.  Excellent agreement was found between the Enron backcasted annual cash prices and the actual cash prices for the three year interval as indicated by an average error of $ 0.06.  It should be noted that the error will increase for model forecasts in time periods beyond 2000 since many of the independent variables in the models will also have to be projected or forecasted.</w:t>
      </w:r>
    </w:p>
    <w:p>
      <w:pPr>
        <w:pStyle w:val="Normal"/>
        <w:rPr>
          <w:sz w:val="21"/>
        </w:rPr>
      </w:pPr>
      <w:r>
        <w:rPr>
          <w:sz w:val="21"/>
        </w:rPr>
      </w:r>
    </w:p>
    <w:p>
      <w:pPr>
        <w:pStyle w:val="Normal"/>
        <w:rPr/>
      </w:pPr>
      <w:r>
        <w:rPr>
          <w:sz w:val="21"/>
        </w:rPr>
        <w:t>A summary of the pertinent results from investigations using both the USDA and Enron models is provided in Table 1.  This table includes backcast errors for all of the model runs.  For both of the models and the two selected dependent pricing variables (cash price and CBOT futures price), strong agreement was found between model-predicted values and actual values.  For the USDA model, the R</w:t>
      </w:r>
      <w:r>
        <w:rPr>
          <w:sz w:val="21"/>
          <w:vertAlign w:val="superscript"/>
        </w:rPr>
        <w:t>2</w:t>
      </w:r>
      <w:r>
        <w:rPr>
          <w:sz w:val="21"/>
        </w:rPr>
        <w:t xml:space="preserve"> goodness of fit calculations exceeded 0.90, indicating that 90% of the variance in cash price could be explained by the independent variables in the model.  Adjusted R</w:t>
      </w:r>
      <w:r>
        <w:rPr>
          <w:sz w:val="21"/>
          <w:vertAlign w:val="superscript"/>
        </w:rPr>
        <w:t>2</w:t>
      </w:r>
      <w:r>
        <w:rPr>
          <w:sz w:val="21"/>
        </w:rPr>
        <w:t xml:space="preserve"> values, which account for the number of variables in the model, were also high.  Ninety-five percent confidence intervals for the USDA model hovered around </w:t>
      </w:r>
      <w:r>
        <w:rPr>
          <w:rFonts w:eastAsia="Symbol" w:cs="Symbol" w:ascii="Symbol" w:hAnsi="Symbol"/>
          <w:sz w:val="21"/>
        </w:rPr>
        <w:sym w:font="Symbol" w:char="f0b1"/>
      </w:r>
      <w:r>
        <w:rPr>
          <w:sz w:val="21"/>
        </w:rPr>
        <w:t xml:space="preserve"> $ 0.50 and represented a marked decrease from estimated confidence intervals of </w:t>
      </w:r>
      <w:r>
        <w:rPr>
          <w:rFonts w:eastAsia="Symbol" w:cs="Symbol" w:ascii="Symbol" w:hAnsi="Symbol"/>
          <w:sz w:val="21"/>
        </w:rPr>
        <w:sym w:font="Symbol" w:char="f0b1"/>
      </w:r>
      <w:r>
        <w:rPr>
          <w:sz w:val="21"/>
        </w:rPr>
        <w:t xml:space="preserve"> $ 0.90 associated with earlier fundamental modeling efforts.              </w:t>
      </w:r>
    </w:p>
    <w:p>
      <w:pPr>
        <w:pStyle w:val="Normal"/>
        <w:rPr>
          <w:sz w:val="21"/>
        </w:rPr>
      </w:pPr>
      <w:r>
        <w:rPr>
          <w:sz w:val="21"/>
        </w:rPr>
      </w:r>
    </w:p>
    <w:p>
      <w:pPr>
        <w:pStyle w:val="Normal"/>
        <w:rPr>
          <w:b/>
        </w:rPr>
      </w:pPr>
      <w:r>
        <w:rPr>
          <w:b/>
        </w:rPr>
        <w:t>Table 1. Summary of Results from Fundamental Wheat Models.</w:t>
      </w:r>
    </w:p>
    <w:tbl>
      <w:tblPr>
        <w:tblW w:w="8658" w:type="dxa"/>
        <w:jc w:val="start"/>
        <w:tblInd w:w="0" w:type="dxa"/>
        <w:tblLayout w:type="fixed"/>
        <w:tblCellMar>
          <w:top w:w="0" w:type="dxa"/>
          <w:start w:w="108" w:type="dxa"/>
          <w:bottom w:w="0" w:type="dxa"/>
          <w:end w:w="108" w:type="dxa"/>
        </w:tblCellMar>
      </w:tblPr>
      <w:tblGrid>
        <w:gridCol w:w="1188"/>
        <w:gridCol w:w="1440"/>
        <w:gridCol w:w="900"/>
        <w:gridCol w:w="1080"/>
        <w:gridCol w:w="810"/>
        <w:gridCol w:w="720"/>
        <w:gridCol w:w="1080"/>
        <w:gridCol w:w="1440"/>
      </w:tblGrid>
      <w:tr>
        <w:trPr/>
        <w:tc>
          <w:tcPr>
            <w:tcW w:w="1188" w:type="dxa"/>
            <w:tcBorders>
              <w:top w:val="single" w:sz="12" w:space="0" w:color="808080"/>
              <w:bottom w:val="single" w:sz="6" w:space="0" w:color="808080"/>
            </w:tcBorders>
          </w:tcPr>
          <w:p>
            <w:pPr>
              <w:pStyle w:val="Normal"/>
              <w:jc w:val="center"/>
              <w:rPr>
                <w:b/>
              </w:rPr>
            </w:pPr>
            <w:r>
              <w:rPr>
                <w:b/>
              </w:rPr>
              <w:t>Model</w:t>
            </w:r>
          </w:p>
        </w:tc>
        <w:tc>
          <w:tcPr>
            <w:tcW w:w="1440" w:type="dxa"/>
            <w:tcBorders>
              <w:top w:val="single" w:sz="12" w:space="0" w:color="808080"/>
              <w:bottom w:val="single" w:sz="6" w:space="0" w:color="808080"/>
            </w:tcBorders>
          </w:tcPr>
          <w:p>
            <w:pPr>
              <w:pStyle w:val="Normal"/>
              <w:jc w:val="center"/>
              <w:rPr>
                <w:b/>
              </w:rPr>
            </w:pPr>
            <w:r>
              <w:rPr>
                <w:b/>
              </w:rPr>
              <w:t>Dependent</w:t>
            </w:r>
          </w:p>
          <w:p>
            <w:pPr>
              <w:pStyle w:val="Normal"/>
              <w:jc w:val="center"/>
              <w:rPr>
                <w:b/>
              </w:rPr>
            </w:pPr>
            <w:r>
              <w:rPr>
                <w:b/>
              </w:rPr>
              <w:t>Variable</w:t>
            </w:r>
          </w:p>
        </w:tc>
        <w:tc>
          <w:tcPr>
            <w:tcW w:w="90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R</w:t>
            </w:r>
            <w:r>
              <w:rPr>
                <w:b/>
                <w:vertAlign w:val="superscript"/>
              </w:rPr>
              <w:t>2b</w:t>
            </w:r>
          </w:p>
        </w:tc>
        <w:tc>
          <w:tcPr>
            <w:tcW w:w="108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Adj. R</w:t>
            </w:r>
            <w:r>
              <w:rPr>
                <w:b/>
                <w:vertAlign w:val="superscript"/>
              </w:rPr>
              <w:t>2c</w:t>
            </w:r>
          </w:p>
        </w:tc>
        <w:tc>
          <w:tcPr>
            <w:tcW w:w="810" w:type="dxa"/>
            <w:tcBorders>
              <w:top w:val="single" w:sz="12" w:space="0" w:color="808080"/>
              <w:bottom w:val="single" w:sz="6" w:space="0" w:color="808080"/>
            </w:tcBorders>
          </w:tcPr>
          <w:p>
            <w:pPr>
              <w:pStyle w:val="Normal"/>
              <w:jc w:val="center"/>
              <w:rPr>
                <w:b/>
              </w:rPr>
            </w:pPr>
            <w:r>
              <w:rPr>
                <w:b/>
              </w:rPr>
              <w:t>Error</w:t>
            </w:r>
            <w:r>
              <w:rPr>
                <w:b/>
                <w:vertAlign w:val="superscript"/>
              </w:rPr>
              <w:t>d</w:t>
            </w:r>
          </w:p>
        </w:tc>
        <w:tc>
          <w:tcPr>
            <w:tcW w:w="720" w:type="dxa"/>
            <w:tcBorders>
              <w:top w:val="single" w:sz="12" w:space="0" w:color="808080"/>
              <w:bottom w:val="single" w:sz="6" w:space="0" w:color="808080"/>
            </w:tcBorders>
          </w:tcPr>
          <w:p>
            <w:pPr>
              <w:pStyle w:val="Heading7"/>
              <w:ind w:hanging="0" w:start="0"/>
              <w:rPr/>
            </w:pPr>
            <w:r>
              <w:rPr/>
              <w:t>Error</w:t>
            </w:r>
          </w:p>
          <w:p>
            <w:pPr>
              <w:pStyle w:val="Normal"/>
              <w:jc w:val="center"/>
              <w:rPr>
                <w:b/>
              </w:rPr>
            </w:pPr>
            <w:r>
              <w:rPr>
                <w:b/>
              </w:rPr>
              <w:t>(%)</w:t>
            </w:r>
          </w:p>
        </w:tc>
        <w:tc>
          <w:tcPr>
            <w:tcW w:w="1080" w:type="dxa"/>
            <w:tcBorders>
              <w:top w:val="single" w:sz="12" w:space="0" w:color="808080"/>
              <w:bottom w:val="single" w:sz="6" w:space="0" w:color="808080"/>
            </w:tcBorders>
          </w:tcPr>
          <w:p>
            <w:pPr>
              <w:pStyle w:val="Normal"/>
              <w:jc w:val="center"/>
              <w:rPr>
                <w:b/>
              </w:rPr>
            </w:pPr>
            <w:r>
              <w:rPr>
                <w:b/>
              </w:rPr>
              <w:t>95% CI</w:t>
            </w:r>
            <w:r>
              <w:rPr>
                <w:b/>
                <w:vertAlign w:val="superscript"/>
              </w:rPr>
              <w:t>e</w:t>
            </w:r>
          </w:p>
        </w:tc>
        <w:tc>
          <w:tcPr>
            <w:tcW w:w="1440" w:type="dxa"/>
            <w:tcBorders>
              <w:top w:val="single" w:sz="12" w:space="0" w:color="808080"/>
              <w:bottom w:val="single" w:sz="6" w:space="0" w:color="808080"/>
            </w:tcBorders>
          </w:tcPr>
          <w:p>
            <w:pPr>
              <w:pStyle w:val="Normal"/>
              <w:jc w:val="center"/>
              <w:rPr>
                <w:b/>
              </w:rPr>
            </w:pPr>
            <w:r>
              <w:rPr>
                <w:b/>
              </w:rPr>
              <w:t>Backcast</w:t>
            </w:r>
          </w:p>
          <w:p>
            <w:pPr>
              <w:pStyle w:val="Normal"/>
              <w:jc w:val="center"/>
              <w:rPr>
                <w:b/>
              </w:rPr>
            </w:pPr>
            <w:r>
              <w:rPr>
                <w:b/>
              </w:rPr>
              <w:t>Avg. Error</w:t>
            </w:r>
            <w:r>
              <w:rPr>
                <w:b/>
                <w:vertAlign w:val="superscript"/>
              </w:rPr>
              <w:t>f</w:t>
            </w:r>
          </w:p>
        </w:tc>
      </w:tr>
      <w:tr>
        <w:trPr/>
        <w:tc>
          <w:tcPr>
            <w:tcW w:w="1188" w:type="dxa"/>
            <w:tcBorders/>
          </w:tcPr>
          <w:p>
            <w:pPr>
              <w:pStyle w:val="Heading3"/>
              <w:ind w:hanging="0" w:start="0"/>
              <w:rPr>
                <w:b w:val="false"/>
              </w:rPr>
            </w:pPr>
            <w:r>
              <w:rPr>
                <w:b w:val="false"/>
              </w:rPr>
              <w:t>USDA</w:t>
            </w:r>
          </w:p>
        </w:tc>
        <w:tc>
          <w:tcPr>
            <w:tcW w:w="1440" w:type="dxa"/>
            <w:tcBorders/>
          </w:tcPr>
          <w:p>
            <w:pPr>
              <w:pStyle w:val="Normal"/>
              <w:jc w:val="center"/>
              <w:rPr/>
            </w:pPr>
            <w:r>
              <w:rPr/>
              <w:t>Cash Price</w:t>
            </w:r>
          </w:p>
          <w:p>
            <w:pPr>
              <w:pStyle w:val="Normal"/>
              <w:jc w:val="center"/>
              <w:rPr/>
            </w:pPr>
            <w:r>
              <w:rPr/>
              <w:t>(1975-96)</w:t>
            </w:r>
          </w:p>
        </w:tc>
        <w:tc>
          <w:tcPr>
            <w:tcW w:w="900" w:type="dxa"/>
            <w:tcBorders/>
          </w:tcPr>
          <w:p>
            <w:pPr>
              <w:pStyle w:val="Normal"/>
              <w:jc w:val="center"/>
              <w:rPr/>
            </w:pPr>
            <w:r>
              <w:rPr/>
              <w:t>0.92</w:t>
            </w:r>
          </w:p>
        </w:tc>
        <w:tc>
          <w:tcPr>
            <w:tcW w:w="1080" w:type="dxa"/>
            <w:tcBorders/>
          </w:tcPr>
          <w:p>
            <w:pPr>
              <w:pStyle w:val="Normal"/>
              <w:jc w:val="center"/>
              <w:rPr/>
            </w:pPr>
            <w:r>
              <w:rPr/>
              <w:t>0.90</w:t>
            </w:r>
          </w:p>
        </w:tc>
        <w:tc>
          <w:tcPr>
            <w:tcW w:w="810" w:type="dxa"/>
            <w:tcBorders/>
          </w:tcPr>
          <w:p>
            <w:pPr>
              <w:pStyle w:val="Normal"/>
              <w:jc w:val="center"/>
              <w:rPr/>
            </w:pPr>
            <w:r>
              <w:rPr/>
              <w:t>$ 0.13</w:t>
            </w:r>
          </w:p>
        </w:tc>
        <w:tc>
          <w:tcPr>
            <w:tcW w:w="720" w:type="dxa"/>
            <w:tcBorders/>
          </w:tcPr>
          <w:p>
            <w:pPr>
              <w:pStyle w:val="Normal"/>
              <w:jc w:val="center"/>
              <w:rPr/>
            </w:pPr>
            <w:r>
              <w:rPr/>
              <w:t>3.9%</w:t>
            </w:r>
          </w:p>
        </w:tc>
        <w:tc>
          <w:tcPr>
            <w:tcW w:w="1080" w:type="dxa"/>
            <w:tcBorders/>
          </w:tcPr>
          <w:p>
            <w:pPr>
              <w:pStyle w:val="Normal"/>
              <w:jc w:val="center"/>
              <w:rPr/>
            </w:pPr>
            <w:r>
              <w:rPr>
                <w:rFonts w:eastAsia="Symbol" w:cs="Symbol" w:ascii="Symbol" w:hAnsi="Symbol"/>
              </w:rPr>
              <w:sym w:font="Symbol" w:char="f0b1"/>
            </w:r>
            <w:r>
              <w:rPr/>
              <w:t xml:space="preserve"> </w:t>
            </w:r>
            <w:r>
              <w:rPr/>
              <w:t>$ 0.46</w:t>
            </w:r>
          </w:p>
        </w:tc>
        <w:tc>
          <w:tcPr>
            <w:tcW w:w="1440" w:type="dxa"/>
            <w:tcBorders/>
          </w:tcPr>
          <w:p>
            <w:pPr>
              <w:pStyle w:val="Normal"/>
              <w:jc w:val="center"/>
              <w:rPr/>
            </w:pPr>
            <w:r>
              <w:rPr/>
              <w:t>$ 0.23</w:t>
            </w:r>
          </w:p>
        </w:tc>
      </w:tr>
      <w:tr>
        <w:trPr/>
        <w:tc>
          <w:tcPr>
            <w:tcW w:w="1188" w:type="dxa"/>
            <w:tcBorders/>
          </w:tcPr>
          <w:p>
            <w:pPr>
              <w:pStyle w:val="Normal"/>
              <w:snapToGrid w:val="false"/>
              <w:rPr/>
            </w:pPr>
            <w:r>
              <w:rPr/>
            </w:r>
          </w:p>
        </w:tc>
        <w:tc>
          <w:tcPr>
            <w:tcW w:w="1440" w:type="dxa"/>
            <w:tcBorders/>
          </w:tcPr>
          <w:p>
            <w:pPr>
              <w:pStyle w:val="Normal"/>
              <w:jc w:val="center"/>
              <w:rPr/>
            </w:pPr>
            <w:r>
              <w:rPr/>
              <w:t>Cash Price</w:t>
            </w:r>
          </w:p>
          <w:p>
            <w:pPr>
              <w:pStyle w:val="Normal"/>
              <w:jc w:val="center"/>
              <w:rPr/>
            </w:pPr>
            <w:r>
              <w:rPr/>
              <w:t>(1973-1999)</w:t>
            </w:r>
            <w:r>
              <w:rPr>
                <w:vertAlign w:val="superscript"/>
              </w:rPr>
              <w:t>a</w:t>
            </w:r>
          </w:p>
        </w:tc>
        <w:tc>
          <w:tcPr>
            <w:tcW w:w="900" w:type="dxa"/>
            <w:tcBorders/>
          </w:tcPr>
          <w:p>
            <w:pPr>
              <w:pStyle w:val="Normal"/>
              <w:jc w:val="center"/>
              <w:rPr/>
            </w:pPr>
            <w:r>
              <w:rPr/>
              <w:t>0.91</w:t>
            </w:r>
          </w:p>
        </w:tc>
        <w:tc>
          <w:tcPr>
            <w:tcW w:w="1080" w:type="dxa"/>
            <w:tcBorders/>
          </w:tcPr>
          <w:p>
            <w:pPr>
              <w:pStyle w:val="Normal"/>
              <w:jc w:val="center"/>
              <w:rPr/>
            </w:pPr>
            <w:r>
              <w:rPr/>
              <w:t>0.88</w:t>
            </w:r>
          </w:p>
        </w:tc>
        <w:tc>
          <w:tcPr>
            <w:tcW w:w="810" w:type="dxa"/>
            <w:tcBorders/>
          </w:tcPr>
          <w:p>
            <w:pPr>
              <w:pStyle w:val="Normal"/>
              <w:jc w:val="center"/>
              <w:rPr/>
            </w:pPr>
            <w:r>
              <w:rPr/>
              <w:t>$ 0.14</w:t>
            </w:r>
          </w:p>
        </w:tc>
        <w:tc>
          <w:tcPr>
            <w:tcW w:w="720" w:type="dxa"/>
            <w:tcBorders/>
          </w:tcPr>
          <w:p>
            <w:pPr>
              <w:pStyle w:val="Normal"/>
              <w:jc w:val="center"/>
              <w:rPr/>
            </w:pPr>
            <w:r>
              <w:rPr/>
              <w:t>4.3%</w:t>
            </w:r>
          </w:p>
        </w:tc>
        <w:tc>
          <w:tcPr>
            <w:tcW w:w="1080" w:type="dxa"/>
            <w:tcBorders/>
          </w:tcPr>
          <w:p>
            <w:pPr>
              <w:pStyle w:val="Normal"/>
              <w:jc w:val="center"/>
              <w:rPr/>
            </w:pPr>
            <w:r>
              <w:rPr>
                <w:rFonts w:eastAsia="Symbol" w:cs="Symbol" w:ascii="Symbol" w:hAnsi="Symbol"/>
              </w:rPr>
              <w:sym w:font="Symbol" w:char="f0b1"/>
            </w:r>
            <w:r>
              <w:rPr/>
              <w:t xml:space="preserve"> </w:t>
            </w:r>
            <w:r>
              <w:rPr/>
              <w:t>$ 0.50</w:t>
            </w:r>
          </w:p>
        </w:tc>
        <w:tc>
          <w:tcPr>
            <w:tcW w:w="1440" w:type="dxa"/>
            <w:tcBorders/>
          </w:tcPr>
          <w:p>
            <w:pPr>
              <w:pStyle w:val="Normal"/>
              <w:jc w:val="center"/>
              <w:rPr/>
            </w:pPr>
            <w:r>
              <w:rPr/>
              <w:t>---</w:t>
            </w:r>
          </w:p>
        </w:tc>
      </w:tr>
      <w:tr>
        <w:trPr/>
        <w:tc>
          <w:tcPr>
            <w:tcW w:w="1188" w:type="dxa"/>
            <w:tcBorders/>
          </w:tcPr>
          <w:p>
            <w:pPr>
              <w:pStyle w:val="Heading3"/>
              <w:ind w:hanging="0" w:start="0"/>
              <w:rPr>
                <w:b w:val="false"/>
              </w:rPr>
            </w:pPr>
            <w:r>
              <w:rPr>
                <w:b w:val="false"/>
              </w:rPr>
              <w:t>Enron</w:t>
            </w:r>
          </w:p>
        </w:tc>
        <w:tc>
          <w:tcPr>
            <w:tcW w:w="1440" w:type="dxa"/>
            <w:tcBorders/>
          </w:tcPr>
          <w:p>
            <w:pPr>
              <w:pStyle w:val="Header"/>
              <w:tabs>
                <w:tab w:val="clear" w:pos="4320"/>
                <w:tab w:val="clear" w:pos="8640"/>
              </w:tabs>
              <w:jc w:val="center"/>
              <w:rPr/>
            </w:pPr>
            <w:r>
              <w:rPr/>
              <w:t>Cash Price</w:t>
            </w:r>
          </w:p>
          <w:p>
            <w:pPr>
              <w:pStyle w:val="Header"/>
              <w:tabs>
                <w:tab w:val="clear" w:pos="4320"/>
                <w:tab w:val="clear" w:pos="8640"/>
              </w:tabs>
              <w:jc w:val="center"/>
              <w:rPr/>
            </w:pPr>
            <w:r>
              <w:rPr/>
              <w:t>(1975-1996)</w:t>
            </w:r>
          </w:p>
        </w:tc>
        <w:tc>
          <w:tcPr>
            <w:tcW w:w="900" w:type="dxa"/>
            <w:tcBorders/>
          </w:tcPr>
          <w:p>
            <w:pPr>
              <w:pStyle w:val="Normal"/>
              <w:jc w:val="center"/>
              <w:rPr/>
            </w:pPr>
            <w:r>
              <w:rPr/>
              <w:t>0.92</w:t>
            </w:r>
          </w:p>
        </w:tc>
        <w:tc>
          <w:tcPr>
            <w:tcW w:w="1080" w:type="dxa"/>
            <w:tcBorders/>
          </w:tcPr>
          <w:p>
            <w:pPr>
              <w:pStyle w:val="Normal"/>
              <w:jc w:val="center"/>
              <w:rPr/>
            </w:pPr>
            <w:r>
              <w:rPr/>
              <w:t>0.88</w:t>
            </w:r>
          </w:p>
        </w:tc>
        <w:tc>
          <w:tcPr>
            <w:tcW w:w="810" w:type="dxa"/>
            <w:tcBorders/>
          </w:tcPr>
          <w:p>
            <w:pPr>
              <w:pStyle w:val="Normal"/>
              <w:jc w:val="center"/>
              <w:rPr/>
            </w:pPr>
            <w:r>
              <w:rPr/>
              <w:t>$ 0.13</w:t>
            </w:r>
          </w:p>
        </w:tc>
        <w:tc>
          <w:tcPr>
            <w:tcW w:w="720" w:type="dxa"/>
            <w:tcBorders/>
          </w:tcPr>
          <w:p>
            <w:pPr>
              <w:pStyle w:val="Normal"/>
              <w:jc w:val="center"/>
              <w:rPr/>
            </w:pPr>
            <w:r>
              <w:rPr/>
              <w:t>4.1%</w:t>
            </w:r>
          </w:p>
        </w:tc>
        <w:tc>
          <w:tcPr>
            <w:tcW w:w="1080" w:type="dxa"/>
            <w:tcBorders/>
          </w:tcPr>
          <w:p>
            <w:pPr>
              <w:pStyle w:val="Normal"/>
              <w:jc w:val="center"/>
              <w:rPr/>
            </w:pPr>
            <w:r>
              <w:rPr>
                <w:rFonts w:eastAsia="Symbol" w:cs="Symbol" w:ascii="Symbol" w:hAnsi="Symbol"/>
              </w:rPr>
              <w:sym w:font="Symbol" w:char="f0b1"/>
            </w:r>
            <w:r>
              <w:rPr/>
              <w:t xml:space="preserve"> </w:t>
            </w:r>
            <w:r>
              <w:rPr/>
              <w:t>$ 0.51</w:t>
            </w:r>
          </w:p>
        </w:tc>
        <w:tc>
          <w:tcPr>
            <w:tcW w:w="1440" w:type="dxa"/>
            <w:tcBorders/>
          </w:tcPr>
          <w:p>
            <w:pPr>
              <w:pStyle w:val="Normal"/>
              <w:jc w:val="center"/>
              <w:rPr/>
            </w:pPr>
            <w:r>
              <w:rPr/>
              <w:t>$ 0.06</w:t>
            </w:r>
          </w:p>
        </w:tc>
      </w:tr>
      <w:tr>
        <w:trPr/>
        <w:tc>
          <w:tcPr>
            <w:tcW w:w="1188" w:type="dxa"/>
            <w:tcBorders/>
          </w:tcPr>
          <w:p>
            <w:pPr>
              <w:pStyle w:val="Normal"/>
              <w:snapToGrid w:val="false"/>
              <w:rPr/>
            </w:pPr>
            <w:r>
              <w:rPr/>
            </w:r>
          </w:p>
        </w:tc>
        <w:tc>
          <w:tcPr>
            <w:tcW w:w="1440" w:type="dxa"/>
            <w:tcBorders/>
          </w:tcPr>
          <w:p>
            <w:pPr>
              <w:pStyle w:val="Normal"/>
              <w:jc w:val="center"/>
              <w:rPr/>
            </w:pPr>
            <w:r>
              <w:rPr/>
              <w:t>Cash Price</w:t>
            </w:r>
          </w:p>
          <w:p>
            <w:pPr>
              <w:pStyle w:val="Normal"/>
              <w:jc w:val="center"/>
              <w:rPr/>
            </w:pPr>
            <w:r>
              <w:rPr/>
              <w:t>(1975-1999)</w:t>
            </w:r>
          </w:p>
        </w:tc>
        <w:tc>
          <w:tcPr>
            <w:tcW w:w="900" w:type="dxa"/>
            <w:tcBorders/>
          </w:tcPr>
          <w:p>
            <w:pPr>
              <w:pStyle w:val="Normal"/>
              <w:jc w:val="center"/>
              <w:rPr/>
            </w:pPr>
            <w:r>
              <w:rPr/>
              <w:t>0.93</w:t>
            </w:r>
          </w:p>
        </w:tc>
        <w:tc>
          <w:tcPr>
            <w:tcW w:w="1080" w:type="dxa"/>
            <w:tcBorders/>
          </w:tcPr>
          <w:p>
            <w:pPr>
              <w:pStyle w:val="Normal"/>
              <w:jc w:val="center"/>
              <w:rPr/>
            </w:pPr>
            <w:r>
              <w:rPr/>
              <w:t>0.90</w:t>
            </w:r>
          </w:p>
        </w:tc>
        <w:tc>
          <w:tcPr>
            <w:tcW w:w="810" w:type="dxa"/>
            <w:tcBorders/>
          </w:tcPr>
          <w:p>
            <w:pPr>
              <w:pStyle w:val="Normal"/>
              <w:jc w:val="center"/>
              <w:rPr/>
            </w:pPr>
            <w:r>
              <w:rPr/>
              <w:t>$ 0.12</w:t>
            </w:r>
          </w:p>
        </w:tc>
        <w:tc>
          <w:tcPr>
            <w:tcW w:w="720" w:type="dxa"/>
            <w:tcBorders/>
          </w:tcPr>
          <w:p>
            <w:pPr>
              <w:pStyle w:val="Normal"/>
              <w:jc w:val="center"/>
              <w:rPr/>
            </w:pPr>
            <w:r>
              <w:rPr/>
              <w:t>3.8%</w:t>
            </w:r>
          </w:p>
        </w:tc>
        <w:tc>
          <w:tcPr>
            <w:tcW w:w="1080" w:type="dxa"/>
            <w:tcBorders/>
          </w:tcPr>
          <w:p>
            <w:pPr>
              <w:pStyle w:val="Normal"/>
              <w:jc w:val="center"/>
              <w:rPr/>
            </w:pPr>
            <w:r>
              <w:rPr>
                <w:rFonts w:eastAsia="Symbol" w:cs="Symbol" w:ascii="Symbol" w:hAnsi="Symbol"/>
              </w:rPr>
              <w:sym w:font="Symbol" w:char="f0b1"/>
            </w:r>
            <w:r>
              <w:rPr/>
              <w:t xml:space="preserve"> </w:t>
            </w:r>
            <w:r>
              <w:rPr/>
              <w:t>$ 0.46</w:t>
            </w:r>
          </w:p>
        </w:tc>
        <w:tc>
          <w:tcPr>
            <w:tcW w:w="1440" w:type="dxa"/>
            <w:tcBorders/>
          </w:tcPr>
          <w:p>
            <w:pPr>
              <w:pStyle w:val="Normal"/>
              <w:jc w:val="center"/>
              <w:rPr/>
            </w:pPr>
            <w:r>
              <w:rPr/>
              <w:t>---</w:t>
            </w:r>
          </w:p>
        </w:tc>
      </w:tr>
      <w:tr>
        <w:trPr/>
        <w:tc>
          <w:tcPr>
            <w:tcW w:w="1188" w:type="dxa"/>
            <w:tcBorders/>
          </w:tcPr>
          <w:p>
            <w:pPr>
              <w:pStyle w:val="Normal"/>
              <w:snapToGrid w:val="false"/>
              <w:rPr/>
            </w:pPr>
            <w:r>
              <w:rPr/>
            </w:r>
          </w:p>
        </w:tc>
        <w:tc>
          <w:tcPr>
            <w:tcW w:w="1440" w:type="dxa"/>
            <w:tcBorders/>
          </w:tcPr>
          <w:p>
            <w:pPr>
              <w:pStyle w:val="Normal"/>
              <w:jc w:val="center"/>
              <w:rPr/>
            </w:pPr>
            <w:r>
              <w:rPr/>
              <w:t>CBOT Price</w:t>
            </w:r>
          </w:p>
          <w:p>
            <w:pPr>
              <w:pStyle w:val="Normal"/>
              <w:jc w:val="center"/>
              <w:rPr/>
            </w:pPr>
            <w:r>
              <w:rPr/>
              <w:t>(1975-1996)</w:t>
            </w:r>
          </w:p>
        </w:tc>
        <w:tc>
          <w:tcPr>
            <w:tcW w:w="900" w:type="dxa"/>
            <w:tcBorders/>
          </w:tcPr>
          <w:p>
            <w:pPr>
              <w:pStyle w:val="Normal"/>
              <w:jc w:val="center"/>
              <w:rPr/>
            </w:pPr>
            <w:r>
              <w:rPr/>
              <w:t>0.88</w:t>
            </w:r>
          </w:p>
        </w:tc>
        <w:tc>
          <w:tcPr>
            <w:tcW w:w="1080" w:type="dxa"/>
            <w:tcBorders/>
          </w:tcPr>
          <w:p>
            <w:pPr>
              <w:pStyle w:val="Header"/>
              <w:tabs>
                <w:tab w:val="clear" w:pos="4320"/>
                <w:tab w:val="clear" w:pos="8640"/>
              </w:tabs>
              <w:jc w:val="center"/>
              <w:rPr/>
            </w:pPr>
            <w:r>
              <w:rPr/>
              <w:t>0.82</w:t>
            </w:r>
          </w:p>
        </w:tc>
        <w:tc>
          <w:tcPr>
            <w:tcW w:w="810" w:type="dxa"/>
            <w:tcBorders/>
          </w:tcPr>
          <w:p>
            <w:pPr>
              <w:pStyle w:val="Normal"/>
              <w:jc w:val="center"/>
              <w:rPr/>
            </w:pPr>
            <w:r>
              <w:rPr/>
              <w:t>$ 0.18</w:t>
            </w:r>
          </w:p>
        </w:tc>
        <w:tc>
          <w:tcPr>
            <w:tcW w:w="720" w:type="dxa"/>
            <w:tcBorders/>
          </w:tcPr>
          <w:p>
            <w:pPr>
              <w:pStyle w:val="Normal"/>
              <w:jc w:val="center"/>
              <w:rPr/>
            </w:pPr>
            <w:r>
              <w:rPr/>
              <w:t>5.2%</w:t>
            </w:r>
          </w:p>
        </w:tc>
        <w:tc>
          <w:tcPr>
            <w:tcW w:w="1080" w:type="dxa"/>
            <w:tcBorders/>
          </w:tcPr>
          <w:p>
            <w:pPr>
              <w:pStyle w:val="Normal"/>
              <w:jc w:val="center"/>
              <w:rPr/>
            </w:pPr>
            <w:r>
              <w:rPr>
                <w:rFonts w:eastAsia="Symbol" w:cs="Symbol" w:ascii="Symbol" w:hAnsi="Symbol"/>
              </w:rPr>
              <w:sym w:font="Symbol" w:char="f0b1"/>
            </w:r>
            <w:r>
              <w:rPr/>
              <w:t xml:space="preserve"> </w:t>
            </w:r>
            <w:r>
              <w:rPr/>
              <w:t>$ 0.65</w:t>
            </w:r>
          </w:p>
        </w:tc>
        <w:tc>
          <w:tcPr>
            <w:tcW w:w="1440" w:type="dxa"/>
            <w:tcBorders/>
          </w:tcPr>
          <w:p>
            <w:pPr>
              <w:pStyle w:val="Normal"/>
              <w:jc w:val="center"/>
              <w:rPr/>
            </w:pPr>
            <w:r>
              <w:rPr/>
              <w:t>$ 0.16</w:t>
            </w:r>
          </w:p>
        </w:tc>
      </w:tr>
      <w:tr>
        <w:trPr/>
        <w:tc>
          <w:tcPr>
            <w:tcW w:w="1188" w:type="dxa"/>
            <w:tcBorders>
              <w:bottom w:val="single" w:sz="12" w:space="0" w:color="808080"/>
            </w:tcBorders>
          </w:tcPr>
          <w:p>
            <w:pPr>
              <w:pStyle w:val="Normal"/>
              <w:snapToGrid w:val="false"/>
              <w:rPr/>
            </w:pPr>
            <w:r>
              <w:rPr/>
            </w:r>
          </w:p>
        </w:tc>
        <w:tc>
          <w:tcPr>
            <w:tcW w:w="1440" w:type="dxa"/>
            <w:tcBorders>
              <w:bottom w:val="single" w:sz="12" w:space="0" w:color="808080"/>
            </w:tcBorders>
          </w:tcPr>
          <w:p>
            <w:pPr>
              <w:pStyle w:val="Normal"/>
              <w:jc w:val="center"/>
              <w:rPr/>
            </w:pPr>
            <w:r>
              <w:rPr/>
              <w:t>CBOT Price</w:t>
            </w:r>
          </w:p>
          <w:p>
            <w:pPr>
              <w:pStyle w:val="Normal"/>
              <w:jc w:val="center"/>
              <w:rPr/>
            </w:pPr>
            <w:r>
              <w:rPr/>
              <w:t>(1975-1999)</w:t>
            </w:r>
          </w:p>
        </w:tc>
        <w:tc>
          <w:tcPr>
            <w:tcW w:w="900" w:type="dxa"/>
            <w:tcBorders>
              <w:bottom w:val="single" w:sz="12" w:space="0" w:color="808080"/>
            </w:tcBorders>
          </w:tcPr>
          <w:p>
            <w:pPr>
              <w:pStyle w:val="Normal"/>
              <w:jc w:val="center"/>
              <w:rPr/>
            </w:pPr>
            <w:r>
              <w:rPr/>
              <w:t>0.89</w:t>
            </w:r>
          </w:p>
        </w:tc>
        <w:tc>
          <w:tcPr>
            <w:tcW w:w="1080" w:type="dxa"/>
            <w:tcBorders>
              <w:bottom w:val="single" w:sz="12" w:space="0" w:color="808080"/>
            </w:tcBorders>
          </w:tcPr>
          <w:p>
            <w:pPr>
              <w:pStyle w:val="Normal"/>
              <w:jc w:val="center"/>
              <w:rPr/>
            </w:pPr>
            <w:r>
              <w:rPr/>
              <w:t>0.85</w:t>
            </w:r>
          </w:p>
        </w:tc>
        <w:tc>
          <w:tcPr>
            <w:tcW w:w="810" w:type="dxa"/>
            <w:tcBorders>
              <w:bottom w:val="single" w:sz="12" w:space="0" w:color="808080"/>
            </w:tcBorders>
          </w:tcPr>
          <w:p>
            <w:pPr>
              <w:pStyle w:val="Normal"/>
              <w:jc w:val="center"/>
              <w:rPr/>
            </w:pPr>
            <w:r>
              <w:rPr/>
              <w:t>$ 0.17</w:t>
            </w:r>
          </w:p>
        </w:tc>
        <w:tc>
          <w:tcPr>
            <w:tcW w:w="720" w:type="dxa"/>
            <w:tcBorders>
              <w:bottom w:val="single" w:sz="12" w:space="0" w:color="808080"/>
            </w:tcBorders>
          </w:tcPr>
          <w:p>
            <w:pPr>
              <w:pStyle w:val="Normal"/>
              <w:jc w:val="center"/>
              <w:rPr/>
            </w:pPr>
            <w:r>
              <w:rPr/>
              <w:t>5.2%</w:t>
            </w:r>
          </w:p>
        </w:tc>
        <w:tc>
          <w:tcPr>
            <w:tcW w:w="1080" w:type="dxa"/>
            <w:tcBorders>
              <w:bottom w:val="single" w:sz="12" w:space="0" w:color="808080"/>
            </w:tcBorders>
          </w:tcPr>
          <w:p>
            <w:pPr>
              <w:pStyle w:val="Normal"/>
              <w:jc w:val="center"/>
              <w:rPr/>
            </w:pPr>
            <w:r>
              <w:rPr>
                <w:rFonts w:eastAsia="Symbol" w:cs="Symbol" w:ascii="Symbol" w:hAnsi="Symbol"/>
              </w:rPr>
              <w:sym w:font="Symbol" w:char="f0b1"/>
            </w:r>
            <w:r>
              <w:rPr/>
              <w:t xml:space="preserve"> </w:t>
            </w:r>
            <w:r>
              <w:rPr/>
              <w:t>$ 0.59</w:t>
            </w:r>
          </w:p>
        </w:tc>
        <w:tc>
          <w:tcPr>
            <w:tcW w:w="1440" w:type="dxa"/>
            <w:tcBorders>
              <w:bottom w:val="single" w:sz="12" w:space="0" w:color="808080"/>
            </w:tcBorders>
          </w:tcPr>
          <w:p>
            <w:pPr>
              <w:pStyle w:val="Normal"/>
              <w:jc w:val="center"/>
              <w:rPr/>
            </w:pPr>
            <w:r>
              <w:rPr/>
              <w:t>---</w:t>
            </w:r>
          </w:p>
        </w:tc>
      </w:tr>
    </w:tbl>
    <w:p>
      <w:pPr>
        <w:pStyle w:val="Normal"/>
        <w:rPr/>
      </w:pPr>
      <w:r>
        <w:rPr>
          <w:b/>
          <w:sz w:val="18"/>
          <w:vertAlign w:val="superscript"/>
        </w:rPr>
        <w:t xml:space="preserve">a </w:t>
      </w:r>
      <w:r>
        <w:rPr>
          <w:b/>
          <w:sz w:val="18"/>
        </w:rPr>
        <w:t xml:space="preserve">USDA Model forecasted from 1973-99 only; </w:t>
      </w:r>
      <w:r>
        <w:rPr>
          <w:b/>
          <w:sz w:val="18"/>
          <w:vertAlign w:val="superscript"/>
        </w:rPr>
        <w:t>b</w:t>
      </w:r>
      <w:r>
        <w:rPr>
          <w:b/>
          <w:sz w:val="18"/>
        </w:rPr>
        <w:t xml:space="preserve"> statistical goodness of fit measure; </w:t>
      </w:r>
      <w:r>
        <w:rPr>
          <w:b/>
          <w:sz w:val="18"/>
          <w:vertAlign w:val="superscript"/>
        </w:rPr>
        <w:t>c</w:t>
      </w:r>
      <w:r>
        <w:rPr>
          <w:b/>
          <w:sz w:val="18"/>
        </w:rPr>
        <w:t xml:space="preserve"> statistical goodness of fit measure adjusted for number of variables in model; </w:t>
      </w:r>
      <w:r>
        <w:rPr>
          <w:b/>
          <w:sz w:val="18"/>
          <w:vertAlign w:val="superscript"/>
        </w:rPr>
        <w:t>d</w:t>
      </w:r>
      <w:r>
        <w:rPr>
          <w:b/>
          <w:sz w:val="18"/>
        </w:rPr>
        <w:t xml:space="preserve"> error=abs(predicted price – actual price); </w:t>
      </w:r>
      <w:r>
        <w:rPr>
          <w:b/>
          <w:sz w:val="18"/>
          <w:vertAlign w:val="superscript"/>
        </w:rPr>
        <w:t>e</w:t>
      </w:r>
      <w:r>
        <w:rPr>
          <w:b/>
          <w:sz w:val="18"/>
        </w:rPr>
        <w:t xml:space="preserve"> 95% confidence interval returned by model; </w:t>
      </w:r>
      <w:r>
        <w:rPr>
          <w:b/>
          <w:sz w:val="18"/>
          <w:vertAlign w:val="superscript"/>
        </w:rPr>
        <w:t>f</w:t>
      </w:r>
      <w:r>
        <w:rPr>
          <w:b/>
          <w:sz w:val="18"/>
        </w:rPr>
        <w:t xml:space="preserve">  average error over 3 years of backcasts.</w:t>
      </w:r>
    </w:p>
    <w:p>
      <w:pPr>
        <w:pStyle w:val="Normal"/>
        <w:rPr>
          <w:b/>
          <w:sz w:val="21"/>
        </w:rPr>
      </w:pPr>
      <w:r>
        <w:rPr>
          <w:b/>
          <w:sz w:val="21"/>
        </w:rPr>
        <w:t xml:space="preserve"> </w:t>
      </w:r>
    </w:p>
    <w:p>
      <w:pPr>
        <w:pStyle w:val="Normal"/>
        <w:rPr/>
      </w:pPr>
      <w:r>
        <w:rPr>
          <w:sz w:val="21"/>
        </w:rPr>
        <w:t>Similar to the USDA results, R</w:t>
      </w:r>
      <w:r>
        <w:rPr>
          <w:sz w:val="21"/>
          <w:vertAlign w:val="superscript"/>
        </w:rPr>
        <w:t>2</w:t>
      </w:r>
      <w:r>
        <w:rPr>
          <w:sz w:val="21"/>
        </w:rPr>
        <w:t xml:space="preserve"> values associated with the Enron model using cash price as the dependent variable were greater than 0.90 while the average error and confidence bands were also</w:t>
      </w:r>
    </w:p>
    <w:p>
      <w:pPr>
        <w:pStyle w:val="Normal"/>
        <w:rPr/>
      </w:pPr>
      <w:r>
        <w:rPr>
          <w:sz w:val="21"/>
        </w:rPr>
        <w:t xml:space="preserve">comparable.  Additionally, the Enron model was used to assess the potential for directly predicting average annual CBOT futures prices as a function of the identical set of independent variables.  Generally, the Enron model did not perform quite as well when predicting CBOT futures prices as compared to cash prices.  Average error increased approximately $ 0.05 and confidence intervals increased roughly </w:t>
      </w:r>
      <w:r>
        <w:rPr>
          <w:rFonts w:eastAsia="Symbol" w:cs="Symbol" w:ascii="Symbol" w:hAnsi="Symbol"/>
          <w:sz w:val="21"/>
        </w:rPr>
        <w:sym w:font="Symbol" w:char="f0b1"/>
      </w:r>
      <w:r>
        <w:rPr>
          <w:sz w:val="21"/>
        </w:rPr>
        <w:t xml:space="preserve"> $ 0.15 for the CBOT price prediction model.  Nonetheless, the Enron model CBOT prices did exhibit fairly strong agreement with the actual prices as suggested by R</w:t>
      </w:r>
      <w:r>
        <w:rPr>
          <w:sz w:val="21"/>
          <w:vertAlign w:val="superscript"/>
        </w:rPr>
        <w:t>2</w:t>
      </w:r>
      <w:r>
        <w:rPr>
          <w:sz w:val="21"/>
        </w:rPr>
        <w:t xml:space="preserve"> values in excess of 0.80.  Both of the models successfully predicted actual wheat prices (cash or CBOT) and may be used to forecast future average annual values.  Figures for the above modeling runs are provided in Appendix B.     </w:t>
      </w:r>
    </w:p>
    <w:p>
      <w:pPr>
        <w:pStyle w:val="Normal"/>
        <w:rPr>
          <w:sz w:val="21"/>
        </w:rPr>
      </w:pPr>
      <w:r>
        <w:rPr>
          <w:sz w:val="21"/>
        </w:rPr>
      </w:r>
    </w:p>
    <w:p>
      <w:pPr>
        <w:pStyle w:val="Normal"/>
        <w:rPr>
          <w:sz w:val="21"/>
        </w:rPr>
      </w:pPr>
      <w:r>
        <w:rPr>
          <w:sz w:val="21"/>
        </w:rPr>
        <w:t xml:space="preserve">While both models may be used to forecast average annual price, it is important to note that many of the independent variables will also have to be forecasted.  Projections for these fundamental model inputs can be taken from secondary models developed by Enron (see next section) or from USDA or Sparks consulting estimates.  Both USDA and Sparks provide short-term projections (1 to 2 years) for commodity supply and demand metrics while the USDA offers long-term baseline forecasts for these same metrics through the 2009-10 crop year.     </w:t>
      </w:r>
    </w:p>
    <w:p>
      <w:pPr>
        <w:pStyle w:val="Normal"/>
        <w:rPr>
          <w:sz w:val="21"/>
        </w:rPr>
      </w:pPr>
      <w:r>
        <w:rPr>
          <w:sz w:val="21"/>
        </w:rPr>
      </w:r>
    </w:p>
    <w:p>
      <w:pPr>
        <w:pStyle w:val="Normal"/>
        <w:rPr>
          <w:b/>
          <w:sz w:val="21"/>
        </w:rPr>
      </w:pPr>
      <w:r>
        <w:rPr>
          <w:b/>
          <w:sz w:val="21"/>
        </w:rPr>
      </w:r>
    </w:p>
    <w:p>
      <w:pPr>
        <w:pStyle w:val="Normal"/>
        <w:rPr>
          <w:b/>
          <w:sz w:val="21"/>
        </w:rPr>
      </w:pPr>
      <w:r>
        <w:rPr>
          <w:b/>
          <w:sz w:val="21"/>
        </w:rPr>
        <w:t>Production and Yield Forecast Model(s)</w:t>
      </w:r>
    </w:p>
    <w:p>
      <w:pPr>
        <w:pStyle w:val="BodyText3"/>
        <w:rPr>
          <w:b w:val="false"/>
          <w:sz w:val="21"/>
        </w:rPr>
      </w:pPr>
      <w:r>
        <w:rPr>
          <w:b w:val="false"/>
          <w:sz w:val="21"/>
        </w:rPr>
      </w:r>
    </w:p>
    <w:p>
      <w:pPr>
        <w:pStyle w:val="BodyText3"/>
        <w:rPr>
          <w:b w:val="false"/>
          <w:color w:val="auto"/>
          <w:sz w:val="21"/>
        </w:rPr>
      </w:pPr>
      <w:r>
        <w:rPr>
          <w:b w:val="false"/>
          <w:color w:val="auto"/>
          <w:sz w:val="21"/>
        </w:rPr>
        <w:t xml:space="preserve">Multivariate regression models were estimated for wheat using annual production and yield as dependent variables at the state and regional level.  The explanatory variables included technology trend (using time as a proxy), area (production model only), and weather.  A major feature of these models was the inclusion of dummy variables to capture regional phenomena in both production and yield.  By using this methodology, it was possible to test for state and region-specific differences or similarities in production and yield based on extreme weather events.  </w:t>
      </w:r>
    </w:p>
    <w:p>
      <w:pPr>
        <w:pStyle w:val="BodyText3"/>
        <w:rPr>
          <w:b w:val="false"/>
          <w:color w:val="auto"/>
          <w:sz w:val="21"/>
        </w:rPr>
      </w:pPr>
      <w:r>
        <w:rPr>
          <w:b w:val="false"/>
          <w:color w:val="auto"/>
          <w:sz w:val="21"/>
        </w:rPr>
      </w:r>
    </w:p>
    <w:p>
      <w:pPr>
        <w:pStyle w:val="BodyText3"/>
        <w:rPr>
          <w:b w:val="false"/>
          <w:color w:val="auto"/>
          <w:sz w:val="21"/>
        </w:rPr>
      </w:pPr>
      <w:r>
        <w:rPr>
          <w:b w:val="false"/>
          <w:color w:val="auto"/>
          <w:sz w:val="21"/>
        </w:rPr>
        <w:t>Weather was modeled using a variety of different terms and/or combinations of terms (see Appendix C for definitions of variables).  The general goal of these modeling efforts was to determine the impacts of extreme weather conditions (based on an agronomy calendar) on yield or production.  For the specific case of wheat, the weather variables were measured in May because wheat experiences the fastest growth and is more susceptible to either temperature or precipitation-related stress during this time period.</w:t>
      </w:r>
    </w:p>
    <w:p>
      <w:pPr>
        <w:pStyle w:val="BodyText3"/>
        <w:rPr>
          <w:b w:val="false"/>
          <w:color w:val="auto"/>
          <w:sz w:val="21"/>
        </w:rPr>
      </w:pPr>
      <w:r>
        <w:rPr>
          <w:b w:val="false"/>
          <w:color w:val="auto"/>
          <w:sz w:val="21"/>
        </w:rPr>
      </w:r>
    </w:p>
    <w:p>
      <w:pPr>
        <w:pStyle w:val="BodyText3"/>
        <w:rPr/>
      </w:pPr>
      <w:r>
        <w:rPr>
          <w:b w:val="false"/>
          <w:color w:val="auto"/>
          <w:sz w:val="21"/>
        </w:rPr>
        <w:t>A summary of representative econometric modeling results is offered in Table 2.  As shown below, most of the variance in production was explained by the model variables as evidenced by R</w:t>
      </w:r>
      <w:r>
        <w:rPr>
          <w:b w:val="false"/>
          <w:color w:val="auto"/>
          <w:sz w:val="21"/>
          <w:vertAlign w:val="superscript"/>
        </w:rPr>
        <w:t>2</w:t>
      </w:r>
      <w:r>
        <w:rPr>
          <w:b w:val="false"/>
          <w:color w:val="auto"/>
          <w:sz w:val="21"/>
        </w:rPr>
        <w:t>=0.92.  In contrast, very little of the variance in yield was explained by the model variables (R</w:t>
      </w:r>
      <w:r>
        <w:rPr>
          <w:b w:val="false"/>
          <w:color w:val="auto"/>
          <w:sz w:val="21"/>
          <w:vertAlign w:val="superscript"/>
        </w:rPr>
        <w:t>2</w:t>
      </w:r>
      <w:r>
        <w:rPr>
          <w:b w:val="false"/>
          <w:color w:val="auto"/>
          <w:sz w:val="21"/>
        </w:rPr>
        <w:t>=0.32).  Little difference in explained variance was observed by addition of the various weather variables to the model even though the terms were statistically significant.  Inclusion of combinations of weather variables, for example precipitation and cooling degree days, also did not result in greater explained variance in production or yield.  Thus, while extreme weather is a statistically important model parameter, its influence on explaining variance in production and yield is small compared to other variables such as harvested area.</w:t>
      </w:r>
    </w:p>
    <w:p>
      <w:pPr>
        <w:pStyle w:val="Normal"/>
        <w:rPr>
          <w:b/>
          <w:color w:val="auto"/>
          <w:sz w:val="21"/>
        </w:rPr>
      </w:pPr>
      <w:r>
        <w:rPr>
          <w:b/>
          <w:color w:val="auto"/>
          <w:sz w:val="21"/>
        </w:rPr>
      </w:r>
    </w:p>
    <w:p>
      <w:pPr>
        <w:pStyle w:val="Normal"/>
        <w:rPr>
          <w:b/>
        </w:rPr>
      </w:pPr>
      <w:r>
        <w:rPr>
          <w:b/>
        </w:rPr>
        <w:t>Table 2. Summary of Results from Production and Yield Wheat Models.</w:t>
      </w:r>
    </w:p>
    <w:tbl>
      <w:tblPr>
        <w:tblW w:w="8388" w:type="dxa"/>
        <w:jc w:val="start"/>
        <w:tblInd w:w="0" w:type="dxa"/>
        <w:tblLayout w:type="fixed"/>
        <w:tblCellMar>
          <w:top w:w="0" w:type="dxa"/>
          <w:start w:w="108" w:type="dxa"/>
          <w:bottom w:w="0" w:type="dxa"/>
          <w:end w:w="108" w:type="dxa"/>
        </w:tblCellMar>
      </w:tblPr>
      <w:tblGrid>
        <w:gridCol w:w="3798"/>
        <w:gridCol w:w="1710"/>
        <w:gridCol w:w="1170"/>
        <w:gridCol w:w="1710"/>
      </w:tblGrid>
      <w:tr>
        <w:trPr/>
        <w:tc>
          <w:tcPr>
            <w:tcW w:w="3798" w:type="dxa"/>
            <w:tcBorders>
              <w:top w:val="single" w:sz="12" w:space="0" w:color="808080"/>
              <w:bottom w:val="single" w:sz="6" w:space="0" w:color="808080"/>
            </w:tcBorders>
          </w:tcPr>
          <w:p>
            <w:pPr>
              <w:pStyle w:val="Normal"/>
              <w:rPr>
                <w:b/>
              </w:rPr>
            </w:pPr>
            <w:r>
              <w:rPr>
                <w:b/>
              </w:rPr>
              <w:t>Dependent Variable: Wheat Production</w:t>
            </w:r>
          </w:p>
        </w:tc>
        <w:tc>
          <w:tcPr>
            <w:tcW w:w="1710" w:type="dxa"/>
            <w:tcBorders>
              <w:top w:val="single" w:sz="12" w:space="0" w:color="808080"/>
              <w:bottom w:val="single" w:sz="6" w:space="0" w:color="808080"/>
            </w:tcBorders>
          </w:tcPr>
          <w:p>
            <w:pPr>
              <w:pStyle w:val="Heading3"/>
              <w:ind w:hanging="0" w:start="0"/>
              <w:rPr/>
            </w:pPr>
            <w:r>
              <w:rPr/>
              <w:t>Adj R</w:t>
            </w:r>
            <w:r>
              <w:rPr>
                <w:vertAlign w:val="superscript"/>
              </w:rPr>
              <w:t>2</w:t>
            </w:r>
            <w:r>
              <w:rPr/>
              <w:t>= 0.9159</w:t>
            </w:r>
          </w:p>
        </w:tc>
        <w:tc>
          <w:tcPr>
            <w:tcW w:w="1170" w:type="dxa"/>
            <w:tcBorders>
              <w:top w:val="single" w:sz="12" w:space="0" w:color="808080"/>
              <w:bottom w:val="single" w:sz="6" w:space="0" w:color="808080"/>
            </w:tcBorders>
          </w:tcPr>
          <w:p>
            <w:pPr>
              <w:pStyle w:val="Normal"/>
              <w:snapToGrid w:val="false"/>
              <w:rPr/>
            </w:pPr>
            <w:r>
              <w:rPr/>
            </w:r>
          </w:p>
        </w:tc>
        <w:tc>
          <w:tcPr>
            <w:tcW w:w="1710" w:type="dxa"/>
            <w:tcBorders>
              <w:top w:val="single" w:sz="12" w:space="0" w:color="808080"/>
              <w:bottom w:val="single" w:sz="6" w:space="0" w:color="808080"/>
            </w:tcBorders>
          </w:tcPr>
          <w:p>
            <w:pPr>
              <w:pStyle w:val="Normal"/>
              <w:snapToGrid w:val="false"/>
              <w:rPr/>
            </w:pPr>
            <w:r>
              <w:rPr/>
            </w:r>
          </w:p>
        </w:tc>
      </w:tr>
      <w:tr>
        <w:trPr/>
        <w:tc>
          <w:tcPr>
            <w:tcW w:w="3798" w:type="dxa"/>
            <w:tcBorders/>
          </w:tcPr>
          <w:p>
            <w:pPr>
              <w:pStyle w:val="Normal"/>
              <w:rPr/>
            </w:pPr>
            <w:r>
              <w:rPr/>
              <w:t>Variable</w:t>
            </w:r>
          </w:p>
        </w:tc>
        <w:tc>
          <w:tcPr>
            <w:tcW w:w="1710" w:type="dxa"/>
            <w:tcBorders/>
          </w:tcPr>
          <w:p>
            <w:pPr>
              <w:pStyle w:val="Normal"/>
              <w:rPr/>
            </w:pPr>
            <w:r>
              <w:rPr/>
              <w:t>Parameter</w:t>
            </w:r>
          </w:p>
        </w:tc>
        <w:tc>
          <w:tcPr>
            <w:tcW w:w="1170" w:type="dxa"/>
            <w:tcBorders/>
          </w:tcPr>
          <w:p>
            <w:pPr>
              <w:pStyle w:val="Normal"/>
              <w:rPr/>
            </w:pPr>
            <w:r>
              <w:rPr/>
              <w:t>t Value</w:t>
            </w:r>
          </w:p>
        </w:tc>
        <w:tc>
          <w:tcPr>
            <w:tcW w:w="1710" w:type="dxa"/>
            <w:tcBorders/>
          </w:tcPr>
          <w:p>
            <w:pPr>
              <w:pStyle w:val="Normal"/>
              <w:rPr/>
            </w:pPr>
            <w:r>
              <w:rPr/>
              <w:t>Pr &gt; |t|</w:t>
            </w:r>
          </w:p>
        </w:tc>
      </w:tr>
      <w:tr>
        <w:trPr/>
        <w:tc>
          <w:tcPr>
            <w:tcW w:w="3798" w:type="dxa"/>
            <w:tcBorders/>
          </w:tcPr>
          <w:p>
            <w:pPr>
              <w:pStyle w:val="Normal"/>
              <w:rPr/>
            </w:pPr>
            <w:r>
              <w:rPr/>
              <w:t>Intercept</w:t>
            </w:r>
          </w:p>
        </w:tc>
        <w:tc>
          <w:tcPr>
            <w:tcW w:w="1710" w:type="dxa"/>
            <w:tcBorders/>
          </w:tcPr>
          <w:p>
            <w:pPr>
              <w:pStyle w:val="Normal"/>
              <w:rPr/>
            </w:pPr>
            <w:r>
              <w:rPr/>
              <w:t>-2879642738</w:t>
            </w:r>
          </w:p>
        </w:tc>
        <w:tc>
          <w:tcPr>
            <w:tcW w:w="1170" w:type="dxa"/>
            <w:tcBorders/>
          </w:tcPr>
          <w:p>
            <w:pPr>
              <w:pStyle w:val="Normal"/>
              <w:rPr/>
            </w:pPr>
            <w:r>
              <w:rPr/>
              <w:t>-17.187</w:t>
            </w:r>
          </w:p>
        </w:tc>
        <w:tc>
          <w:tcPr>
            <w:tcW w:w="1710" w:type="dxa"/>
            <w:tcBorders/>
          </w:tcPr>
          <w:p>
            <w:pPr>
              <w:pStyle w:val="Normal"/>
              <w:rPr/>
            </w:pPr>
            <w:r>
              <w:rPr/>
              <w:t>&lt;.0001</w:t>
            </w:r>
          </w:p>
        </w:tc>
      </w:tr>
      <w:tr>
        <w:trPr/>
        <w:tc>
          <w:tcPr>
            <w:tcW w:w="3798" w:type="dxa"/>
            <w:tcBorders/>
          </w:tcPr>
          <w:p>
            <w:pPr>
              <w:pStyle w:val="Normal"/>
              <w:rPr/>
            </w:pPr>
            <w:r>
              <w:rPr/>
              <w:t>Year</w:t>
            </w:r>
          </w:p>
        </w:tc>
        <w:tc>
          <w:tcPr>
            <w:tcW w:w="1710" w:type="dxa"/>
            <w:tcBorders/>
          </w:tcPr>
          <w:p>
            <w:pPr>
              <w:pStyle w:val="Normal"/>
              <w:rPr/>
            </w:pPr>
            <w:r>
              <w:rPr/>
              <w:t>1459169</w:t>
            </w:r>
          </w:p>
        </w:tc>
        <w:tc>
          <w:tcPr>
            <w:tcW w:w="1170" w:type="dxa"/>
            <w:tcBorders/>
          </w:tcPr>
          <w:p>
            <w:pPr>
              <w:pStyle w:val="Normal"/>
              <w:rPr/>
            </w:pPr>
            <w:r>
              <w:rPr/>
              <w:t>17.39</w:t>
            </w:r>
          </w:p>
        </w:tc>
        <w:tc>
          <w:tcPr>
            <w:tcW w:w="1710" w:type="dxa"/>
            <w:tcBorders/>
          </w:tcPr>
          <w:p>
            <w:pPr>
              <w:pStyle w:val="Normal"/>
              <w:rPr/>
            </w:pPr>
            <w:r>
              <w:rPr/>
              <w:t>&lt;.0001</w:t>
            </w:r>
          </w:p>
        </w:tc>
      </w:tr>
      <w:tr>
        <w:trPr/>
        <w:tc>
          <w:tcPr>
            <w:tcW w:w="3798" w:type="dxa"/>
            <w:tcBorders/>
          </w:tcPr>
          <w:p>
            <w:pPr>
              <w:pStyle w:val="Normal"/>
              <w:rPr/>
            </w:pPr>
            <w:r>
              <w:rPr/>
              <w:t>Area</w:t>
            </w:r>
          </w:p>
        </w:tc>
        <w:tc>
          <w:tcPr>
            <w:tcW w:w="1710" w:type="dxa"/>
            <w:tcBorders/>
          </w:tcPr>
          <w:p>
            <w:pPr>
              <w:pStyle w:val="Normal"/>
              <w:rPr/>
            </w:pPr>
            <w:r>
              <w:rPr/>
              <w:t>123.1289</w:t>
            </w:r>
          </w:p>
        </w:tc>
        <w:tc>
          <w:tcPr>
            <w:tcW w:w="1170" w:type="dxa"/>
            <w:tcBorders/>
          </w:tcPr>
          <w:p>
            <w:pPr>
              <w:pStyle w:val="Normal"/>
              <w:rPr/>
            </w:pPr>
            <w:r>
              <w:rPr/>
              <w:t>74.94</w:t>
            </w:r>
          </w:p>
        </w:tc>
        <w:tc>
          <w:tcPr>
            <w:tcW w:w="1710" w:type="dxa"/>
            <w:tcBorders/>
          </w:tcPr>
          <w:p>
            <w:pPr>
              <w:pStyle w:val="Normal"/>
              <w:rPr/>
            </w:pPr>
            <w:r>
              <w:rPr/>
              <w:t>&lt;.0001</w:t>
            </w:r>
          </w:p>
        </w:tc>
      </w:tr>
      <w:tr>
        <w:trPr/>
        <w:tc>
          <w:tcPr>
            <w:tcW w:w="3798" w:type="dxa"/>
            <w:tcBorders/>
          </w:tcPr>
          <w:p>
            <w:pPr>
              <w:pStyle w:val="Normal"/>
              <w:rPr/>
            </w:pPr>
            <w:r>
              <w:rPr/>
              <w:t>Cdd65</w:t>
            </w:r>
          </w:p>
        </w:tc>
        <w:tc>
          <w:tcPr>
            <w:tcW w:w="1710" w:type="dxa"/>
            <w:tcBorders/>
          </w:tcPr>
          <w:p>
            <w:pPr>
              <w:pStyle w:val="Normal"/>
              <w:rPr/>
            </w:pPr>
            <w:r>
              <w:rPr/>
              <w:t>-37016</w:t>
            </w:r>
          </w:p>
        </w:tc>
        <w:tc>
          <w:tcPr>
            <w:tcW w:w="1170" w:type="dxa"/>
            <w:tcBorders/>
          </w:tcPr>
          <w:p>
            <w:pPr>
              <w:pStyle w:val="Normal"/>
              <w:rPr/>
            </w:pPr>
            <w:r>
              <w:rPr/>
              <w:t>-6.85</w:t>
            </w:r>
          </w:p>
        </w:tc>
        <w:tc>
          <w:tcPr>
            <w:tcW w:w="1710" w:type="dxa"/>
            <w:tcBorders/>
          </w:tcPr>
          <w:p>
            <w:pPr>
              <w:pStyle w:val="Normal"/>
              <w:rPr/>
            </w:pPr>
            <w:r>
              <w:rPr/>
              <w:t>&lt;.0001</w:t>
            </w:r>
          </w:p>
        </w:tc>
      </w:tr>
      <w:tr>
        <w:trPr/>
        <w:tc>
          <w:tcPr>
            <w:tcW w:w="3798" w:type="dxa"/>
            <w:tcBorders>
              <w:bottom w:val="single" w:sz="12" w:space="0" w:color="808080"/>
            </w:tcBorders>
          </w:tcPr>
          <w:p>
            <w:pPr>
              <w:pStyle w:val="Normal"/>
              <w:rPr/>
            </w:pPr>
            <w:r>
              <w:rPr/>
              <w:t xml:space="preserve">Region variables (not all significant) </w:t>
            </w:r>
          </w:p>
        </w:tc>
        <w:tc>
          <w:tcPr>
            <w:tcW w:w="1710" w:type="dxa"/>
            <w:tcBorders>
              <w:bottom w:val="single" w:sz="12" w:space="0" w:color="808080"/>
            </w:tcBorders>
          </w:tcPr>
          <w:p>
            <w:pPr>
              <w:pStyle w:val="Normal"/>
              <w:snapToGrid w:val="false"/>
              <w:rPr/>
            </w:pPr>
            <w:r>
              <w:rPr/>
            </w:r>
          </w:p>
        </w:tc>
        <w:tc>
          <w:tcPr>
            <w:tcW w:w="1170" w:type="dxa"/>
            <w:tcBorders>
              <w:bottom w:val="single" w:sz="12" w:space="0" w:color="808080"/>
            </w:tcBorders>
          </w:tcPr>
          <w:p>
            <w:pPr>
              <w:pStyle w:val="Normal"/>
              <w:snapToGrid w:val="false"/>
              <w:rPr/>
            </w:pPr>
            <w:r>
              <w:rPr/>
            </w:r>
          </w:p>
        </w:tc>
        <w:tc>
          <w:tcPr>
            <w:tcW w:w="1710" w:type="dxa"/>
            <w:tcBorders>
              <w:bottom w:val="single" w:sz="12" w:space="0" w:color="808080"/>
            </w:tcBorders>
          </w:tcPr>
          <w:p>
            <w:pPr>
              <w:pStyle w:val="Normal"/>
              <w:snapToGrid w:val="false"/>
              <w:rPr/>
            </w:pPr>
            <w:r>
              <w:rPr/>
            </w:r>
          </w:p>
        </w:tc>
      </w:tr>
    </w:tbl>
    <w:p>
      <w:pPr>
        <w:pStyle w:val="Normal"/>
        <w:rPr>
          <w:b/>
        </w:rPr>
      </w:pPr>
      <w:r>
        <w:rPr>
          <w:b/>
        </w:rPr>
      </w:r>
    </w:p>
    <w:tbl>
      <w:tblPr>
        <w:tblW w:w="8388" w:type="dxa"/>
        <w:jc w:val="start"/>
        <w:tblInd w:w="0" w:type="dxa"/>
        <w:tblLayout w:type="fixed"/>
        <w:tblCellMar>
          <w:top w:w="0" w:type="dxa"/>
          <w:start w:w="108" w:type="dxa"/>
          <w:bottom w:w="0" w:type="dxa"/>
          <w:end w:w="108" w:type="dxa"/>
        </w:tblCellMar>
      </w:tblPr>
      <w:tblGrid>
        <w:gridCol w:w="3798"/>
        <w:gridCol w:w="1710"/>
        <w:gridCol w:w="1170"/>
        <w:gridCol w:w="1710"/>
      </w:tblGrid>
      <w:tr>
        <w:trPr/>
        <w:tc>
          <w:tcPr>
            <w:tcW w:w="3798" w:type="dxa"/>
            <w:tcBorders>
              <w:top w:val="single" w:sz="12" w:space="0" w:color="808080"/>
              <w:bottom w:val="single" w:sz="6" w:space="0" w:color="808080"/>
            </w:tcBorders>
          </w:tcPr>
          <w:p>
            <w:pPr>
              <w:pStyle w:val="Heading3"/>
              <w:ind w:hanging="0" w:start="0"/>
              <w:rPr/>
            </w:pPr>
            <w:r>
              <w:rPr/>
              <w:t>Dependent Variable: Wheat Yield</w:t>
            </w:r>
          </w:p>
        </w:tc>
        <w:tc>
          <w:tcPr>
            <w:tcW w:w="1710" w:type="dxa"/>
            <w:tcBorders>
              <w:top w:val="single" w:sz="12" w:space="0" w:color="808080"/>
              <w:bottom w:val="single" w:sz="6" w:space="0" w:color="808080"/>
            </w:tcBorders>
          </w:tcPr>
          <w:p>
            <w:pPr>
              <w:pStyle w:val="Heading3"/>
              <w:ind w:hanging="0" w:start="0"/>
              <w:rPr/>
            </w:pPr>
            <w:r>
              <w:rPr/>
              <w:t>Adj R</w:t>
            </w:r>
            <w:r>
              <w:rPr>
                <w:vertAlign w:val="superscript"/>
              </w:rPr>
              <w:t>2</w:t>
            </w:r>
            <w:r>
              <w:rPr/>
              <w:t>= 0.3147</w:t>
            </w:r>
          </w:p>
        </w:tc>
        <w:tc>
          <w:tcPr>
            <w:tcW w:w="1170" w:type="dxa"/>
            <w:tcBorders>
              <w:top w:val="single" w:sz="12" w:space="0" w:color="808080"/>
              <w:bottom w:val="single" w:sz="6" w:space="0" w:color="808080"/>
            </w:tcBorders>
          </w:tcPr>
          <w:p>
            <w:pPr>
              <w:pStyle w:val="Normal"/>
              <w:snapToGrid w:val="false"/>
              <w:rPr/>
            </w:pPr>
            <w:r>
              <w:rPr/>
            </w:r>
          </w:p>
        </w:tc>
        <w:tc>
          <w:tcPr>
            <w:tcW w:w="1710" w:type="dxa"/>
            <w:tcBorders>
              <w:top w:val="single" w:sz="12" w:space="0" w:color="808080"/>
              <w:bottom w:val="single" w:sz="6" w:space="0" w:color="808080"/>
            </w:tcBorders>
          </w:tcPr>
          <w:p>
            <w:pPr>
              <w:pStyle w:val="Normal"/>
              <w:snapToGrid w:val="false"/>
              <w:rPr/>
            </w:pPr>
            <w:r>
              <w:rPr/>
            </w:r>
          </w:p>
        </w:tc>
      </w:tr>
      <w:tr>
        <w:trPr/>
        <w:tc>
          <w:tcPr>
            <w:tcW w:w="3798" w:type="dxa"/>
            <w:tcBorders/>
          </w:tcPr>
          <w:p>
            <w:pPr>
              <w:pStyle w:val="Normal"/>
              <w:rPr/>
            </w:pPr>
            <w:r>
              <w:rPr/>
              <w:t>Variable</w:t>
            </w:r>
          </w:p>
        </w:tc>
        <w:tc>
          <w:tcPr>
            <w:tcW w:w="1710" w:type="dxa"/>
            <w:tcBorders/>
          </w:tcPr>
          <w:p>
            <w:pPr>
              <w:pStyle w:val="Normal"/>
              <w:rPr/>
            </w:pPr>
            <w:r>
              <w:rPr/>
              <w:t>Parameter</w:t>
            </w:r>
          </w:p>
        </w:tc>
        <w:tc>
          <w:tcPr>
            <w:tcW w:w="1170" w:type="dxa"/>
            <w:tcBorders/>
          </w:tcPr>
          <w:p>
            <w:pPr>
              <w:pStyle w:val="Normal"/>
              <w:rPr/>
            </w:pPr>
            <w:r>
              <w:rPr/>
              <w:t>t Value</w:t>
            </w:r>
          </w:p>
        </w:tc>
        <w:tc>
          <w:tcPr>
            <w:tcW w:w="1710" w:type="dxa"/>
            <w:tcBorders/>
          </w:tcPr>
          <w:p>
            <w:pPr>
              <w:pStyle w:val="Normal"/>
              <w:rPr/>
            </w:pPr>
            <w:r>
              <w:rPr/>
              <w:t>Pr &gt; |t|</w:t>
            </w:r>
          </w:p>
        </w:tc>
      </w:tr>
      <w:tr>
        <w:trPr/>
        <w:tc>
          <w:tcPr>
            <w:tcW w:w="3798" w:type="dxa"/>
            <w:tcBorders/>
          </w:tcPr>
          <w:p>
            <w:pPr>
              <w:pStyle w:val="Normal"/>
              <w:rPr/>
            </w:pPr>
            <w:r>
              <w:rPr/>
              <w:t>Intercept</w:t>
            </w:r>
          </w:p>
        </w:tc>
        <w:tc>
          <w:tcPr>
            <w:tcW w:w="1710" w:type="dxa"/>
            <w:tcBorders/>
          </w:tcPr>
          <w:p>
            <w:pPr>
              <w:pStyle w:val="Normal"/>
              <w:rPr/>
            </w:pPr>
            <w:r>
              <w:rPr/>
              <w:t>-3088.0205</w:t>
            </w:r>
          </w:p>
        </w:tc>
        <w:tc>
          <w:tcPr>
            <w:tcW w:w="1170" w:type="dxa"/>
            <w:tcBorders/>
          </w:tcPr>
          <w:p>
            <w:pPr>
              <w:pStyle w:val="Normal"/>
              <w:rPr/>
            </w:pPr>
            <w:r>
              <w:rPr/>
              <w:t>-18.64</w:t>
            </w:r>
          </w:p>
        </w:tc>
        <w:tc>
          <w:tcPr>
            <w:tcW w:w="1710" w:type="dxa"/>
            <w:tcBorders/>
          </w:tcPr>
          <w:p>
            <w:pPr>
              <w:pStyle w:val="Normal"/>
              <w:rPr/>
            </w:pPr>
            <w:r>
              <w:rPr/>
              <w:t>&lt;.0001</w:t>
            </w:r>
          </w:p>
        </w:tc>
      </w:tr>
      <w:tr>
        <w:trPr/>
        <w:tc>
          <w:tcPr>
            <w:tcW w:w="3798" w:type="dxa"/>
            <w:tcBorders/>
          </w:tcPr>
          <w:p>
            <w:pPr>
              <w:pStyle w:val="Normal"/>
              <w:rPr/>
            </w:pPr>
            <w:r>
              <w:rPr/>
              <w:t>Year</w:t>
            </w:r>
          </w:p>
        </w:tc>
        <w:tc>
          <w:tcPr>
            <w:tcW w:w="1710" w:type="dxa"/>
            <w:tcBorders/>
          </w:tcPr>
          <w:p>
            <w:pPr>
              <w:pStyle w:val="Normal"/>
              <w:rPr/>
            </w:pPr>
            <w:r>
              <w:rPr/>
              <w:t>1.6110</w:t>
            </w:r>
          </w:p>
        </w:tc>
        <w:tc>
          <w:tcPr>
            <w:tcW w:w="1170" w:type="dxa"/>
            <w:tcBorders/>
          </w:tcPr>
          <w:p>
            <w:pPr>
              <w:pStyle w:val="Normal"/>
              <w:rPr/>
            </w:pPr>
            <w:r>
              <w:rPr/>
              <w:t>19.32</w:t>
            </w:r>
          </w:p>
        </w:tc>
        <w:tc>
          <w:tcPr>
            <w:tcW w:w="1710" w:type="dxa"/>
            <w:tcBorders/>
          </w:tcPr>
          <w:p>
            <w:pPr>
              <w:pStyle w:val="Normal"/>
              <w:rPr/>
            </w:pPr>
            <w:r>
              <w:rPr/>
              <w:t>&lt;.0001</w:t>
            </w:r>
          </w:p>
        </w:tc>
      </w:tr>
      <w:tr>
        <w:trPr/>
        <w:tc>
          <w:tcPr>
            <w:tcW w:w="3798" w:type="dxa"/>
            <w:tcBorders/>
          </w:tcPr>
          <w:p>
            <w:pPr>
              <w:pStyle w:val="Normal"/>
              <w:rPr/>
            </w:pPr>
            <w:r>
              <w:rPr/>
              <w:t>TempA</w:t>
            </w:r>
          </w:p>
        </w:tc>
        <w:tc>
          <w:tcPr>
            <w:tcW w:w="1710" w:type="dxa"/>
            <w:tcBorders/>
          </w:tcPr>
          <w:p>
            <w:pPr>
              <w:pStyle w:val="Normal"/>
              <w:rPr/>
            </w:pPr>
            <w:r>
              <w:rPr/>
              <w:t>-5.7005</w:t>
            </w:r>
          </w:p>
        </w:tc>
        <w:tc>
          <w:tcPr>
            <w:tcW w:w="1170" w:type="dxa"/>
            <w:tcBorders/>
          </w:tcPr>
          <w:p>
            <w:pPr>
              <w:pStyle w:val="Normal"/>
              <w:rPr/>
            </w:pPr>
            <w:r>
              <w:rPr/>
              <w:t>-3.90</w:t>
            </w:r>
          </w:p>
        </w:tc>
        <w:tc>
          <w:tcPr>
            <w:tcW w:w="1710" w:type="dxa"/>
            <w:tcBorders/>
          </w:tcPr>
          <w:p>
            <w:pPr>
              <w:pStyle w:val="Normal"/>
              <w:rPr/>
            </w:pPr>
            <w:r>
              <w:rPr/>
              <w:t>&lt;.0001</w:t>
            </w:r>
          </w:p>
        </w:tc>
      </w:tr>
      <w:tr>
        <w:trPr/>
        <w:tc>
          <w:tcPr>
            <w:tcW w:w="3798" w:type="dxa"/>
            <w:tcBorders>
              <w:bottom w:val="single" w:sz="12" w:space="0" w:color="808080"/>
            </w:tcBorders>
          </w:tcPr>
          <w:p>
            <w:pPr>
              <w:pStyle w:val="Normal"/>
              <w:rPr/>
            </w:pPr>
            <w:r>
              <w:rPr/>
              <w:t>Region variables (not all significant)</w:t>
            </w:r>
          </w:p>
        </w:tc>
        <w:tc>
          <w:tcPr>
            <w:tcW w:w="1710" w:type="dxa"/>
            <w:tcBorders>
              <w:bottom w:val="single" w:sz="12" w:space="0" w:color="808080"/>
            </w:tcBorders>
          </w:tcPr>
          <w:p>
            <w:pPr>
              <w:pStyle w:val="Normal"/>
              <w:snapToGrid w:val="false"/>
              <w:rPr/>
            </w:pPr>
            <w:r>
              <w:rPr/>
            </w:r>
          </w:p>
        </w:tc>
        <w:tc>
          <w:tcPr>
            <w:tcW w:w="1170" w:type="dxa"/>
            <w:tcBorders>
              <w:bottom w:val="single" w:sz="12" w:space="0" w:color="808080"/>
            </w:tcBorders>
          </w:tcPr>
          <w:p>
            <w:pPr>
              <w:pStyle w:val="Normal"/>
              <w:snapToGrid w:val="false"/>
              <w:rPr/>
            </w:pPr>
            <w:r>
              <w:rPr/>
            </w:r>
          </w:p>
        </w:tc>
        <w:tc>
          <w:tcPr>
            <w:tcW w:w="1710" w:type="dxa"/>
            <w:tcBorders>
              <w:bottom w:val="single" w:sz="12" w:space="0" w:color="808080"/>
            </w:tcBorders>
          </w:tcPr>
          <w:p>
            <w:pPr>
              <w:pStyle w:val="Normal"/>
              <w:rPr/>
            </w:pPr>
            <w:r>
              <w:rPr/>
              <w:t>&lt;.0001</w:t>
            </w:r>
          </w:p>
        </w:tc>
      </w:tr>
    </w:tbl>
    <w:p>
      <w:pPr>
        <w:pStyle w:val="Normal"/>
        <w:rPr>
          <w:b/>
          <w:sz w:val="22"/>
        </w:rPr>
      </w:pPr>
      <w:r>
        <w:rPr>
          <w:b/>
          <w:sz w:val="22"/>
        </w:rPr>
      </w:r>
    </w:p>
    <w:p>
      <w:pPr>
        <w:pStyle w:val="Heading2"/>
        <w:ind w:hanging="0" w:start="0"/>
        <w:rPr>
          <w:b w:val="false"/>
          <w:sz w:val="22"/>
        </w:rPr>
      </w:pPr>
      <w:r>
        <w:rPr>
          <w:b w:val="false"/>
          <w:sz w:val="22"/>
        </w:rPr>
      </w:r>
    </w:p>
    <w:p>
      <w:pPr>
        <w:pStyle w:val="Heading2"/>
        <w:ind w:hanging="0" w:start="0"/>
        <w:rPr/>
      </w:pPr>
      <w:r>
        <w:rPr/>
      </w:r>
    </w:p>
    <w:p>
      <w:pPr>
        <w:pStyle w:val="Heading2"/>
        <w:ind w:hanging="0" w:start="0"/>
        <w:rPr/>
      </w:pPr>
      <w:r>
        <w:rPr/>
        <w:t>Forward Curve Forecast Model</w:t>
      </w:r>
    </w:p>
    <w:p>
      <w:pPr>
        <w:pStyle w:val="Normal"/>
        <w:rPr>
          <w:b/>
          <w:sz w:val="22"/>
        </w:rPr>
      </w:pPr>
      <w:r>
        <w:rPr>
          <w:b/>
          <w:sz w:val="22"/>
        </w:rPr>
      </w:r>
    </w:p>
    <w:p>
      <w:pPr>
        <w:pStyle w:val="BodyText"/>
        <w:rPr/>
      </w:pPr>
      <w:r>
        <w:rPr/>
        <w:t xml:space="preserve">Historical data from the wheat futures market was reviewed in order to develop forward curve forecast models.  Using the following futures pricing equation, </w:t>
      </w:r>
    </w:p>
    <w:p>
      <w:pPr>
        <w:pStyle w:val="Normal"/>
        <w:rPr>
          <w:sz w:val="21"/>
        </w:rPr>
      </w:pPr>
      <w:r>
        <w:rPr>
          <w:sz w:val="21"/>
        </w:rPr>
      </w:r>
    </w:p>
    <w:p>
      <w:pPr>
        <w:pStyle w:val="BodyText"/>
        <w:jc w:val="center"/>
        <w:rPr>
          <w:rFonts w:ascii="Arial" w:hAnsi="Arial" w:cs="Arial"/>
          <w:i/>
          <w:i/>
        </w:rPr>
      </w:pPr>
      <w:r>
        <w:rPr>
          <w:rFonts w:cs="Arial" w:ascii="Arial" w:hAnsi="Arial"/>
          <w:i/>
        </w:rPr>
        <w:t>Futures price = (Spot price + Storage costs)*e</w:t>
      </w:r>
      <w:r>
        <w:rPr>
          <w:rFonts w:cs="Arial" w:ascii="Arial" w:hAnsi="Arial"/>
          <w:i/>
          <w:vertAlign w:val="superscript"/>
        </w:rPr>
        <w:t>(risk-free rate – convenience yield)*t</w:t>
      </w:r>
    </w:p>
    <w:p>
      <w:pPr>
        <w:pStyle w:val="BodyText"/>
        <w:rPr>
          <w:rFonts w:ascii="Arial" w:hAnsi="Arial" w:cs="Arial"/>
          <w:i/>
          <w:i/>
        </w:rPr>
      </w:pPr>
      <w:r>
        <w:rPr>
          <w:rFonts w:cs="Arial" w:ascii="Arial" w:hAnsi="Arial"/>
          <w:i/>
        </w:rPr>
      </w:r>
    </w:p>
    <w:p>
      <w:pPr>
        <w:pStyle w:val="BodyText"/>
        <w:rPr/>
      </w:pPr>
      <w:r>
        <w:rPr/>
        <w:t xml:space="preserve">historical convenience yields were found for wheat for each trading day and each point along the forward curve. Using the average convenience yields (a property taken from the curve that reflects the benefits of ownership of the physical commodity rather than a futures contract), average grain storage costs (currently 0.16¢ per bushel per day), and current 6-month treasury bill rate, theoretical trading curves have been developed as shown in Figure 3.  The first curve uses the current CBOT prompt month price and escalates it based on the equation above. However, this curve does not take into account Enron’s forecasted average annual cash price for wheat, as mentioned in the preceding sections. The second curve, then, does take this average annual price into account by shifting the curve such that the weighted average of the prices on the curve is equal to the Enron forecasted average annual price. Both curves are extended for three years. A user-defined function then smoothes between the two curves to develop a curve that is close to the CBOT market curve in the earlier months (see “new curve” in Figure 3), then makes use of the predicted average annual price for the later points on the curve. Average convenience yield data may be found in Appendix D. </w:t>
      </w:r>
      <w:r>
        <w:br w:type="page"/>
      </w:r>
    </w:p>
    <w:p>
      <w:pPr>
        <w:pStyle w:val="Normal"/>
        <w:rPr>
          <w:color w:val="0000FF"/>
          <w:sz w:val="21"/>
        </w:rPr>
      </w:pPr>
      <w:r>
        <w:rPr>
          <w:color w:val="0000FF"/>
          <w:sz w:val="21"/>
        </w:rPr>
      </w:r>
    </w:p>
    <w:p>
      <w:pPr>
        <w:pStyle w:val="Normal"/>
        <w:rPr>
          <w:smallCaps/>
          <w:color w:val="0000FF"/>
          <w:sz w:val="21"/>
          <w:lang w:val="en-CA"/>
        </w:rPr>
      </w:pPr>
      <w:r>
        <w:rPr>
          <w:smallCaps/>
          <w:color w:val="0000FF"/>
          <w:sz w:val="21"/>
          <w:lang w:val="en-CA"/>
        </w:rPr>
        <w:drawing>
          <wp:anchor behindDoc="0" distT="0" distB="0" distL="114935" distR="114935" simplePos="0" locked="0" layoutInCell="1" allowOverlap="1" relativeHeight="33">
            <wp:simplePos x="0" y="0"/>
            <wp:positionH relativeFrom="column">
              <wp:posOffset>-45720</wp:posOffset>
            </wp:positionH>
            <wp:positionV relativeFrom="paragraph">
              <wp:posOffset>-244475</wp:posOffset>
            </wp:positionV>
            <wp:extent cx="5394960" cy="320040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 t="-8" r="-5" b="-8"/>
                    <a:stretch>
                      <a:fillRect/>
                    </a:stretch>
                  </pic:blipFill>
                  <pic:spPr bwMode="auto">
                    <a:xfrm>
                      <a:off x="0" y="0"/>
                      <a:ext cx="5394960" cy="3200400"/>
                    </a:xfrm>
                    <a:prstGeom prst="rect">
                      <a:avLst/>
                    </a:prstGeom>
                    <a:noFill/>
                  </pic:spPr>
                </pic:pic>
              </a:graphicData>
            </a:graphic>
          </wp:anchor>
        </w:drawing>
      </w:r>
    </w:p>
    <w:p>
      <w:pPr>
        <w:pStyle w:val="Normal"/>
        <w:rPr>
          <w:color w:val="0000FF"/>
          <w:sz w:val="21"/>
        </w:rPr>
      </w:pPr>
      <w:r>
        <w:rPr>
          <w:color w:val="0000FF"/>
          <w:sz w:val="21"/>
        </w:rPr>
      </w:r>
    </w:p>
    <w:p>
      <w:pPr>
        <w:pStyle w:val="Normal"/>
        <w:rPr>
          <w:color w:val="0000FF"/>
          <w:sz w:val="21"/>
        </w:rPr>
      </w:pPr>
      <w:r>
        <w:rPr>
          <w:color w:val="0000FF"/>
          <w:sz w:val="21"/>
        </w:rPr>
      </w:r>
    </w:p>
    <w:p>
      <w:pPr>
        <w:pStyle w:val="Normal"/>
        <w:rPr>
          <w:color w:val="0000FF"/>
          <w:sz w:val="21"/>
        </w:rPr>
      </w:pPr>
      <w:r>
        <w:rPr>
          <w:color w:val="0000FF"/>
          <w:sz w:val="21"/>
        </w:rPr>
      </w:r>
    </w:p>
    <w:p>
      <w:pPr>
        <w:pStyle w:val="Normal"/>
        <w:rPr>
          <w:color w:val="0000FF"/>
          <w:sz w:val="21"/>
        </w:rPr>
      </w:pPr>
      <w:r>
        <w:rPr>
          <w:color w:val="0000FF"/>
          <w:sz w:val="21"/>
        </w:rPr>
      </w:r>
    </w:p>
    <w:p>
      <w:pPr>
        <w:pStyle w:val="Normal"/>
        <w:rPr>
          <w:color w:val="0000FF"/>
          <w:sz w:val="21"/>
        </w:rPr>
      </w:pPr>
      <w:r>
        <w:rPr>
          <w:color w:val="0000FF"/>
          <w:sz w:val="21"/>
        </w:rPr>
      </w:r>
    </w:p>
    <w:p>
      <w:pPr>
        <w:pStyle w:val="BodyText"/>
        <w:rPr>
          <w:b/>
          <w:color w:val="0000FF"/>
          <w:sz w:val="20"/>
        </w:rPr>
      </w:pPr>
      <w:r>
        <w:rPr>
          <w:b/>
          <w:color w:val="0000FF"/>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sz w:val="20"/>
        </w:rPr>
      </w:pPr>
      <w:r>
        <w:rPr>
          <w:b/>
          <w:sz w:val="20"/>
        </w:rPr>
        <w:t>Figure 3.  Forward curves over a three-year time period based on average annual wheat price.</w:t>
      </w:r>
    </w:p>
    <w:p>
      <w:pPr>
        <w:pStyle w:val="BodyText"/>
        <w:rPr>
          <w:sz w:val="20"/>
        </w:rPr>
      </w:pPr>
      <w:r>
        <w:rPr>
          <w:sz w:val="20"/>
        </w:rPr>
      </w:r>
    </w:p>
    <w:p>
      <w:pPr>
        <w:pStyle w:val="Heading4"/>
        <w:ind w:hanging="0" w:start="0"/>
        <w:rPr>
          <w:sz w:val="24"/>
        </w:rPr>
      </w:pPr>
      <w:r>
        <w:rPr>
          <w:sz w:val="24"/>
        </w:rPr>
        <w:t>Corn</w:t>
      </w:r>
    </w:p>
    <w:p>
      <w:pPr>
        <w:pStyle w:val="Normal"/>
        <w:rPr>
          <w:b/>
          <w:sz w:val="21"/>
        </w:rPr>
      </w:pPr>
      <w:r>
        <w:rPr>
          <w:b/>
          <w:sz w:val="21"/>
        </w:rPr>
      </w:r>
    </w:p>
    <w:p>
      <w:pPr>
        <w:pStyle w:val="Heading4"/>
        <w:ind w:hanging="0" w:start="0"/>
        <w:rPr>
          <w:caps w:val="false"/>
          <w:smallCaps w:val="false"/>
        </w:rPr>
      </w:pPr>
      <w:r>
        <w:rPr>
          <w:caps w:val="false"/>
          <w:smallCaps w:val="false"/>
        </w:rPr>
        <w:t>Fundamental Price Forecast Model</w:t>
      </w:r>
    </w:p>
    <w:p>
      <w:pPr>
        <w:pStyle w:val="Normal"/>
        <w:rPr>
          <w:b/>
          <w:smallCaps/>
          <w:sz w:val="22"/>
        </w:rPr>
      </w:pPr>
      <w:r>
        <w:rPr>
          <w:b/>
          <w:smallCaps/>
          <w:sz w:val="22"/>
        </w:rPr>
      </w:r>
    </w:p>
    <w:p>
      <w:pPr>
        <w:pStyle w:val="BodyText"/>
        <w:rPr/>
      </w:pPr>
      <w:r>
        <w:rPr/>
        <w:t xml:space="preserve">A single fundamental USDA model was developed to relate the average annual price of corn to several independent variables, some of which were used in the fundamental wheat models.  Four variables were used in the USDA corn model and included a domestic ending stocks-to-use ratio, a government stocks-to-use ratio, an interaction term for loan rate and storage subsidy, and a dummy variable to account for a price trough in 1986.  Competitor stocks-to-use ratios were not employed since the U.S. produces approximately 70% of the world’s corn.   </w:t>
      </w:r>
    </w:p>
    <w:p>
      <w:pPr>
        <w:pStyle w:val="BodyText"/>
        <w:rPr/>
      </w:pPr>
      <w:r>
        <w:rPr/>
      </w:r>
    </w:p>
    <w:p>
      <w:pPr>
        <w:pStyle w:val="BodyText"/>
        <w:rPr/>
      </w:pPr>
      <w:r>
        <w:rPr/>
        <w:t xml:space="preserve">Table 3 summarizes the results from the fundamental modeling investigations.  Note that since an adequate Enron model for corn has not yet been formulated, the USDA model was analyzed for both dependent variables, farm-level cash price and CBOT futures price.  </w:t>
      </w:r>
    </w:p>
    <w:p>
      <w:pPr>
        <w:pStyle w:val="Normal"/>
        <w:rPr>
          <w:b/>
        </w:rPr>
      </w:pPr>
      <w:r>
        <w:rPr>
          <w:b/>
        </w:rPr>
      </w:r>
    </w:p>
    <w:p>
      <w:pPr>
        <w:pStyle w:val="Normal"/>
        <w:rPr>
          <w:b/>
        </w:rPr>
      </w:pPr>
      <w:r>
        <w:rPr>
          <w:b/>
        </w:rPr>
        <w:t>Table 3. Summary of Results from Fundamental Corn Model.</w:t>
      </w:r>
    </w:p>
    <w:tbl>
      <w:tblPr>
        <w:tblW w:w="8658" w:type="dxa"/>
        <w:jc w:val="start"/>
        <w:tblInd w:w="0" w:type="dxa"/>
        <w:tblLayout w:type="fixed"/>
        <w:tblCellMar>
          <w:top w:w="0" w:type="dxa"/>
          <w:start w:w="108" w:type="dxa"/>
          <w:bottom w:w="0" w:type="dxa"/>
          <w:end w:w="108" w:type="dxa"/>
        </w:tblCellMar>
      </w:tblPr>
      <w:tblGrid>
        <w:gridCol w:w="1188"/>
        <w:gridCol w:w="1440"/>
        <w:gridCol w:w="900"/>
        <w:gridCol w:w="1080"/>
        <w:gridCol w:w="810"/>
        <w:gridCol w:w="720"/>
        <w:gridCol w:w="1080"/>
        <w:gridCol w:w="1440"/>
      </w:tblGrid>
      <w:tr>
        <w:trPr/>
        <w:tc>
          <w:tcPr>
            <w:tcW w:w="1188" w:type="dxa"/>
            <w:tcBorders>
              <w:top w:val="single" w:sz="12" w:space="0" w:color="808080"/>
              <w:bottom w:val="single" w:sz="6" w:space="0" w:color="808080"/>
            </w:tcBorders>
          </w:tcPr>
          <w:p>
            <w:pPr>
              <w:pStyle w:val="Normal"/>
              <w:jc w:val="center"/>
              <w:rPr>
                <w:b/>
              </w:rPr>
            </w:pPr>
            <w:r>
              <w:rPr>
                <w:b/>
              </w:rPr>
              <w:t>Model</w:t>
            </w:r>
            <w:r>
              <w:rPr>
                <w:b/>
                <w:vertAlign w:val="superscript"/>
              </w:rPr>
              <w:t>a</w:t>
            </w:r>
          </w:p>
        </w:tc>
        <w:tc>
          <w:tcPr>
            <w:tcW w:w="1440" w:type="dxa"/>
            <w:tcBorders>
              <w:top w:val="single" w:sz="12" w:space="0" w:color="808080"/>
              <w:bottom w:val="single" w:sz="6" w:space="0" w:color="808080"/>
            </w:tcBorders>
          </w:tcPr>
          <w:p>
            <w:pPr>
              <w:pStyle w:val="Normal"/>
              <w:jc w:val="center"/>
              <w:rPr>
                <w:b/>
              </w:rPr>
            </w:pPr>
            <w:r>
              <w:rPr>
                <w:b/>
              </w:rPr>
              <w:t>Dependent</w:t>
            </w:r>
          </w:p>
          <w:p>
            <w:pPr>
              <w:pStyle w:val="Normal"/>
              <w:jc w:val="center"/>
              <w:rPr>
                <w:b/>
              </w:rPr>
            </w:pPr>
            <w:r>
              <w:rPr>
                <w:b/>
              </w:rPr>
              <w:t>Variable</w:t>
            </w:r>
          </w:p>
        </w:tc>
        <w:tc>
          <w:tcPr>
            <w:tcW w:w="90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R</w:t>
            </w:r>
            <w:r>
              <w:rPr>
                <w:b/>
                <w:vertAlign w:val="superscript"/>
              </w:rPr>
              <w:t>2</w:t>
            </w:r>
          </w:p>
        </w:tc>
        <w:tc>
          <w:tcPr>
            <w:tcW w:w="108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Adj. R</w:t>
            </w:r>
            <w:r>
              <w:rPr>
                <w:b/>
                <w:vertAlign w:val="superscript"/>
              </w:rPr>
              <w:t>2</w:t>
            </w:r>
          </w:p>
        </w:tc>
        <w:tc>
          <w:tcPr>
            <w:tcW w:w="810" w:type="dxa"/>
            <w:tcBorders>
              <w:top w:val="single" w:sz="12" w:space="0" w:color="808080"/>
              <w:bottom w:val="single" w:sz="6" w:space="0" w:color="808080"/>
            </w:tcBorders>
          </w:tcPr>
          <w:p>
            <w:pPr>
              <w:pStyle w:val="Normal"/>
              <w:jc w:val="center"/>
              <w:rPr>
                <w:b/>
              </w:rPr>
            </w:pPr>
            <w:r>
              <w:rPr>
                <w:b/>
              </w:rPr>
              <w:t>Error</w:t>
            </w:r>
          </w:p>
        </w:tc>
        <w:tc>
          <w:tcPr>
            <w:tcW w:w="720" w:type="dxa"/>
            <w:tcBorders>
              <w:top w:val="single" w:sz="12" w:space="0" w:color="808080"/>
              <w:bottom w:val="single" w:sz="6" w:space="0" w:color="808080"/>
            </w:tcBorders>
          </w:tcPr>
          <w:p>
            <w:pPr>
              <w:pStyle w:val="Heading7"/>
              <w:ind w:hanging="0" w:start="0"/>
              <w:rPr/>
            </w:pPr>
            <w:r>
              <w:rPr/>
              <w:t>Error</w:t>
            </w:r>
          </w:p>
          <w:p>
            <w:pPr>
              <w:pStyle w:val="Normal"/>
              <w:jc w:val="center"/>
              <w:rPr>
                <w:b/>
              </w:rPr>
            </w:pPr>
            <w:r>
              <w:rPr>
                <w:b/>
              </w:rPr>
              <w:t>(%)</w:t>
            </w:r>
          </w:p>
        </w:tc>
        <w:tc>
          <w:tcPr>
            <w:tcW w:w="1080" w:type="dxa"/>
            <w:tcBorders>
              <w:top w:val="single" w:sz="12" w:space="0" w:color="808080"/>
              <w:bottom w:val="single" w:sz="6" w:space="0" w:color="808080"/>
            </w:tcBorders>
          </w:tcPr>
          <w:p>
            <w:pPr>
              <w:pStyle w:val="Normal"/>
              <w:jc w:val="center"/>
              <w:rPr>
                <w:b/>
              </w:rPr>
            </w:pPr>
            <w:r>
              <w:rPr>
                <w:b/>
              </w:rPr>
              <w:t>95% CI</w:t>
            </w:r>
          </w:p>
        </w:tc>
        <w:tc>
          <w:tcPr>
            <w:tcW w:w="1440" w:type="dxa"/>
            <w:tcBorders>
              <w:top w:val="single" w:sz="12" w:space="0" w:color="808080"/>
              <w:bottom w:val="single" w:sz="6" w:space="0" w:color="808080"/>
            </w:tcBorders>
          </w:tcPr>
          <w:p>
            <w:pPr>
              <w:pStyle w:val="Normal"/>
              <w:jc w:val="center"/>
              <w:rPr>
                <w:b/>
              </w:rPr>
            </w:pPr>
            <w:r>
              <w:rPr>
                <w:b/>
              </w:rPr>
              <w:t>Backcast</w:t>
            </w:r>
          </w:p>
          <w:p>
            <w:pPr>
              <w:pStyle w:val="Normal"/>
              <w:jc w:val="center"/>
              <w:rPr>
                <w:b/>
              </w:rPr>
            </w:pPr>
            <w:r>
              <w:rPr>
                <w:b/>
              </w:rPr>
              <w:t>Avg. Error</w:t>
            </w:r>
          </w:p>
        </w:tc>
      </w:tr>
      <w:tr>
        <w:trPr/>
        <w:tc>
          <w:tcPr>
            <w:tcW w:w="1188" w:type="dxa"/>
            <w:tcBorders/>
          </w:tcPr>
          <w:p>
            <w:pPr>
              <w:pStyle w:val="Heading3"/>
              <w:ind w:hanging="0" w:start="0"/>
              <w:rPr>
                <w:b w:val="false"/>
              </w:rPr>
            </w:pPr>
            <w:r>
              <w:rPr>
                <w:b w:val="false"/>
              </w:rPr>
              <w:t>USDA</w:t>
            </w:r>
          </w:p>
        </w:tc>
        <w:tc>
          <w:tcPr>
            <w:tcW w:w="1440" w:type="dxa"/>
            <w:tcBorders/>
          </w:tcPr>
          <w:p>
            <w:pPr>
              <w:pStyle w:val="Header"/>
              <w:tabs>
                <w:tab w:val="clear" w:pos="4320"/>
                <w:tab w:val="clear" w:pos="8640"/>
              </w:tabs>
              <w:jc w:val="center"/>
              <w:rPr/>
            </w:pPr>
            <w:r>
              <w:rPr/>
              <w:t>Cash Price</w:t>
            </w:r>
          </w:p>
          <w:p>
            <w:pPr>
              <w:pStyle w:val="Header"/>
              <w:tabs>
                <w:tab w:val="clear" w:pos="4320"/>
                <w:tab w:val="clear" w:pos="8640"/>
              </w:tabs>
              <w:jc w:val="center"/>
              <w:rPr/>
            </w:pPr>
            <w:r>
              <w:rPr/>
              <w:t>(1975-1996)</w:t>
            </w:r>
          </w:p>
        </w:tc>
        <w:tc>
          <w:tcPr>
            <w:tcW w:w="900" w:type="dxa"/>
            <w:tcBorders/>
          </w:tcPr>
          <w:p>
            <w:pPr>
              <w:pStyle w:val="Normal"/>
              <w:jc w:val="center"/>
              <w:rPr/>
            </w:pPr>
            <w:r>
              <w:rPr/>
              <w:t>0.91</w:t>
            </w:r>
          </w:p>
        </w:tc>
        <w:tc>
          <w:tcPr>
            <w:tcW w:w="1080" w:type="dxa"/>
            <w:tcBorders/>
          </w:tcPr>
          <w:p>
            <w:pPr>
              <w:pStyle w:val="Normal"/>
              <w:jc w:val="center"/>
              <w:rPr/>
            </w:pPr>
            <w:r>
              <w:rPr/>
              <w:t>0.89</w:t>
            </w:r>
          </w:p>
        </w:tc>
        <w:tc>
          <w:tcPr>
            <w:tcW w:w="810" w:type="dxa"/>
            <w:tcBorders/>
          </w:tcPr>
          <w:p>
            <w:pPr>
              <w:pStyle w:val="Normal"/>
              <w:jc w:val="center"/>
              <w:rPr/>
            </w:pPr>
            <w:r>
              <w:rPr/>
              <w:t>$ 0.09</w:t>
            </w:r>
          </w:p>
        </w:tc>
        <w:tc>
          <w:tcPr>
            <w:tcW w:w="720" w:type="dxa"/>
            <w:tcBorders/>
          </w:tcPr>
          <w:p>
            <w:pPr>
              <w:pStyle w:val="Normal"/>
              <w:jc w:val="center"/>
              <w:rPr/>
            </w:pPr>
            <w:r>
              <w:rPr/>
              <w:t>3.4%</w:t>
            </w:r>
          </w:p>
        </w:tc>
        <w:tc>
          <w:tcPr>
            <w:tcW w:w="1080" w:type="dxa"/>
            <w:tcBorders/>
          </w:tcPr>
          <w:p>
            <w:pPr>
              <w:pStyle w:val="Normal"/>
              <w:jc w:val="center"/>
              <w:rPr/>
            </w:pPr>
            <w:r>
              <w:rPr>
                <w:rFonts w:eastAsia="Symbol" w:cs="Symbol" w:ascii="Symbol" w:hAnsi="Symbol"/>
              </w:rPr>
              <w:sym w:font="Symbol" w:char="f0b1"/>
            </w:r>
            <w:r>
              <w:rPr/>
              <w:t xml:space="preserve"> </w:t>
            </w:r>
            <w:r>
              <w:rPr/>
              <w:t>$ 0.33</w:t>
            </w:r>
          </w:p>
        </w:tc>
        <w:tc>
          <w:tcPr>
            <w:tcW w:w="1440" w:type="dxa"/>
            <w:tcBorders/>
          </w:tcPr>
          <w:p>
            <w:pPr>
              <w:pStyle w:val="Normal"/>
              <w:jc w:val="center"/>
              <w:rPr/>
            </w:pPr>
            <w:r>
              <w:rPr/>
              <w:t>$ 0.22</w:t>
            </w:r>
          </w:p>
        </w:tc>
      </w:tr>
      <w:tr>
        <w:trPr/>
        <w:tc>
          <w:tcPr>
            <w:tcW w:w="1188" w:type="dxa"/>
            <w:tcBorders/>
          </w:tcPr>
          <w:p>
            <w:pPr>
              <w:pStyle w:val="Normal"/>
              <w:snapToGrid w:val="false"/>
              <w:rPr/>
            </w:pPr>
            <w:r>
              <w:rPr/>
            </w:r>
          </w:p>
        </w:tc>
        <w:tc>
          <w:tcPr>
            <w:tcW w:w="1440" w:type="dxa"/>
            <w:tcBorders/>
          </w:tcPr>
          <w:p>
            <w:pPr>
              <w:pStyle w:val="Normal"/>
              <w:jc w:val="center"/>
              <w:rPr/>
            </w:pPr>
            <w:r>
              <w:rPr/>
              <w:t>Cash Price</w:t>
            </w:r>
          </w:p>
          <w:p>
            <w:pPr>
              <w:pStyle w:val="Normal"/>
              <w:jc w:val="center"/>
              <w:rPr/>
            </w:pPr>
            <w:r>
              <w:rPr/>
              <w:t>(1975-1999)</w:t>
            </w:r>
          </w:p>
        </w:tc>
        <w:tc>
          <w:tcPr>
            <w:tcW w:w="900" w:type="dxa"/>
            <w:tcBorders/>
          </w:tcPr>
          <w:p>
            <w:pPr>
              <w:pStyle w:val="Normal"/>
              <w:jc w:val="center"/>
              <w:rPr/>
            </w:pPr>
            <w:r>
              <w:rPr/>
              <w:t>0.87</w:t>
            </w:r>
          </w:p>
        </w:tc>
        <w:tc>
          <w:tcPr>
            <w:tcW w:w="1080" w:type="dxa"/>
            <w:tcBorders/>
          </w:tcPr>
          <w:p>
            <w:pPr>
              <w:pStyle w:val="Normal"/>
              <w:jc w:val="center"/>
              <w:rPr/>
            </w:pPr>
            <w:r>
              <w:rPr/>
              <w:t>0.85</w:t>
            </w:r>
          </w:p>
        </w:tc>
        <w:tc>
          <w:tcPr>
            <w:tcW w:w="810" w:type="dxa"/>
            <w:tcBorders/>
          </w:tcPr>
          <w:p>
            <w:pPr>
              <w:pStyle w:val="Normal"/>
              <w:jc w:val="center"/>
              <w:rPr/>
            </w:pPr>
            <w:r>
              <w:rPr/>
              <w:t>$ 0.10</w:t>
            </w:r>
          </w:p>
        </w:tc>
        <w:tc>
          <w:tcPr>
            <w:tcW w:w="720" w:type="dxa"/>
            <w:tcBorders/>
          </w:tcPr>
          <w:p>
            <w:pPr>
              <w:pStyle w:val="Normal"/>
              <w:jc w:val="center"/>
              <w:rPr/>
            </w:pPr>
            <w:r>
              <w:rPr/>
              <w:t>4.0%</w:t>
            </w:r>
          </w:p>
        </w:tc>
        <w:tc>
          <w:tcPr>
            <w:tcW w:w="1080" w:type="dxa"/>
            <w:tcBorders/>
          </w:tcPr>
          <w:p>
            <w:pPr>
              <w:pStyle w:val="Normal"/>
              <w:jc w:val="center"/>
              <w:rPr/>
            </w:pPr>
            <w:r>
              <w:rPr>
                <w:rFonts w:eastAsia="Symbol" w:cs="Symbol" w:ascii="Symbol" w:hAnsi="Symbol"/>
              </w:rPr>
              <w:sym w:font="Symbol" w:char="f0b1"/>
            </w:r>
            <w:r>
              <w:rPr/>
              <w:t xml:space="preserve"> </w:t>
            </w:r>
            <w:r>
              <w:rPr/>
              <w:t>$ 0.37</w:t>
            </w:r>
          </w:p>
        </w:tc>
        <w:tc>
          <w:tcPr>
            <w:tcW w:w="1440" w:type="dxa"/>
            <w:tcBorders/>
          </w:tcPr>
          <w:p>
            <w:pPr>
              <w:pStyle w:val="Normal"/>
              <w:jc w:val="center"/>
              <w:rPr/>
            </w:pPr>
            <w:r>
              <w:rPr/>
              <w:t>---</w:t>
            </w:r>
          </w:p>
        </w:tc>
      </w:tr>
      <w:tr>
        <w:trPr/>
        <w:tc>
          <w:tcPr>
            <w:tcW w:w="1188" w:type="dxa"/>
            <w:tcBorders/>
          </w:tcPr>
          <w:p>
            <w:pPr>
              <w:pStyle w:val="Normal"/>
              <w:snapToGrid w:val="false"/>
              <w:rPr/>
            </w:pPr>
            <w:r>
              <w:rPr/>
            </w:r>
          </w:p>
        </w:tc>
        <w:tc>
          <w:tcPr>
            <w:tcW w:w="1440" w:type="dxa"/>
            <w:tcBorders/>
          </w:tcPr>
          <w:p>
            <w:pPr>
              <w:pStyle w:val="Normal"/>
              <w:jc w:val="center"/>
              <w:rPr/>
            </w:pPr>
            <w:r>
              <w:rPr/>
              <w:t>CBOT Price</w:t>
            </w:r>
          </w:p>
          <w:p>
            <w:pPr>
              <w:pStyle w:val="Normal"/>
              <w:jc w:val="center"/>
              <w:rPr/>
            </w:pPr>
            <w:r>
              <w:rPr/>
              <w:t>(1975-1996)</w:t>
            </w:r>
          </w:p>
        </w:tc>
        <w:tc>
          <w:tcPr>
            <w:tcW w:w="900" w:type="dxa"/>
            <w:tcBorders/>
          </w:tcPr>
          <w:p>
            <w:pPr>
              <w:pStyle w:val="Normal"/>
              <w:jc w:val="center"/>
              <w:rPr/>
            </w:pPr>
            <w:r>
              <w:rPr/>
              <w:t>0.86</w:t>
            </w:r>
          </w:p>
        </w:tc>
        <w:tc>
          <w:tcPr>
            <w:tcW w:w="1080" w:type="dxa"/>
            <w:tcBorders/>
          </w:tcPr>
          <w:p>
            <w:pPr>
              <w:pStyle w:val="Header"/>
              <w:tabs>
                <w:tab w:val="clear" w:pos="4320"/>
                <w:tab w:val="clear" w:pos="8640"/>
              </w:tabs>
              <w:jc w:val="center"/>
              <w:rPr/>
            </w:pPr>
            <w:r>
              <w:rPr/>
              <w:t>0.82</w:t>
            </w:r>
          </w:p>
        </w:tc>
        <w:tc>
          <w:tcPr>
            <w:tcW w:w="810" w:type="dxa"/>
            <w:tcBorders/>
          </w:tcPr>
          <w:p>
            <w:pPr>
              <w:pStyle w:val="Normal"/>
              <w:jc w:val="center"/>
              <w:rPr/>
            </w:pPr>
            <w:r>
              <w:rPr/>
              <w:t>$ 0.14</w:t>
            </w:r>
          </w:p>
        </w:tc>
        <w:tc>
          <w:tcPr>
            <w:tcW w:w="720" w:type="dxa"/>
            <w:tcBorders/>
          </w:tcPr>
          <w:p>
            <w:pPr>
              <w:pStyle w:val="Normal"/>
              <w:jc w:val="center"/>
              <w:rPr/>
            </w:pPr>
            <w:r>
              <w:rPr/>
              <w:t>5.1%</w:t>
            </w:r>
          </w:p>
        </w:tc>
        <w:tc>
          <w:tcPr>
            <w:tcW w:w="1080" w:type="dxa"/>
            <w:tcBorders/>
          </w:tcPr>
          <w:p>
            <w:pPr>
              <w:pStyle w:val="Normal"/>
              <w:jc w:val="center"/>
              <w:rPr/>
            </w:pPr>
            <w:r>
              <w:rPr>
                <w:rFonts w:eastAsia="Symbol" w:cs="Symbol" w:ascii="Symbol" w:hAnsi="Symbol"/>
              </w:rPr>
              <w:sym w:font="Symbol" w:char="f0b1"/>
            </w:r>
            <w:r>
              <w:rPr/>
              <w:t xml:space="preserve"> </w:t>
            </w:r>
            <w:r>
              <w:rPr/>
              <w:t>$ 0.45</w:t>
            </w:r>
          </w:p>
        </w:tc>
        <w:tc>
          <w:tcPr>
            <w:tcW w:w="1440" w:type="dxa"/>
            <w:tcBorders/>
          </w:tcPr>
          <w:p>
            <w:pPr>
              <w:pStyle w:val="Normal"/>
              <w:jc w:val="center"/>
              <w:rPr/>
            </w:pPr>
            <w:r>
              <w:rPr/>
              <w:t>$ 0.20</w:t>
            </w:r>
          </w:p>
        </w:tc>
      </w:tr>
      <w:tr>
        <w:trPr/>
        <w:tc>
          <w:tcPr>
            <w:tcW w:w="1188" w:type="dxa"/>
            <w:tcBorders>
              <w:bottom w:val="single" w:sz="12" w:space="0" w:color="808080"/>
            </w:tcBorders>
          </w:tcPr>
          <w:p>
            <w:pPr>
              <w:pStyle w:val="Normal"/>
              <w:snapToGrid w:val="false"/>
              <w:rPr/>
            </w:pPr>
            <w:r>
              <w:rPr/>
            </w:r>
          </w:p>
        </w:tc>
        <w:tc>
          <w:tcPr>
            <w:tcW w:w="1440" w:type="dxa"/>
            <w:tcBorders>
              <w:bottom w:val="single" w:sz="12" w:space="0" w:color="808080"/>
            </w:tcBorders>
          </w:tcPr>
          <w:p>
            <w:pPr>
              <w:pStyle w:val="Normal"/>
              <w:jc w:val="center"/>
              <w:rPr/>
            </w:pPr>
            <w:r>
              <w:rPr/>
              <w:t>CBOT Price</w:t>
            </w:r>
          </w:p>
          <w:p>
            <w:pPr>
              <w:pStyle w:val="Normal"/>
              <w:jc w:val="center"/>
              <w:rPr/>
            </w:pPr>
            <w:r>
              <w:rPr/>
              <w:t>(1975-1999)</w:t>
            </w:r>
          </w:p>
        </w:tc>
        <w:tc>
          <w:tcPr>
            <w:tcW w:w="900" w:type="dxa"/>
            <w:tcBorders>
              <w:bottom w:val="single" w:sz="12" w:space="0" w:color="808080"/>
            </w:tcBorders>
          </w:tcPr>
          <w:p>
            <w:pPr>
              <w:pStyle w:val="Normal"/>
              <w:jc w:val="center"/>
              <w:rPr/>
            </w:pPr>
            <w:r>
              <w:rPr/>
              <w:t>0.83</w:t>
            </w:r>
          </w:p>
        </w:tc>
        <w:tc>
          <w:tcPr>
            <w:tcW w:w="1080" w:type="dxa"/>
            <w:tcBorders>
              <w:bottom w:val="single" w:sz="12" w:space="0" w:color="808080"/>
            </w:tcBorders>
          </w:tcPr>
          <w:p>
            <w:pPr>
              <w:pStyle w:val="Normal"/>
              <w:jc w:val="center"/>
              <w:rPr/>
            </w:pPr>
            <w:r>
              <w:rPr/>
              <w:t>0.80</w:t>
            </w:r>
          </w:p>
        </w:tc>
        <w:tc>
          <w:tcPr>
            <w:tcW w:w="810" w:type="dxa"/>
            <w:tcBorders>
              <w:bottom w:val="single" w:sz="12" w:space="0" w:color="808080"/>
            </w:tcBorders>
          </w:tcPr>
          <w:p>
            <w:pPr>
              <w:pStyle w:val="Normal"/>
              <w:jc w:val="center"/>
              <w:rPr/>
            </w:pPr>
            <w:r>
              <w:rPr/>
              <w:t>$ 0.15</w:t>
            </w:r>
          </w:p>
        </w:tc>
        <w:tc>
          <w:tcPr>
            <w:tcW w:w="720" w:type="dxa"/>
            <w:tcBorders>
              <w:bottom w:val="single" w:sz="12" w:space="0" w:color="808080"/>
            </w:tcBorders>
          </w:tcPr>
          <w:p>
            <w:pPr>
              <w:pStyle w:val="Normal"/>
              <w:jc w:val="center"/>
              <w:rPr/>
            </w:pPr>
            <w:r>
              <w:rPr/>
              <w:t>5.5%</w:t>
            </w:r>
          </w:p>
        </w:tc>
        <w:tc>
          <w:tcPr>
            <w:tcW w:w="1080" w:type="dxa"/>
            <w:tcBorders>
              <w:bottom w:val="single" w:sz="12" w:space="0" w:color="808080"/>
            </w:tcBorders>
          </w:tcPr>
          <w:p>
            <w:pPr>
              <w:pStyle w:val="Normal"/>
              <w:jc w:val="center"/>
              <w:rPr/>
            </w:pPr>
            <w:r>
              <w:rPr>
                <w:rFonts w:eastAsia="Symbol" w:cs="Symbol" w:ascii="Symbol" w:hAnsi="Symbol"/>
              </w:rPr>
              <w:sym w:font="Symbol" w:char="f0b1"/>
            </w:r>
            <w:r>
              <w:rPr/>
              <w:t xml:space="preserve"> </w:t>
            </w:r>
            <w:r>
              <w:rPr/>
              <w:t>$ 0.46</w:t>
            </w:r>
          </w:p>
        </w:tc>
        <w:tc>
          <w:tcPr>
            <w:tcW w:w="1440" w:type="dxa"/>
            <w:tcBorders>
              <w:bottom w:val="single" w:sz="12" w:space="0" w:color="808080"/>
            </w:tcBorders>
          </w:tcPr>
          <w:p>
            <w:pPr>
              <w:pStyle w:val="Normal"/>
              <w:jc w:val="center"/>
              <w:rPr/>
            </w:pPr>
            <w:r>
              <w:rPr/>
              <w:t>---</w:t>
            </w:r>
          </w:p>
        </w:tc>
      </w:tr>
    </w:tbl>
    <w:p>
      <w:pPr>
        <w:pStyle w:val="BodyText"/>
        <w:rPr/>
      </w:pPr>
      <w:r>
        <w:rPr>
          <w:b/>
          <w:sz w:val="18"/>
          <w:vertAlign w:val="superscript"/>
        </w:rPr>
        <w:t>a</w:t>
      </w:r>
      <w:r>
        <w:rPr>
          <w:b/>
          <w:sz w:val="18"/>
        </w:rPr>
        <w:t xml:space="preserve"> Refer to Table 1 for explanation of diagnostics values.</w:t>
      </w:r>
    </w:p>
    <w:p>
      <w:pPr>
        <w:pStyle w:val="Normal"/>
        <w:rPr>
          <w:b/>
          <w:sz w:val="18"/>
        </w:rPr>
      </w:pPr>
      <w:r>
        <w:rPr>
          <w:b/>
          <w:sz w:val="18"/>
        </w:rPr>
      </w:r>
    </w:p>
    <w:p>
      <w:pPr>
        <w:pStyle w:val="BodyText"/>
        <w:rPr/>
      </w:pPr>
      <w:r>
        <w:rPr/>
        <w:t xml:space="preserve">As shown in the table, comparable the corn fundamental model produced results that were comparable to both of the fundamental wheat models.  For the cash price dependent variable, greater than 85% of the variance was explained by the four model parameters, regardless of the time period evaluated.  Average error values for corn were approximately $ 0.10, or slightly less than the average errors associated with the wheat models.  Confidence intervals were also minimized at </w:t>
      </w:r>
      <w:r>
        <w:rPr>
          <w:rFonts w:eastAsia="Symbol" w:cs="Symbol" w:ascii="Symbol" w:hAnsi="Symbol"/>
        </w:rPr>
        <w:sym w:font="Symbol" w:char="f0b1"/>
      </w:r>
      <w:r>
        <w:rPr/>
        <w:t xml:space="preserve"> $ 0.33 when compared to interval values from the wheat models.  With the exception of backcast error, each of the diagnostics values in Table 2 increased slightly when CBOT futures prices were used as the independent variable.  Average error increased by approximately $ 0.05 and confidence intervals jumped by roughly $ 0.10 when compared to the corn model using cash price as the dependent variable.  These results suggest that the USDA corn model may adequately forecast either USDA or CBOT futures prices.  Figures for each of the modeling runs are shown in Appendix B.    </w:t>
      </w:r>
    </w:p>
    <w:p>
      <w:pPr>
        <w:pStyle w:val="Normal"/>
        <w:rPr>
          <w:b/>
          <w:sz w:val="22"/>
        </w:rPr>
      </w:pPr>
      <w:r>
        <w:rPr>
          <w:b/>
          <w:sz w:val="22"/>
        </w:rPr>
      </w:r>
    </w:p>
    <w:p>
      <w:pPr>
        <w:pStyle w:val="Normal"/>
        <w:rPr>
          <w:b/>
          <w:sz w:val="22"/>
        </w:rPr>
      </w:pPr>
      <w:r>
        <w:rPr>
          <w:b/>
          <w:sz w:val="22"/>
        </w:rPr>
      </w:r>
    </w:p>
    <w:p>
      <w:pPr>
        <w:pStyle w:val="Normal"/>
        <w:rPr>
          <w:b/>
          <w:sz w:val="21"/>
        </w:rPr>
      </w:pPr>
      <w:r>
        <w:rPr>
          <w:b/>
          <w:sz w:val="21"/>
        </w:rPr>
        <w:t>Production and Yield Forecast Model(s)</w:t>
      </w:r>
    </w:p>
    <w:p>
      <w:pPr>
        <w:pStyle w:val="Normal"/>
        <w:rPr>
          <w:b/>
          <w:sz w:val="21"/>
        </w:rPr>
      </w:pPr>
      <w:r>
        <w:rPr>
          <w:b/>
          <w:sz w:val="21"/>
        </w:rPr>
      </w:r>
    </w:p>
    <w:p>
      <w:pPr>
        <w:pStyle w:val="BodyText3"/>
        <w:rPr>
          <w:b w:val="false"/>
          <w:color w:val="auto"/>
          <w:sz w:val="21"/>
        </w:rPr>
      </w:pPr>
      <w:r>
        <w:rPr>
          <w:b w:val="false"/>
          <w:color w:val="auto"/>
          <w:sz w:val="21"/>
        </w:rPr>
        <w:t xml:space="preserve">Multivariate regression models were estimated for corn using annual production and yield as dependent variables at the state and regional level.  The explanatory variables were identical to those used in the wheat production and yield models.  Dummy variables were also included in the corn modeling investigations to represent the various corn-producing regions in each state.  As with wheat, these dummy variables were designed to capture the regional effects of extreme weather impacts on production and yield. </w:t>
      </w:r>
    </w:p>
    <w:p>
      <w:pPr>
        <w:pStyle w:val="BodyText3"/>
        <w:rPr>
          <w:b w:val="false"/>
          <w:color w:val="auto"/>
          <w:sz w:val="21"/>
        </w:rPr>
      </w:pPr>
      <w:r>
        <w:rPr>
          <w:b w:val="false"/>
          <w:color w:val="auto"/>
          <w:sz w:val="21"/>
        </w:rPr>
      </w:r>
    </w:p>
    <w:p>
      <w:pPr>
        <w:pStyle w:val="BodyText3"/>
        <w:rPr>
          <w:b w:val="false"/>
          <w:color w:val="auto"/>
          <w:sz w:val="21"/>
        </w:rPr>
      </w:pPr>
      <w:r>
        <w:rPr>
          <w:b w:val="false"/>
          <w:color w:val="auto"/>
          <w:sz w:val="21"/>
        </w:rPr>
        <w:t>While May was the key month for wheat production, weather variables for corn were measured in July since silking (fertilization) occurs during this time month.  Corn is much more susceptible to temperature and precipitation stress during this time period than at other times during the growing and harvesting cycle.</w:t>
      </w:r>
    </w:p>
    <w:p>
      <w:pPr>
        <w:pStyle w:val="BodyText3"/>
        <w:rPr>
          <w:b w:val="false"/>
          <w:color w:val="auto"/>
          <w:sz w:val="21"/>
        </w:rPr>
      </w:pPr>
      <w:r>
        <w:rPr>
          <w:b w:val="false"/>
          <w:color w:val="auto"/>
          <w:sz w:val="21"/>
        </w:rPr>
      </w:r>
    </w:p>
    <w:p>
      <w:pPr>
        <w:pStyle w:val="BodyText3"/>
        <w:rPr>
          <w:b w:val="false"/>
          <w:color w:val="auto"/>
          <w:sz w:val="21"/>
        </w:rPr>
      </w:pPr>
      <w:r>
        <w:rPr>
          <w:b w:val="false"/>
          <w:color w:val="auto"/>
          <w:sz w:val="21"/>
        </w:rPr>
        <w:t xml:space="preserve">A summary of representative econometric modeling results for corn is provided in Table 4.  Like wheat, much of the variance in production was explained by the independent model parameters (i.e., technology trend, area, and weather) while a much smaller portion of the yield variance was explained by the independent variables.  Similar to the wheat results, explained variance was not strongly affected by inclusion of individual weather variables or combinations of weather variables.  While weather exhibited statistical significance for corn, production, its influence was small compared to other variables such as technology trend and harvested area.    </w:t>
      </w:r>
    </w:p>
    <w:p>
      <w:pPr>
        <w:pStyle w:val="Header"/>
        <w:tabs>
          <w:tab w:val="clear" w:pos="4320"/>
          <w:tab w:val="clear" w:pos="8640"/>
        </w:tabs>
        <w:rPr>
          <w:b/>
          <w:color w:val="auto"/>
          <w:sz w:val="21"/>
        </w:rPr>
      </w:pPr>
      <w:r>
        <w:rPr>
          <w:b/>
          <w:color w:val="auto"/>
          <w:sz w:val="21"/>
        </w:rPr>
      </w:r>
    </w:p>
    <w:p>
      <w:pPr>
        <w:pStyle w:val="Normal"/>
        <w:rPr>
          <w:b/>
        </w:rPr>
      </w:pPr>
      <w:r>
        <w:rPr>
          <w:b/>
        </w:rPr>
        <w:t>Table 4. Summary of Results from Production and Yield Corn Models.</w:t>
      </w:r>
    </w:p>
    <w:tbl>
      <w:tblPr>
        <w:tblW w:w="8748" w:type="dxa"/>
        <w:jc w:val="start"/>
        <w:tblInd w:w="0" w:type="dxa"/>
        <w:tblLayout w:type="fixed"/>
        <w:tblCellMar>
          <w:top w:w="0" w:type="dxa"/>
          <w:start w:w="108" w:type="dxa"/>
          <w:bottom w:w="0" w:type="dxa"/>
          <w:end w:w="108" w:type="dxa"/>
        </w:tblCellMar>
      </w:tblPr>
      <w:tblGrid>
        <w:gridCol w:w="3528"/>
        <w:gridCol w:w="1890"/>
        <w:gridCol w:w="1350"/>
        <w:gridCol w:w="1980"/>
      </w:tblGrid>
      <w:tr>
        <w:trPr/>
        <w:tc>
          <w:tcPr>
            <w:tcW w:w="3528" w:type="dxa"/>
            <w:tcBorders>
              <w:top w:val="single" w:sz="12" w:space="0" w:color="808080"/>
              <w:bottom w:val="single" w:sz="6" w:space="0" w:color="808080"/>
            </w:tcBorders>
          </w:tcPr>
          <w:p>
            <w:pPr>
              <w:pStyle w:val="Normal"/>
              <w:rPr>
                <w:b/>
              </w:rPr>
            </w:pPr>
            <w:r>
              <w:rPr>
                <w:b/>
              </w:rPr>
              <w:t>Dependent Variable: Corn Production</w:t>
            </w:r>
          </w:p>
        </w:tc>
        <w:tc>
          <w:tcPr>
            <w:tcW w:w="1890" w:type="dxa"/>
            <w:tcBorders>
              <w:top w:val="single" w:sz="12" w:space="0" w:color="808080"/>
              <w:bottom w:val="single" w:sz="6" w:space="0" w:color="808080"/>
            </w:tcBorders>
          </w:tcPr>
          <w:p>
            <w:pPr>
              <w:pStyle w:val="Heading3"/>
              <w:ind w:hanging="0" w:start="0"/>
              <w:rPr/>
            </w:pPr>
            <w:r>
              <w:rPr/>
              <w:t>Adj R-Sq 0.9304</w:t>
            </w:r>
          </w:p>
        </w:tc>
        <w:tc>
          <w:tcPr>
            <w:tcW w:w="1350" w:type="dxa"/>
            <w:tcBorders>
              <w:top w:val="single" w:sz="12" w:space="0" w:color="808080"/>
              <w:bottom w:val="single" w:sz="6" w:space="0" w:color="808080"/>
            </w:tcBorders>
          </w:tcPr>
          <w:p>
            <w:pPr>
              <w:pStyle w:val="Normal"/>
              <w:snapToGrid w:val="false"/>
              <w:rPr/>
            </w:pPr>
            <w:r>
              <w:rPr/>
            </w:r>
          </w:p>
        </w:tc>
        <w:tc>
          <w:tcPr>
            <w:tcW w:w="1980" w:type="dxa"/>
            <w:tcBorders>
              <w:top w:val="single" w:sz="12" w:space="0" w:color="808080"/>
              <w:bottom w:val="single" w:sz="6" w:space="0" w:color="808080"/>
            </w:tcBorders>
          </w:tcPr>
          <w:p>
            <w:pPr>
              <w:pStyle w:val="Normal"/>
              <w:snapToGrid w:val="false"/>
              <w:rPr/>
            </w:pPr>
            <w:r>
              <w:rPr/>
            </w:r>
          </w:p>
        </w:tc>
      </w:tr>
      <w:tr>
        <w:trPr/>
        <w:tc>
          <w:tcPr>
            <w:tcW w:w="3528" w:type="dxa"/>
            <w:tcBorders/>
          </w:tcPr>
          <w:p>
            <w:pPr>
              <w:pStyle w:val="Normal"/>
              <w:rPr/>
            </w:pPr>
            <w:r>
              <w:rPr/>
              <w:t>Variable</w:t>
            </w:r>
          </w:p>
        </w:tc>
        <w:tc>
          <w:tcPr>
            <w:tcW w:w="1890" w:type="dxa"/>
            <w:tcBorders/>
          </w:tcPr>
          <w:p>
            <w:pPr>
              <w:pStyle w:val="Normal"/>
              <w:rPr/>
            </w:pPr>
            <w:r>
              <w:rPr/>
              <w:t>Parameter</w:t>
            </w:r>
          </w:p>
        </w:tc>
        <w:tc>
          <w:tcPr>
            <w:tcW w:w="1350" w:type="dxa"/>
            <w:tcBorders/>
          </w:tcPr>
          <w:p>
            <w:pPr>
              <w:pStyle w:val="Normal"/>
              <w:rPr/>
            </w:pPr>
            <w:r>
              <w:rPr/>
              <w:t>t Value</w:t>
            </w:r>
          </w:p>
        </w:tc>
        <w:tc>
          <w:tcPr>
            <w:tcW w:w="1980" w:type="dxa"/>
            <w:tcBorders/>
          </w:tcPr>
          <w:p>
            <w:pPr>
              <w:pStyle w:val="Normal"/>
              <w:rPr/>
            </w:pPr>
            <w:r>
              <w:rPr/>
              <w:t>Pr &gt; |t|</w:t>
            </w:r>
          </w:p>
        </w:tc>
      </w:tr>
      <w:tr>
        <w:trPr/>
        <w:tc>
          <w:tcPr>
            <w:tcW w:w="3528" w:type="dxa"/>
            <w:tcBorders/>
          </w:tcPr>
          <w:p>
            <w:pPr>
              <w:pStyle w:val="Normal"/>
              <w:rPr/>
            </w:pPr>
            <w:r>
              <w:rPr/>
              <w:t>Intercept</w:t>
            </w:r>
          </w:p>
        </w:tc>
        <w:tc>
          <w:tcPr>
            <w:tcW w:w="1890" w:type="dxa"/>
            <w:tcBorders/>
          </w:tcPr>
          <w:p>
            <w:pPr>
              <w:pStyle w:val="Normal"/>
              <w:rPr/>
            </w:pPr>
            <w:r>
              <w:rPr/>
              <w:t>-2496060154</w:t>
            </w:r>
          </w:p>
        </w:tc>
        <w:tc>
          <w:tcPr>
            <w:tcW w:w="1350" w:type="dxa"/>
            <w:tcBorders/>
          </w:tcPr>
          <w:p>
            <w:pPr>
              <w:pStyle w:val="Normal"/>
              <w:rPr/>
            </w:pPr>
            <w:r>
              <w:rPr/>
              <w:t>-15.81</w:t>
            </w:r>
          </w:p>
        </w:tc>
        <w:tc>
          <w:tcPr>
            <w:tcW w:w="1980" w:type="dxa"/>
            <w:tcBorders/>
          </w:tcPr>
          <w:p>
            <w:pPr>
              <w:pStyle w:val="Normal"/>
              <w:rPr/>
            </w:pPr>
            <w:r>
              <w:rPr/>
              <w:t>&lt;.0001</w:t>
            </w:r>
          </w:p>
        </w:tc>
      </w:tr>
      <w:tr>
        <w:trPr/>
        <w:tc>
          <w:tcPr>
            <w:tcW w:w="3528" w:type="dxa"/>
            <w:tcBorders/>
          </w:tcPr>
          <w:p>
            <w:pPr>
              <w:pStyle w:val="Normal"/>
              <w:rPr/>
            </w:pPr>
            <w:r>
              <w:rPr/>
              <w:t>Year</w:t>
            </w:r>
          </w:p>
        </w:tc>
        <w:tc>
          <w:tcPr>
            <w:tcW w:w="1890" w:type="dxa"/>
            <w:tcBorders/>
          </w:tcPr>
          <w:p>
            <w:pPr>
              <w:pStyle w:val="Normal"/>
              <w:rPr/>
            </w:pPr>
            <w:r>
              <w:rPr/>
              <w:t>1252983</w:t>
            </w:r>
          </w:p>
        </w:tc>
        <w:tc>
          <w:tcPr>
            <w:tcW w:w="1350" w:type="dxa"/>
            <w:tcBorders/>
          </w:tcPr>
          <w:p>
            <w:pPr>
              <w:pStyle w:val="Normal"/>
              <w:rPr/>
            </w:pPr>
            <w:r>
              <w:rPr/>
              <w:t>15.94</w:t>
            </w:r>
          </w:p>
        </w:tc>
        <w:tc>
          <w:tcPr>
            <w:tcW w:w="1980" w:type="dxa"/>
            <w:tcBorders/>
          </w:tcPr>
          <w:p>
            <w:pPr>
              <w:pStyle w:val="Normal"/>
              <w:rPr/>
            </w:pPr>
            <w:r>
              <w:rPr/>
              <w:t>&lt;.0001</w:t>
            </w:r>
          </w:p>
        </w:tc>
      </w:tr>
      <w:tr>
        <w:trPr/>
        <w:tc>
          <w:tcPr>
            <w:tcW w:w="3528" w:type="dxa"/>
            <w:tcBorders/>
          </w:tcPr>
          <w:p>
            <w:pPr>
              <w:pStyle w:val="Normal"/>
              <w:rPr/>
            </w:pPr>
            <w:r>
              <w:rPr/>
              <w:t>Area</w:t>
            </w:r>
          </w:p>
        </w:tc>
        <w:tc>
          <w:tcPr>
            <w:tcW w:w="1890" w:type="dxa"/>
            <w:tcBorders/>
          </w:tcPr>
          <w:p>
            <w:pPr>
              <w:pStyle w:val="Normal"/>
              <w:rPr/>
            </w:pPr>
            <w:r>
              <w:rPr/>
              <w:t>153.2764</w:t>
            </w:r>
          </w:p>
        </w:tc>
        <w:tc>
          <w:tcPr>
            <w:tcW w:w="1350" w:type="dxa"/>
            <w:tcBorders/>
          </w:tcPr>
          <w:p>
            <w:pPr>
              <w:pStyle w:val="Normal"/>
              <w:rPr/>
            </w:pPr>
            <w:r>
              <w:rPr/>
              <w:t>30.23</w:t>
            </w:r>
          </w:p>
        </w:tc>
        <w:tc>
          <w:tcPr>
            <w:tcW w:w="1980" w:type="dxa"/>
            <w:tcBorders/>
          </w:tcPr>
          <w:p>
            <w:pPr>
              <w:pStyle w:val="Normal"/>
              <w:rPr/>
            </w:pPr>
            <w:r>
              <w:rPr/>
              <w:t>&lt;.0001</w:t>
            </w:r>
          </w:p>
        </w:tc>
      </w:tr>
      <w:tr>
        <w:trPr/>
        <w:tc>
          <w:tcPr>
            <w:tcW w:w="3528" w:type="dxa"/>
            <w:tcBorders/>
          </w:tcPr>
          <w:p>
            <w:pPr>
              <w:pStyle w:val="Normal"/>
              <w:rPr/>
            </w:pPr>
            <w:r>
              <w:rPr/>
              <w:t>Cdd65</w:t>
            </w:r>
          </w:p>
        </w:tc>
        <w:tc>
          <w:tcPr>
            <w:tcW w:w="1890" w:type="dxa"/>
            <w:tcBorders/>
          </w:tcPr>
          <w:p>
            <w:pPr>
              <w:pStyle w:val="Normal"/>
              <w:rPr/>
            </w:pPr>
            <w:r>
              <w:rPr/>
              <w:t>-77117</w:t>
            </w:r>
          </w:p>
        </w:tc>
        <w:tc>
          <w:tcPr>
            <w:tcW w:w="1350" w:type="dxa"/>
            <w:tcBorders/>
          </w:tcPr>
          <w:p>
            <w:pPr>
              <w:pStyle w:val="Normal"/>
              <w:rPr/>
            </w:pPr>
            <w:r>
              <w:rPr/>
              <w:t>-11.33</w:t>
            </w:r>
          </w:p>
        </w:tc>
        <w:tc>
          <w:tcPr>
            <w:tcW w:w="1980" w:type="dxa"/>
            <w:tcBorders/>
          </w:tcPr>
          <w:p>
            <w:pPr>
              <w:pStyle w:val="Normal"/>
              <w:rPr/>
            </w:pPr>
            <w:r>
              <w:rPr/>
              <w:t>&lt;.0001</w:t>
            </w:r>
          </w:p>
        </w:tc>
      </w:tr>
      <w:tr>
        <w:trPr/>
        <w:tc>
          <w:tcPr>
            <w:tcW w:w="3528" w:type="dxa"/>
            <w:tcBorders>
              <w:bottom w:val="single" w:sz="12" w:space="0" w:color="808080"/>
            </w:tcBorders>
          </w:tcPr>
          <w:p>
            <w:pPr>
              <w:pStyle w:val="Normal"/>
              <w:rPr/>
            </w:pPr>
            <w:r>
              <w:rPr/>
              <w:t xml:space="preserve">Region variables (not all significant) </w:t>
            </w:r>
          </w:p>
        </w:tc>
        <w:tc>
          <w:tcPr>
            <w:tcW w:w="1890" w:type="dxa"/>
            <w:tcBorders>
              <w:bottom w:val="single" w:sz="12" w:space="0" w:color="808080"/>
            </w:tcBorders>
          </w:tcPr>
          <w:p>
            <w:pPr>
              <w:pStyle w:val="Normal"/>
              <w:snapToGrid w:val="false"/>
              <w:rPr/>
            </w:pPr>
            <w:r>
              <w:rPr/>
            </w:r>
          </w:p>
        </w:tc>
        <w:tc>
          <w:tcPr>
            <w:tcW w:w="1350" w:type="dxa"/>
            <w:tcBorders>
              <w:bottom w:val="single" w:sz="12" w:space="0" w:color="808080"/>
            </w:tcBorders>
          </w:tcPr>
          <w:p>
            <w:pPr>
              <w:pStyle w:val="Normal"/>
              <w:snapToGrid w:val="false"/>
              <w:rPr/>
            </w:pPr>
            <w:r>
              <w:rPr/>
            </w:r>
          </w:p>
        </w:tc>
        <w:tc>
          <w:tcPr>
            <w:tcW w:w="1980" w:type="dxa"/>
            <w:tcBorders>
              <w:bottom w:val="single" w:sz="12" w:space="0" w:color="808080"/>
            </w:tcBorders>
          </w:tcPr>
          <w:p>
            <w:pPr>
              <w:pStyle w:val="Normal"/>
              <w:snapToGrid w:val="false"/>
              <w:rPr/>
            </w:pPr>
            <w:r>
              <w:rPr/>
            </w:r>
          </w:p>
        </w:tc>
      </w:tr>
    </w:tbl>
    <w:p>
      <w:pPr>
        <w:pStyle w:val="Normal"/>
        <w:rPr>
          <w:b/>
        </w:rPr>
      </w:pPr>
      <w:r>
        <w:rPr>
          <w:b/>
        </w:rPr>
      </w:r>
    </w:p>
    <w:tbl>
      <w:tblPr>
        <w:tblW w:w="8748" w:type="dxa"/>
        <w:jc w:val="start"/>
        <w:tblInd w:w="0" w:type="dxa"/>
        <w:tblLayout w:type="fixed"/>
        <w:tblCellMar>
          <w:top w:w="0" w:type="dxa"/>
          <w:start w:w="108" w:type="dxa"/>
          <w:bottom w:w="0" w:type="dxa"/>
          <w:end w:w="108" w:type="dxa"/>
        </w:tblCellMar>
      </w:tblPr>
      <w:tblGrid>
        <w:gridCol w:w="3528"/>
        <w:gridCol w:w="1890"/>
        <w:gridCol w:w="1350"/>
        <w:gridCol w:w="1980"/>
      </w:tblGrid>
      <w:tr>
        <w:trPr/>
        <w:tc>
          <w:tcPr>
            <w:tcW w:w="3528" w:type="dxa"/>
            <w:tcBorders>
              <w:top w:val="single" w:sz="12" w:space="0" w:color="808080"/>
              <w:bottom w:val="single" w:sz="6" w:space="0" w:color="808080"/>
            </w:tcBorders>
          </w:tcPr>
          <w:p>
            <w:pPr>
              <w:pStyle w:val="Normal"/>
              <w:rPr>
                <w:b/>
              </w:rPr>
            </w:pPr>
            <w:r>
              <w:rPr>
                <w:b/>
              </w:rPr>
              <w:t>Dependent Variable: Corn Yield</w:t>
            </w:r>
          </w:p>
        </w:tc>
        <w:tc>
          <w:tcPr>
            <w:tcW w:w="1890" w:type="dxa"/>
            <w:tcBorders>
              <w:top w:val="single" w:sz="12" w:space="0" w:color="808080"/>
              <w:bottom w:val="single" w:sz="6" w:space="0" w:color="808080"/>
            </w:tcBorders>
          </w:tcPr>
          <w:p>
            <w:pPr>
              <w:pStyle w:val="Normal"/>
              <w:rPr>
                <w:b/>
              </w:rPr>
            </w:pPr>
            <w:r>
              <w:rPr>
                <w:b/>
              </w:rPr>
              <w:t>Adj R-Sq 0.5668</w:t>
            </w:r>
          </w:p>
        </w:tc>
        <w:tc>
          <w:tcPr>
            <w:tcW w:w="1350" w:type="dxa"/>
            <w:tcBorders>
              <w:top w:val="single" w:sz="12" w:space="0" w:color="808080"/>
              <w:bottom w:val="single" w:sz="6" w:space="0" w:color="808080"/>
            </w:tcBorders>
          </w:tcPr>
          <w:p>
            <w:pPr>
              <w:pStyle w:val="Normal"/>
              <w:snapToGrid w:val="false"/>
              <w:rPr>
                <w:b/>
              </w:rPr>
            </w:pPr>
            <w:r>
              <w:rPr>
                <w:b/>
              </w:rPr>
            </w:r>
          </w:p>
        </w:tc>
        <w:tc>
          <w:tcPr>
            <w:tcW w:w="1980" w:type="dxa"/>
            <w:tcBorders>
              <w:top w:val="single" w:sz="12" w:space="0" w:color="808080"/>
              <w:bottom w:val="single" w:sz="6" w:space="0" w:color="808080"/>
            </w:tcBorders>
          </w:tcPr>
          <w:p>
            <w:pPr>
              <w:pStyle w:val="Normal"/>
              <w:snapToGrid w:val="false"/>
              <w:rPr/>
            </w:pPr>
            <w:r>
              <w:rPr/>
            </w:r>
          </w:p>
        </w:tc>
      </w:tr>
      <w:tr>
        <w:trPr/>
        <w:tc>
          <w:tcPr>
            <w:tcW w:w="3528" w:type="dxa"/>
            <w:tcBorders/>
          </w:tcPr>
          <w:p>
            <w:pPr>
              <w:pStyle w:val="Normal"/>
              <w:rPr/>
            </w:pPr>
            <w:r>
              <w:rPr/>
              <w:t>Variable</w:t>
            </w:r>
          </w:p>
        </w:tc>
        <w:tc>
          <w:tcPr>
            <w:tcW w:w="1890" w:type="dxa"/>
            <w:tcBorders/>
          </w:tcPr>
          <w:p>
            <w:pPr>
              <w:pStyle w:val="Normal"/>
              <w:rPr/>
            </w:pPr>
            <w:r>
              <w:rPr/>
              <w:t>Parameter</w:t>
            </w:r>
          </w:p>
        </w:tc>
        <w:tc>
          <w:tcPr>
            <w:tcW w:w="1350" w:type="dxa"/>
            <w:tcBorders/>
          </w:tcPr>
          <w:p>
            <w:pPr>
              <w:pStyle w:val="Normal"/>
              <w:rPr/>
            </w:pPr>
            <w:r>
              <w:rPr/>
              <w:t>t Value</w:t>
            </w:r>
          </w:p>
        </w:tc>
        <w:tc>
          <w:tcPr>
            <w:tcW w:w="1980" w:type="dxa"/>
            <w:tcBorders/>
          </w:tcPr>
          <w:p>
            <w:pPr>
              <w:pStyle w:val="Normal"/>
              <w:rPr/>
            </w:pPr>
            <w:r>
              <w:rPr/>
              <w:t>Pr &gt; |t|</w:t>
            </w:r>
          </w:p>
        </w:tc>
      </w:tr>
      <w:tr>
        <w:trPr/>
        <w:tc>
          <w:tcPr>
            <w:tcW w:w="3528" w:type="dxa"/>
            <w:tcBorders/>
          </w:tcPr>
          <w:p>
            <w:pPr>
              <w:pStyle w:val="Normal"/>
              <w:rPr/>
            </w:pPr>
            <w:r>
              <w:rPr/>
              <w:t>Intercept</w:t>
            </w:r>
          </w:p>
        </w:tc>
        <w:tc>
          <w:tcPr>
            <w:tcW w:w="1890" w:type="dxa"/>
            <w:tcBorders/>
          </w:tcPr>
          <w:p>
            <w:pPr>
              <w:pStyle w:val="Normal"/>
              <w:rPr/>
            </w:pPr>
            <w:r>
              <w:rPr/>
              <w:t>-3060.1898</w:t>
            </w:r>
          </w:p>
        </w:tc>
        <w:tc>
          <w:tcPr>
            <w:tcW w:w="1350" w:type="dxa"/>
            <w:tcBorders/>
          </w:tcPr>
          <w:p>
            <w:pPr>
              <w:pStyle w:val="Normal"/>
              <w:rPr/>
            </w:pPr>
            <w:r>
              <w:rPr/>
              <w:t>-23.08</w:t>
            </w:r>
          </w:p>
        </w:tc>
        <w:tc>
          <w:tcPr>
            <w:tcW w:w="1980" w:type="dxa"/>
            <w:tcBorders/>
          </w:tcPr>
          <w:p>
            <w:pPr>
              <w:pStyle w:val="Normal"/>
              <w:rPr/>
            </w:pPr>
            <w:r>
              <w:rPr/>
              <w:t>&lt;.0001</w:t>
            </w:r>
          </w:p>
        </w:tc>
      </w:tr>
      <w:tr>
        <w:trPr/>
        <w:tc>
          <w:tcPr>
            <w:tcW w:w="3528" w:type="dxa"/>
            <w:tcBorders/>
          </w:tcPr>
          <w:p>
            <w:pPr>
              <w:pStyle w:val="Normal"/>
              <w:rPr/>
            </w:pPr>
            <w:r>
              <w:rPr/>
              <w:t>Year</w:t>
            </w:r>
          </w:p>
        </w:tc>
        <w:tc>
          <w:tcPr>
            <w:tcW w:w="1890" w:type="dxa"/>
            <w:tcBorders/>
          </w:tcPr>
          <w:p>
            <w:pPr>
              <w:pStyle w:val="Normal"/>
              <w:rPr/>
            </w:pPr>
            <w:r>
              <w:rPr/>
              <w:t>1.6041</w:t>
            </w:r>
          </w:p>
        </w:tc>
        <w:tc>
          <w:tcPr>
            <w:tcW w:w="1350" w:type="dxa"/>
            <w:tcBorders/>
          </w:tcPr>
          <w:p>
            <w:pPr>
              <w:pStyle w:val="Normal"/>
              <w:rPr/>
            </w:pPr>
            <w:r>
              <w:rPr/>
              <w:t>24.04</w:t>
            </w:r>
          </w:p>
        </w:tc>
        <w:tc>
          <w:tcPr>
            <w:tcW w:w="1980" w:type="dxa"/>
            <w:tcBorders/>
          </w:tcPr>
          <w:p>
            <w:pPr>
              <w:pStyle w:val="Normal"/>
              <w:rPr/>
            </w:pPr>
            <w:r>
              <w:rPr/>
              <w:t>&lt;.0001</w:t>
            </w:r>
          </w:p>
        </w:tc>
      </w:tr>
      <w:tr>
        <w:trPr/>
        <w:tc>
          <w:tcPr>
            <w:tcW w:w="3528" w:type="dxa"/>
            <w:tcBorders/>
          </w:tcPr>
          <w:p>
            <w:pPr>
              <w:pStyle w:val="Normal"/>
              <w:rPr/>
            </w:pPr>
            <w:r>
              <w:rPr/>
              <w:t>TempA</w:t>
            </w:r>
          </w:p>
        </w:tc>
        <w:tc>
          <w:tcPr>
            <w:tcW w:w="1890" w:type="dxa"/>
            <w:tcBorders/>
          </w:tcPr>
          <w:p>
            <w:pPr>
              <w:pStyle w:val="Normal"/>
              <w:rPr/>
            </w:pPr>
            <w:r>
              <w:rPr/>
              <w:t>-16.4165</w:t>
            </w:r>
          </w:p>
        </w:tc>
        <w:tc>
          <w:tcPr>
            <w:tcW w:w="1350" w:type="dxa"/>
            <w:tcBorders/>
          </w:tcPr>
          <w:p>
            <w:pPr>
              <w:pStyle w:val="Normal"/>
              <w:rPr/>
            </w:pPr>
            <w:r>
              <w:rPr/>
              <w:t>-12.60</w:t>
            </w:r>
          </w:p>
        </w:tc>
        <w:tc>
          <w:tcPr>
            <w:tcW w:w="1980" w:type="dxa"/>
            <w:tcBorders/>
          </w:tcPr>
          <w:p>
            <w:pPr>
              <w:pStyle w:val="Normal"/>
              <w:rPr/>
            </w:pPr>
            <w:r>
              <w:rPr/>
              <w:t>&lt;.0001</w:t>
            </w:r>
          </w:p>
        </w:tc>
      </w:tr>
      <w:tr>
        <w:trPr/>
        <w:tc>
          <w:tcPr>
            <w:tcW w:w="3528" w:type="dxa"/>
            <w:tcBorders>
              <w:bottom w:val="single" w:sz="12" w:space="0" w:color="808080"/>
            </w:tcBorders>
          </w:tcPr>
          <w:p>
            <w:pPr>
              <w:pStyle w:val="Normal"/>
              <w:rPr/>
            </w:pPr>
            <w:r>
              <w:rPr/>
              <w:t>Region variables (not all significant)</w:t>
            </w:r>
          </w:p>
        </w:tc>
        <w:tc>
          <w:tcPr>
            <w:tcW w:w="1890" w:type="dxa"/>
            <w:tcBorders>
              <w:bottom w:val="single" w:sz="12" w:space="0" w:color="808080"/>
            </w:tcBorders>
          </w:tcPr>
          <w:p>
            <w:pPr>
              <w:pStyle w:val="Normal"/>
              <w:snapToGrid w:val="false"/>
              <w:rPr/>
            </w:pPr>
            <w:r>
              <w:rPr/>
            </w:r>
          </w:p>
        </w:tc>
        <w:tc>
          <w:tcPr>
            <w:tcW w:w="1350" w:type="dxa"/>
            <w:tcBorders>
              <w:bottom w:val="single" w:sz="12" w:space="0" w:color="808080"/>
            </w:tcBorders>
          </w:tcPr>
          <w:p>
            <w:pPr>
              <w:pStyle w:val="Normal"/>
              <w:snapToGrid w:val="false"/>
              <w:rPr/>
            </w:pPr>
            <w:r>
              <w:rPr/>
            </w:r>
          </w:p>
        </w:tc>
        <w:tc>
          <w:tcPr>
            <w:tcW w:w="1980" w:type="dxa"/>
            <w:tcBorders>
              <w:bottom w:val="single" w:sz="12" w:space="0" w:color="808080"/>
            </w:tcBorders>
          </w:tcPr>
          <w:p>
            <w:pPr>
              <w:pStyle w:val="Normal"/>
              <w:rPr/>
            </w:pPr>
            <w:r>
              <w:rPr/>
              <w:t>&lt;.0001</w:t>
            </w:r>
          </w:p>
        </w:tc>
      </w:tr>
    </w:tbl>
    <w:p>
      <w:pPr>
        <w:pStyle w:val="Normal"/>
        <w:rPr/>
      </w:pPr>
      <w:r>
        <w:rPr/>
      </w:r>
    </w:p>
    <w:p>
      <w:pPr>
        <w:pStyle w:val="Normal"/>
        <w:rPr>
          <w:sz w:val="21"/>
        </w:rPr>
      </w:pPr>
      <w:r>
        <w:rPr>
          <w:sz w:val="21"/>
        </w:rPr>
      </w:r>
    </w:p>
    <w:p>
      <w:pPr>
        <w:pStyle w:val="Heading2"/>
        <w:ind w:hanging="0" w:start="0"/>
        <w:rPr>
          <w:sz w:val="21"/>
        </w:rPr>
      </w:pPr>
      <w:r>
        <w:rPr>
          <w:sz w:val="21"/>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Forward Curve Forecast Model</w:t>
      </w:r>
    </w:p>
    <w:p>
      <w:pPr>
        <w:pStyle w:val="Normal"/>
        <w:rPr/>
      </w:pPr>
      <w:r>
        <w:rPr/>
      </w:r>
    </w:p>
    <w:p>
      <w:pPr>
        <w:pStyle w:val="Normal"/>
        <w:rPr>
          <w:sz w:val="21"/>
        </w:rPr>
      </w:pPr>
      <w:r>
        <w:rPr>
          <w:sz w:val="21"/>
        </w:rPr>
        <w:t xml:space="preserve">As with the wheat curves, the corn forward curves were developed using historical data in the corn futures market. Again, using the following futures pricing equation, </w:t>
      </w:r>
    </w:p>
    <w:p>
      <w:pPr>
        <w:pStyle w:val="Normal"/>
        <w:rPr>
          <w:sz w:val="21"/>
        </w:rPr>
      </w:pPr>
      <w:r>
        <w:rPr>
          <w:sz w:val="21"/>
        </w:rPr>
      </w:r>
    </w:p>
    <w:p>
      <w:pPr>
        <w:pStyle w:val="Normal"/>
        <w:jc w:val="center"/>
        <w:rPr>
          <w:sz w:val="21"/>
        </w:rPr>
      </w:pPr>
      <w:r>
        <w:rPr>
          <w:rFonts w:cs="Arial" w:ascii="Arial" w:hAnsi="Arial"/>
          <w:i/>
        </w:rPr>
        <w:t>Futures price = (Spot price + Storage costs)*e</w:t>
      </w:r>
      <w:r>
        <w:rPr>
          <w:rFonts w:cs="Arial" w:ascii="Arial" w:hAnsi="Arial"/>
          <w:i/>
          <w:vertAlign w:val="superscript"/>
        </w:rPr>
        <w:t>(risk-free rate – convenience yield)*t</w:t>
      </w:r>
    </w:p>
    <w:p>
      <w:pPr>
        <w:pStyle w:val="BodyText"/>
        <w:rPr>
          <w:sz w:val="21"/>
        </w:rPr>
      </w:pPr>
      <w:r>
        <w:rPr>
          <w:sz w:val="21"/>
        </w:rPr>
      </w:r>
    </w:p>
    <w:p>
      <w:pPr>
        <w:pStyle w:val="BodyText"/>
        <w:rPr/>
      </w:pPr>
      <w:r>
        <w:rPr/>
        <w:t xml:space="preserve">historical convenience yields were found for corn for each trading day and each point along the forward curve. Using the average convenience yields, average grain storage costs (currently 0.16¢ per bushel per day), and current 6-month treasury bill rate, theoretical trading curves were developed. The first curve uses the current Chicago Board of Trade (CBOT) prompt month price and escalates it based on the equation above. However, this curve does not take into account Enron’s forecasted average annual cash price for corn, as mentioned in the preceding sections. The second curve, then, does take this average annual price into account by shifting the curve such that the weighted average of the prices on the curve is equal to the Enron forecasted average annual price. Both curves are extended for three years. A user-defined function then smoothes between the two curves to develop a curve that is close to the CBOT market curve in the earlier months, then makes use of the predicted average annual price for the later points on the curve. </w:t>
      </w:r>
    </w:p>
    <w:p>
      <w:pPr>
        <w:pStyle w:val="BodyText"/>
        <w:rPr/>
      </w:pPr>
      <w:r>
        <w:rPr/>
      </w:r>
    </w:p>
    <w:p>
      <w:pPr>
        <w:pStyle w:val="BodyText"/>
        <w:rPr>
          <w:b/>
          <w:sz w:val="22"/>
        </w:rPr>
      </w:pPr>
      <w:r>
        <w:rPr/>
        <w:t>One major difference between the corn and wheat curves is the addition of two more expiration dates each year for futures contracts. In November 2000, the CBOT began trading corn contracts with expiration dates in November and January, in addition to the already traded March, May, July, September, and December contracts.</w:t>
      </w:r>
    </w:p>
    <w:p>
      <w:pPr>
        <w:pStyle w:val="BodyText"/>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5"/>
        <w:numPr>
          <w:ilvl w:val="0"/>
          <w:numId w:val="4"/>
        </w:numPr>
        <w:ind w:hanging="0" w:start="0"/>
        <w:rPr>
          <w:sz w:val="24"/>
        </w:rPr>
      </w:pPr>
      <w:r>
        <w:rPr>
          <w:sz w:val="24"/>
        </w:rPr>
        <w:t>Interim Conclusions and Outline for Future Work</w:t>
      </w:r>
    </w:p>
    <w:p>
      <w:pPr>
        <w:pStyle w:val="Normal"/>
        <w:rPr>
          <w:b/>
          <w:sz w:val="22"/>
        </w:rPr>
      </w:pPr>
      <w:r>
        <w:rPr>
          <w:b/>
          <w:sz w:val="22"/>
        </w:rPr>
      </w:r>
    </w:p>
    <w:p>
      <w:pPr>
        <w:pStyle w:val="Normal"/>
        <w:rPr>
          <w:sz w:val="21"/>
        </w:rPr>
      </w:pPr>
      <w:r>
        <w:rPr>
          <w:sz w:val="21"/>
        </w:rPr>
        <w:t>Based on the results from the three research and development focus areas, the following interim conclusions have been made:</w:t>
      </w:r>
    </w:p>
    <w:p>
      <w:pPr>
        <w:pStyle w:val="Normal"/>
        <w:rPr>
          <w:sz w:val="21"/>
        </w:rPr>
      </w:pPr>
      <w:r>
        <w:rPr>
          <w:sz w:val="21"/>
        </w:rPr>
      </w:r>
    </w:p>
    <w:p>
      <w:pPr>
        <w:pStyle w:val="BodyTextIndent"/>
        <w:rPr/>
      </w:pPr>
      <w:r>
        <w:rPr>
          <w:rFonts w:eastAsia="Symbol" w:cs="Symbol" w:ascii="Symbol" w:hAnsi="Symbol"/>
        </w:rPr>
        <w:sym w:font="Symbol" w:char="f0b7"/>
      </w:r>
      <w:r>
        <w:rPr/>
        <w:t xml:space="preserve">   </w:t>
      </w:r>
      <w:r>
        <w:rPr/>
        <w:t>For wheat, both the USDA model and the Enron model accurately predicted average annual price.  Model R</w:t>
      </w:r>
      <w:r>
        <w:rPr>
          <w:vertAlign w:val="superscript"/>
        </w:rPr>
        <w:t>2</w:t>
      </w:r>
      <w:r>
        <w:rPr/>
        <w:t xml:space="preserve"> values equaled or exceeded 0.88, regardless of time period, model type, or dependent variable (cash price or CBOT price) while the maximum average error over all models was $ 0.17.  Based on these results, either model may be used to forecast future average annual wheat prices.  </w:t>
      </w:r>
    </w:p>
    <w:p>
      <w:pPr>
        <w:pStyle w:val="BodyTextIndent"/>
        <w:rPr/>
      </w:pPr>
      <w:r>
        <w:rPr/>
      </w:r>
    </w:p>
    <w:p>
      <w:pPr>
        <w:pStyle w:val="BodyTextIndent"/>
        <w:rPr/>
      </w:pPr>
      <w:r>
        <w:rPr>
          <w:rFonts w:eastAsia="Symbol" w:cs="Symbol" w:ascii="Symbol" w:hAnsi="Symbol"/>
        </w:rPr>
        <w:sym w:font="Symbol" w:char="f0b7"/>
      </w:r>
      <w:r>
        <w:rPr/>
        <w:t xml:space="preserve">   </w:t>
      </w:r>
      <w:r>
        <w:rPr/>
        <w:t>For corn, the USDA model-predicted average annual price values closely matched the actual price values.  Goodness of fit R</w:t>
      </w:r>
      <w:r>
        <w:rPr>
          <w:vertAlign w:val="superscript"/>
        </w:rPr>
        <w:t>2</w:t>
      </w:r>
      <w:r>
        <w:rPr/>
        <w:t xml:space="preserve"> values generally exceeded 0.85 while average error was maximized at $ 0.15 for all dependent variables.  The USDA corn model may be used to forecast future average annual corn prices.     </w:t>
      </w:r>
    </w:p>
    <w:p>
      <w:pPr>
        <w:pStyle w:val="BodyTextIndent"/>
        <w:rPr/>
      </w:pPr>
      <w:r>
        <w:rPr/>
      </w:r>
    </w:p>
    <w:p>
      <w:pPr>
        <w:pStyle w:val="BodyTextIndent"/>
        <w:rPr/>
      </w:pPr>
      <w:r>
        <w:rPr>
          <w:rFonts w:eastAsia="Symbol" w:cs="Symbol" w:ascii="Symbol" w:hAnsi="Symbol"/>
        </w:rPr>
        <w:sym w:font="Symbol" w:char="f0b7"/>
      </w:r>
      <w:r>
        <w:rPr/>
        <w:t xml:space="preserve">   </w:t>
      </w:r>
      <w:r>
        <w:rPr/>
        <w:t xml:space="preserve">Forecasting using either the USDA or Enron models requires future knowledge of some independent variables.  Instead of constructing multiple secondary prediction models for each of these variables, either USDA or Sparks Consulting future projections may be used in the fundamental models.  Note that both sources provide short-term projections for supply and demand variables (1 to 2 years into the future).  For price forecasts beyond 2 years, long-term estimates for the independent variables may be used as found in the USDA’s 10-year baseline projections.   </w:t>
      </w:r>
    </w:p>
    <w:p>
      <w:pPr>
        <w:pStyle w:val="BodyTextIndent"/>
        <w:rPr/>
      </w:pPr>
      <w:r>
        <w:rPr/>
      </w:r>
    </w:p>
    <w:p>
      <w:pPr>
        <w:pStyle w:val="BodyTextIndent"/>
        <w:rPr/>
      </w:pPr>
      <w:r>
        <w:rPr>
          <w:rFonts w:eastAsia="Symbol" w:cs="Symbol" w:ascii="Symbol" w:hAnsi="Symbol"/>
        </w:rPr>
        <w:sym w:font="Symbol" w:char="f0b7"/>
      </w:r>
      <w:r>
        <w:rPr/>
        <w:t xml:space="preserve">   </w:t>
      </w:r>
      <w:r>
        <w:rPr/>
        <w:t>For both wheat and corn, production was clearly a function of technology trends and planted area.  While many of the weather variables were statistically significant, their contribution to the explained variance in production was small.  Thus, weather-related hedging strategies do not appear to be a viable option.</w:t>
      </w:r>
    </w:p>
    <w:p>
      <w:pPr>
        <w:pStyle w:val="BodyTextIndent"/>
        <w:rPr/>
      </w:pPr>
      <w:r>
        <w:rPr/>
      </w:r>
    </w:p>
    <w:p>
      <w:pPr>
        <w:pStyle w:val="BodyTextIndent"/>
        <w:rPr>
          <w:color w:val="008000"/>
        </w:rPr>
      </w:pPr>
      <w:r>
        <w:rPr>
          <w:rFonts w:eastAsia="Symbol" w:cs="Symbol" w:ascii="Symbol" w:hAnsi="Symbol"/>
        </w:rPr>
        <w:sym w:font="Symbol" w:char="f0b7"/>
      </w:r>
      <w:r>
        <w:rPr/>
        <w:t xml:space="preserve">   </w:t>
      </w:r>
      <w:r>
        <w:rPr/>
        <w:t>The forward curve framework should be regarded as a starting point for trading and will fluctuate daily based on market forces. The relationship between prompt and far month contract prices will also move to reflect the liquidity in the market as it matures.</w:t>
      </w:r>
    </w:p>
    <w:p>
      <w:pPr>
        <w:pStyle w:val="BodyTextIndent"/>
        <w:rPr>
          <w:color w:val="008000"/>
        </w:rPr>
      </w:pPr>
      <w:r>
        <w:rPr>
          <w:color w:val="008000"/>
        </w:rPr>
      </w:r>
    </w:p>
    <w:p>
      <w:pPr>
        <w:pStyle w:val="BodyTextIndent"/>
        <w:ind w:hanging="0" w:start="0" w:end="0"/>
        <w:rPr/>
      </w:pPr>
      <w:r>
        <w:rPr/>
        <w:t>Recommendations for continued research and development on commodities modeling include:</w:t>
      </w:r>
    </w:p>
    <w:p>
      <w:pPr>
        <w:pStyle w:val="BodyTextIndent"/>
        <w:ind w:hanging="0" w:start="0" w:end="0"/>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 xml:space="preserve">Although not successful to date, efforts to develop a second fundamental model for corn will continue and be based on variables that may either be predicted by a secondary model or projected by USDA/Sparks. </w:t>
      </w:r>
    </w:p>
    <w:p>
      <w:pPr>
        <w:pStyle w:val="BodyTextIndent"/>
        <w:tabs>
          <w:tab w:val="clear" w:pos="720"/>
          <w:tab w:val="left" w:pos="990" w:leader="none"/>
        </w:tabs>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 xml:space="preserve">A direct relationship between average annual commodity price and CBOT price will be developed, and the risk premium as the difference between the spot market and futures market will be assessed.  Appropriate mark-to-market strategies will also be explored.     </w:t>
      </w:r>
    </w:p>
    <w:p>
      <w:pPr>
        <w:pStyle w:val="BodyTextIndent"/>
        <w:tabs>
          <w:tab w:val="clear" w:pos="720"/>
          <w:tab w:val="left" w:pos="990" w:leader="none"/>
        </w:tabs>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 xml:space="preserve">Since weather does not offer an acceptable hedging opportunity, other variables will be investigated to mitigate risk.  For example, planted area represented a major driver for the prediction of production.  The relationship between harvested area and land values will be explored. </w:t>
      </w:r>
    </w:p>
    <w:p>
      <w:pPr>
        <w:pStyle w:val="BodyTextIndent"/>
        <w:tabs>
          <w:tab w:val="clear" w:pos="720"/>
          <w:tab w:val="left" w:pos="990" w:leader="none"/>
        </w:tabs>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A fully backcasted scenario including all phases of the modeling effort will be conducted for both wheat and corn.  Using backcasted predictions generated by both the secondary and fundamental models, monthly forward curves will be developed over a 3-5 year period.  These results will be compared to the actual observations over the given time period to determine the accuracy of the integrated forecasting system and potential risks</w:t>
      </w:r>
      <w:r>
        <w:rPr>
          <w:color w:val="0000FF"/>
        </w:rPr>
        <w:t>.</w:t>
      </w:r>
    </w:p>
    <w:p>
      <w:pPr>
        <w:pStyle w:val="BodyTextIndent"/>
        <w:tabs>
          <w:tab w:val="clear" w:pos="720"/>
          <w:tab w:val="left" w:pos="990" w:leader="none"/>
        </w:tabs>
        <w:rPr>
          <w:color w:val="0000FF"/>
        </w:rPr>
      </w:pPr>
      <w:r>
        <w:rPr>
          <w:color w:val="0000FF"/>
        </w:rPr>
      </w:r>
    </w:p>
    <w:p>
      <w:pPr>
        <w:pStyle w:val="BodyTextIndent"/>
        <w:numPr>
          <w:ilvl w:val="0"/>
          <w:numId w:val="3"/>
        </w:numPr>
        <w:tabs>
          <w:tab w:val="clear" w:pos="720"/>
          <w:tab w:val="left" w:pos="990" w:leader="none"/>
        </w:tabs>
        <w:ind w:hanging="270" w:start="990" w:end="0"/>
        <w:rPr/>
      </w:pPr>
      <w:r>
        <w:rPr/>
        <w:t>The forward curve will be developed for both wheat and corn to reflect forward prices for each month in the year. This will enable Enron to develop contracts with delivery throughout the year.</w:t>
      </w:r>
    </w:p>
    <w:p>
      <w:pPr>
        <w:pStyle w:val="Normal"/>
        <w:rPr/>
      </w:pPr>
      <w:r>
        <w:rPr/>
      </w:r>
    </w:p>
    <w:p>
      <w:pPr>
        <w:pStyle w:val="Normal"/>
        <w:rPr/>
      </w:pPr>
      <w:r>
        <w:rPr/>
      </w:r>
      <w:r>
        <w:br w:type="page"/>
      </w:r>
    </w:p>
    <w:p>
      <w:pPr>
        <w:pStyle w:val="Normal"/>
        <w:rPr>
          <w:sz w:val="24"/>
        </w:rPr>
      </w:pPr>
      <w:r>
        <w:rPr>
          <w:sz w:val="24"/>
        </w:rPr>
      </w:r>
    </w:p>
    <w:p>
      <w:pPr>
        <w:pStyle w:val="Heading4"/>
        <w:ind w:hanging="0" w:start="0"/>
        <w:rPr>
          <w:sz w:val="24"/>
        </w:rPr>
      </w:pPr>
      <w:r>
        <w:rPr>
          <w:sz w:val="24"/>
        </w:rPr>
        <w:t>Appendix A: Definition of Fundamental Model Terms</w:t>
      </w:r>
    </w:p>
    <w:p>
      <w:pPr>
        <w:pStyle w:val="Normal"/>
        <w:rPr>
          <w:b/>
          <w:smallCaps/>
          <w:sz w:val="22"/>
        </w:rPr>
      </w:pPr>
      <w:r>
        <w:rPr>
          <w:b/>
          <w:smallCaps/>
          <w:sz w:val="22"/>
        </w:rPr>
      </w:r>
    </w:p>
    <w:p>
      <w:pPr>
        <w:pStyle w:val="Normal"/>
        <w:rPr/>
      </w:pPr>
      <w:r>
        <w:rPr>
          <w:b/>
          <w:smallCaps/>
          <w:sz w:val="22"/>
        </w:rPr>
        <w:t>WHEATPRICE (USDA M</w:t>
      </w:r>
      <w:r>
        <w:rPr>
          <w:b/>
          <w:sz w:val="22"/>
        </w:rPr>
        <w:t>odel, Enron Model)</w:t>
      </w:r>
    </w:p>
    <w:p>
      <w:pPr>
        <w:pStyle w:val="Normal"/>
        <w:rPr>
          <w:b/>
          <w:sz w:val="22"/>
        </w:rPr>
      </w:pPr>
      <w:r>
        <w:rPr>
          <w:b/>
          <w:sz w:val="22"/>
        </w:rPr>
      </w:r>
    </w:p>
    <w:p>
      <w:pPr>
        <w:pStyle w:val="Normal"/>
        <w:rPr>
          <w:sz w:val="22"/>
        </w:rPr>
      </w:pPr>
      <w:r>
        <w:rPr>
          <w:sz w:val="22"/>
        </w:rPr>
        <w:t>Variable represents average annual cash price received at elevator.  US average weighted according to production and percentage of crop marketed.</w:t>
      </w:r>
    </w:p>
    <w:p>
      <w:pPr>
        <w:pStyle w:val="Normal"/>
        <w:rPr>
          <w:sz w:val="22"/>
        </w:rPr>
      </w:pPr>
      <w:r>
        <w:rPr>
          <w:sz w:val="22"/>
        </w:rPr>
      </w:r>
    </w:p>
    <w:p>
      <w:pPr>
        <w:pStyle w:val="Normal"/>
        <w:rPr>
          <w:b/>
          <w:sz w:val="22"/>
        </w:rPr>
      </w:pPr>
      <w:r>
        <w:rPr>
          <w:b/>
          <w:sz w:val="22"/>
        </w:rPr>
        <w:t>CBOTPRICE (USDA Model, Enron Model)</w:t>
      </w:r>
    </w:p>
    <w:p>
      <w:pPr>
        <w:pStyle w:val="Normal"/>
        <w:rPr>
          <w:b/>
          <w:sz w:val="22"/>
        </w:rPr>
      </w:pPr>
      <w:r>
        <w:rPr>
          <w:b/>
          <w:sz w:val="22"/>
        </w:rPr>
      </w:r>
    </w:p>
    <w:p>
      <w:pPr>
        <w:pStyle w:val="Normal"/>
        <w:rPr>
          <w:sz w:val="22"/>
        </w:rPr>
      </w:pPr>
      <w:r>
        <w:rPr>
          <w:sz w:val="22"/>
        </w:rPr>
        <w:t>Variable reflects average of daily prompt month settlement price from CBOT.  No weighting factors have been added.</w:t>
      </w:r>
    </w:p>
    <w:p>
      <w:pPr>
        <w:pStyle w:val="Normal"/>
        <w:rPr>
          <w:b/>
          <w:smallCaps/>
          <w:sz w:val="22"/>
        </w:rPr>
      </w:pPr>
      <w:r>
        <w:rPr>
          <w:b/>
          <w:smallCaps/>
          <w:sz w:val="22"/>
        </w:rPr>
      </w:r>
    </w:p>
    <w:p>
      <w:pPr>
        <w:pStyle w:val="Normal"/>
        <w:rPr>
          <w:b/>
          <w:sz w:val="21"/>
        </w:rPr>
      </w:pPr>
      <w:r>
        <w:rPr>
          <w:b/>
          <w:sz w:val="21"/>
        </w:rPr>
        <w:t>STUSEUSA (USDA Model)</w:t>
      </w:r>
    </w:p>
    <w:p>
      <w:pPr>
        <w:pStyle w:val="Normal"/>
        <w:rPr>
          <w:b/>
          <w:sz w:val="21"/>
        </w:rPr>
      </w:pPr>
      <w:r>
        <w:rPr>
          <w:b/>
          <w:sz w:val="21"/>
        </w:rPr>
      </w:r>
    </w:p>
    <w:p>
      <w:pPr>
        <w:pStyle w:val="Normal"/>
        <w:rPr>
          <w:sz w:val="21"/>
        </w:rPr>
      </w:pPr>
      <w:r>
        <w:rPr>
          <w:sz w:val="21"/>
        </w:rPr>
        <w:t xml:space="preserve">Stocks-to-use ratio variable designed to encompass all supply (beginning stocks, imports, production) and demand (food and feed usage, exports, etc.) factors.  Supply and demand divided by a “scale of activity” term or total usage.  </w:t>
      </w:r>
    </w:p>
    <w:p>
      <w:pPr>
        <w:pStyle w:val="Normal"/>
        <w:rPr>
          <w:sz w:val="21"/>
        </w:rPr>
      </w:pPr>
      <w:r>
        <w:rPr>
          <w:sz w:val="21"/>
        </w:rPr>
      </w:r>
    </w:p>
    <w:p>
      <w:pPr>
        <w:pStyle w:val="Heading1"/>
        <w:numPr>
          <w:ilvl w:val="0"/>
          <w:numId w:val="0"/>
        </w:numPr>
        <w:ind w:hanging="0" w:start="0"/>
        <w:rPr>
          <w:sz w:val="21"/>
        </w:rPr>
      </w:pPr>
      <w:r>
        <w:rPr>
          <w:sz w:val="21"/>
        </w:rPr>
        <w:t>GOVTTOTOTAL (USDA Model)</w:t>
      </w:r>
    </w:p>
    <w:p>
      <w:pPr>
        <w:pStyle w:val="Normal"/>
        <w:rPr>
          <w:sz w:val="21"/>
        </w:rPr>
      </w:pPr>
      <w:r>
        <w:rPr>
          <w:sz w:val="21"/>
        </w:rPr>
      </w:r>
    </w:p>
    <w:p>
      <w:pPr>
        <w:pStyle w:val="Normal"/>
        <w:rPr>
          <w:sz w:val="21"/>
        </w:rPr>
      </w:pPr>
      <w:r>
        <w:rPr>
          <w:sz w:val="21"/>
        </w:rPr>
        <w:t xml:space="preserve">Ratio variable describes impacts of government reserves on commodity market price. Reserves quantities also divided by total usage.  In general, government stocks are not accessible to the marketplace. </w:t>
      </w:r>
    </w:p>
    <w:p>
      <w:pPr>
        <w:pStyle w:val="Normal"/>
        <w:rPr>
          <w:sz w:val="21"/>
        </w:rPr>
      </w:pPr>
      <w:r>
        <w:rPr>
          <w:sz w:val="21"/>
        </w:rPr>
      </w:r>
    </w:p>
    <w:p>
      <w:pPr>
        <w:pStyle w:val="Heading1"/>
        <w:numPr>
          <w:ilvl w:val="0"/>
          <w:numId w:val="0"/>
        </w:numPr>
        <w:ind w:hanging="0" w:start="0"/>
        <w:rPr>
          <w:sz w:val="21"/>
        </w:rPr>
      </w:pPr>
      <w:r>
        <w:rPr>
          <w:sz w:val="21"/>
        </w:rPr>
        <w:t>STUSEFOR4 (USDA Model)</w:t>
      </w:r>
    </w:p>
    <w:p>
      <w:pPr>
        <w:pStyle w:val="Normal"/>
        <w:rPr>
          <w:sz w:val="21"/>
        </w:rPr>
      </w:pPr>
      <w:r>
        <w:rPr>
          <w:sz w:val="21"/>
        </w:rPr>
      </w:r>
    </w:p>
    <w:p>
      <w:pPr>
        <w:pStyle w:val="Normal"/>
        <w:rPr>
          <w:sz w:val="21"/>
        </w:rPr>
      </w:pPr>
      <w:r>
        <w:rPr>
          <w:sz w:val="21"/>
        </w:rPr>
        <w:t xml:space="preserve">Variable accounts for competition in the wheat marketplace by calculating the stocks-to-use ratio (see above) for four major wheat exporters including the European Union, Argentina, Australia, and Canada.  </w:t>
      </w:r>
    </w:p>
    <w:p>
      <w:pPr>
        <w:pStyle w:val="Normal"/>
        <w:rPr>
          <w:sz w:val="21"/>
        </w:rPr>
      </w:pPr>
      <w:r>
        <w:rPr>
          <w:sz w:val="21"/>
        </w:rPr>
      </w:r>
    </w:p>
    <w:p>
      <w:pPr>
        <w:pStyle w:val="Heading1"/>
        <w:numPr>
          <w:ilvl w:val="0"/>
          <w:numId w:val="0"/>
        </w:numPr>
        <w:ind w:hanging="0" w:start="0"/>
        <w:rPr>
          <w:sz w:val="21"/>
        </w:rPr>
      </w:pPr>
      <w:r>
        <w:rPr>
          <w:sz w:val="21"/>
        </w:rPr>
        <w:t>LOANRATE (USDA Model, Enron Model)</w:t>
      </w:r>
    </w:p>
    <w:p>
      <w:pPr>
        <w:pStyle w:val="Normal"/>
        <w:rPr>
          <w:sz w:val="21"/>
        </w:rPr>
      </w:pPr>
      <w:r>
        <w:rPr>
          <w:sz w:val="21"/>
        </w:rPr>
      </w:r>
    </w:p>
    <w:p>
      <w:pPr>
        <w:pStyle w:val="Normal"/>
        <w:rPr>
          <w:sz w:val="21"/>
        </w:rPr>
      </w:pPr>
      <w:r>
        <w:rPr>
          <w:sz w:val="21"/>
        </w:rPr>
        <w:t>Variable reflects loan rate price given to farmers who, in turn, offer produced wheat as collateral.  Note that this term’s impact has been reduced over time.</w:t>
      </w:r>
    </w:p>
    <w:p>
      <w:pPr>
        <w:pStyle w:val="Normal"/>
        <w:rPr>
          <w:sz w:val="21"/>
        </w:rPr>
      </w:pPr>
      <w:r>
        <w:rPr>
          <w:sz w:val="21"/>
        </w:rPr>
      </w:r>
    </w:p>
    <w:p>
      <w:pPr>
        <w:pStyle w:val="Heading1"/>
        <w:numPr>
          <w:ilvl w:val="0"/>
          <w:numId w:val="0"/>
        </w:numPr>
        <w:ind w:hanging="0" w:start="0"/>
        <w:rPr>
          <w:sz w:val="21"/>
        </w:rPr>
      </w:pPr>
      <w:r>
        <w:rPr>
          <w:sz w:val="21"/>
        </w:rPr>
        <w:t>DUM7885 (USDA Model)</w:t>
      </w:r>
    </w:p>
    <w:p>
      <w:pPr>
        <w:pStyle w:val="Normal"/>
        <w:rPr>
          <w:sz w:val="21"/>
        </w:rPr>
      </w:pPr>
      <w:r>
        <w:rPr>
          <w:sz w:val="21"/>
        </w:rPr>
      </w:r>
    </w:p>
    <w:p>
      <w:pPr>
        <w:pStyle w:val="Normal"/>
        <w:rPr>
          <w:sz w:val="21"/>
        </w:rPr>
      </w:pPr>
      <w:r>
        <w:rPr>
          <w:sz w:val="21"/>
        </w:rPr>
        <w:t>Dummy variable accounts for storage subsidies given to farmers during the time period 1978-85.  Farmers were paid by the government to store grain for 3 to 5 years unless the market price reached a specified level.</w:t>
      </w:r>
    </w:p>
    <w:p>
      <w:pPr>
        <w:pStyle w:val="Normal"/>
        <w:rPr>
          <w:sz w:val="21"/>
        </w:rPr>
      </w:pPr>
      <w:r>
        <w:rPr>
          <w:sz w:val="21"/>
        </w:rPr>
      </w:r>
    </w:p>
    <w:p>
      <w:pPr>
        <w:pStyle w:val="Heading1"/>
        <w:numPr>
          <w:ilvl w:val="0"/>
          <w:numId w:val="0"/>
        </w:numPr>
        <w:ind w:hanging="0" w:start="0"/>
        <w:rPr>
          <w:sz w:val="21"/>
        </w:rPr>
      </w:pPr>
      <w:r>
        <w:rPr>
          <w:sz w:val="21"/>
        </w:rPr>
        <w:t>LOANRATEDUM7885 (USDA Model)</w:t>
      </w:r>
    </w:p>
    <w:p>
      <w:pPr>
        <w:pStyle w:val="Normal"/>
        <w:rPr>
          <w:sz w:val="21"/>
        </w:rPr>
      </w:pPr>
      <w:r>
        <w:rPr>
          <w:sz w:val="21"/>
        </w:rPr>
      </w:r>
    </w:p>
    <w:p>
      <w:pPr>
        <w:pStyle w:val="Normal"/>
        <w:rPr>
          <w:sz w:val="21"/>
        </w:rPr>
      </w:pPr>
      <w:r>
        <w:rPr>
          <w:sz w:val="21"/>
        </w:rPr>
        <w:t>Term designed to capture the interactive effects of the two government support programs.</w:t>
      </w:r>
    </w:p>
    <w:p>
      <w:pPr>
        <w:pStyle w:val="Normal"/>
        <w:rPr>
          <w:sz w:val="21"/>
        </w:rPr>
      </w:pPr>
      <w:r>
        <w:rPr>
          <w:sz w:val="21"/>
        </w:rPr>
      </w:r>
    </w:p>
    <w:p>
      <w:pPr>
        <w:pStyle w:val="Heading1"/>
        <w:numPr>
          <w:ilvl w:val="0"/>
          <w:numId w:val="0"/>
        </w:numPr>
        <w:ind w:hanging="0" w:start="0"/>
        <w:rPr>
          <w:sz w:val="21"/>
        </w:rPr>
      </w:pPr>
      <w:r>
        <w:rPr>
          <w:sz w:val="21"/>
        </w:rPr>
        <w:t>FEEDVSTOTAL (USDA Model)</w:t>
      </w:r>
    </w:p>
    <w:p>
      <w:pPr>
        <w:pStyle w:val="Normal"/>
        <w:rPr>
          <w:sz w:val="21"/>
        </w:rPr>
      </w:pPr>
      <w:r>
        <w:rPr>
          <w:sz w:val="21"/>
        </w:rPr>
      </w:r>
    </w:p>
    <w:p>
      <w:pPr>
        <w:pStyle w:val="Normal"/>
        <w:rPr>
          <w:sz w:val="21"/>
        </w:rPr>
      </w:pPr>
      <w:r>
        <w:rPr>
          <w:sz w:val="21"/>
        </w:rPr>
        <w:t>Variable determines the fraction of usage attributed to feed grains.  This term captures some cross-commodity influence since other grains may also serve as feed stock.</w:t>
      </w:r>
    </w:p>
    <w:p>
      <w:pPr>
        <w:pStyle w:val="Normal"/>
        <w:rPr>
          <w:sz w:val="21"/>
        </w:rPr>
      </w:pPr>
      <w:r>
        <w:rPr>
          <w:sz w:val="21"/>
        </w:rPr>
      </w:r>
    </w:p>
    <w:p>
      <w:pPr>
        <w:pStyle w:val="Heading1"/>
        <w:numPr>
          <w:ilvl w:val="0"/>
          <w:numId w:val="0"/>
        </w:numPr>
        <w:ind w:hanging="0" w:start="0"/>
        <w:rPr>
          <w:sz w:val="21"/>
        </w:rPr>
      </w:pPr>
      <w:r>
        <w:rPr>
          <w:sz w:val="21"/>
        </w:rPr>
        <w:t>CORNPRICESUMMER (USDA Model)</w:t>
      </w:r>
    </w:p>
    <w:p>
      <w:pPr>
        <w:pStyle w:val="Normal"/>
        <w:rPr>
          <w:sz w:val="21"/>
        </w:rPr>
      </w:pPr>
      <w:r>
        <w:rPr>
          <w:sz w:val="21"/>
        </w:rPr>
      </w:r>
    </w:p>
    <w:p>
      <w:pPr>
        <w:pStyle w:val="Normal"/>
        <w:rPr>
          <w:sz w:val="21"/>
        </w:rPr>
      </w:pPr>
      <w:r>
        <w:rPr>
          <w:sz w:val="21"/>
        </w:rPr>
        <w:t>Variable reflects interaction between wheat prices and corn prices in the summer quarter.  Varying amounts of wheat may be purchased and used for feed depending on the projected corn harvest (note wheat harvested several months prior to corn).</w:t>
      </w:r>
    </w:p>
    <w:p>
      <w:pPr>
        <w:pStyle w:val="Normal"/>
        <w:rPr>
          <w:sz w:val="21"/>
        </w:rPr>
      </w:pPr>
      <w:r>
        <w:rPr>
          <w:sz w:val="21"/>
        </w:rPr>
      </w:r>
    </w:p>
    <w:p>
      <w:pPr>
        <w:pStyle w:val="Heading1"/>
        <w:numPr>
          <w:ilvl w:val="0"/>
          <w:numId w:val="0"/>
        </w:numPr>
        <w:ind w:hanging="0" w:start="0"/>
        <w:rPr>
          <w:sz w:val="21"/>
        </w:rPr>
      </w:pPr>
      <w:r>
        <w:rPr>
          <w:sz w:val="21"/>
        </w:rPr>
        <w:t>DUM86 (USDA Model-Corn)</w:t>
      </w:r>
    </w:p>
    <w:p>
      <w:pPr>
        <w:pStyle w:val="Normal"/>
        <w:rPr>
          <w:sz w:val="21"/>
        </w:rPr>
      </w:pPr>
      <w:r>
        <w:rPr>
          <w:sz w:val="21"/>
        </w:rPr>
      </w:r>
    </w:p>
    <w:p>
      <w:pPr>
        <w:pStyle w:val="Normal"/>
        <w:rPr>
          <w:sz w:val="21"/>
        </w:rPr>
      </w:pPr>
      <w:r>
        <w:rPr>
          <w:sz w:val="21"/>
        </w:rPr>
        <w:t>Dummy variable captures corn price trough in 1986.</w:t>
      </w:r>
    </w:p>
    <w:p>
      <w:pPr>
        <w:pStyle w:val="Normal"/>
        <w:rPr>
          <w:sz w:val="21"/>
        </w:rPr>
      </w:pPr>
      <w:r>
        <w:rPr>
          <w:sz w:val="21"/>
        </w:rPr>
      </w:r>
    </w:p>
    <w:p>
      <w:pPr>
        <w:pStyle w:val="Heading1"/>
        <w:numPr>
          <w:ilvl w:val="0"/>
          <w:numId w:val="0"/>
        </w:numPr>
        <w:ind w:hanging="0" w:start="0"/>
        <w:rPr>
          <w:sz w:val="21"/>
        </w:rPr>
      </w:pPr>
      <w:r>
        <w:rPr>
          <w:sz w:val="21"/>
        </w:rPr>
        <w:t>DUM95 (Enron Model-Wheat)</w:t>
      </w:r>
    </w:p>
    <w:p>
      <w:pPr>
        <w:pStyle w:val="Normal"/>
        <w:rPr>
          <w:b/>
          <w:sz w:val="21"/>
        </w:rPr>
      </w:pPr>
      <w:r>
        <w:rPr>
          <w:b/>
          <w:sz w:val="21"/>
        </w:rPr>
      </w:r>
    </w:p>
    <w:p>
      <w:pPr>
        <w:pStyle w:val="Normal"/>
        <w:rPr>
          <w:sz w:val="21"/>
        </w:rPr>
      </w:pPr>
      <w:r>
        <w:rPr>
          <w:sz w:val="21"/>
        </w:rPr>
        <w:t>Dummy variable captures wheat price spike in 1995.</w:t>
      </w:r>
    </w:p>
    <w:p>
      <w:pPr>
        <w:pStyle w:val="Normal"/>
        <w:rPr>
          <w:sz w:val="21"/>
        </w:rPr>
      </w:pPr>
      <w:r>
        <w:rPr>
          <w:sz w:val="21"/>
        </w:rPr>
      </w:r>
    </w:p>
    <w:p>
      <w:pPr>
        <w:pStyle w:val="Normal"/>
        <w:rPr>
          <w:b/>
          <w:sz w:val="21"/>
        </w:rPr>
      </w:pPr>
      <w:r>
        <w:rPr>
          <w:b/>
          <w:sz w:val="21"/>
        </w:rPr>
        <w:t>PRODUCTION (Enron Model)</w:t>
      </w:r>
    </w:p>
    <w:p>
      <w:pPr>
        <w:pStyle w:val="Normal"/>
        <w:rPr>
          <w:b/>
          <w:sz w:val="21"/>
        </w:rPr>
      </w:pPr>
      <w:r>
        <w:rPr>
          <w:b/>
          <w:sz w:val="21"/>
        </w:rPr>
      </w:r>
    </w:p>
    <w:p>
      <w:pPr>
        <w:pStyle w:val="Normal"/>
        <w:rPr>
          <w:sz w:val="21"/>
        </w:rPr>
      </w:pPr>
      <w:r>
        <w:rPr>
          <w:sz w:val="21"/>
        </w:rPr>
        <w:t xml:space="preserve">Variable reflects production supply term (not normalized to scale of activity or other variable).  </w:t>
      </w:r>
    </w:p>
    <w:p>
      <w:pPr>
        <w:pStyle w:val="Normal"/>
        <w:rPr>
          <w:b/>
          <w:sz w:val="21"/>
        </w:rPr>
      </w:pPr>
      <w:r>
        <w:rPr>
          <w:b/>
          <w:sz w:val="21"/>
        </w:rPr>
      </w:r>
    </w:p>
    <w:p>
      <w:pPr>
        <w:pStyle w:val="Normal"/>
        <w:rPr>
          <w:b/>
          <w:sz w:val="21"/>
        </w:rPr>
      </w:pPr>
      <w:r>
        <w:rPr>
          <w:b/>
          <w:sz w:val="21"/>
        </w:rPr>
        <w:t>EXPORTS (Enron Model)</w:t>
      </w:r>
    </w:p>
    <w:p>
      <w:pPr>
        <w:pStyle w:val="Normal"/>
        <w:rPr>
          <w:b/>
          <w:sz w:val="21"/>
        </w:rPr>
      </w:pPr>
      <w:r>
        <w:rPr>
          <w:b/>
          <w:sz w:val="21"/>
        </w:rPr>
      </w:r>
    </w:p>
    <w:p>
      <w:pPr>
        <w:pStyle w:val="Normal"/>
        <w:rPr>
          <w:sz w:val="21"/>
        </w:rPr>
      </w:pPr>
      <w:r>
        <w:rPr>
          <w:sz w:val="21"/>
        </w:rPr>
        <w:t>Variable accounts for exports demand term (not normalized to scale of activity or other variable).</w:t>
      </w:r>
    </w:p>
    <w:p>
      <w:pPr>
        <w:pStyle w:val="Normal"/>
        <w:rPr>
          <w:b/>
          <w:sz w:val="21"/>
        </w:rPr>
      </w:pPr>
      <w:r>
        <w:rPr>
          <w:b/>
          <w:sz w:val="21"/>
        </w:rPr>
      </w:r>
    </w:p>
    <w:p>
      <w:pPr>
        <w:pStyle w:val="Normal"/>
        <w:rPr>
          <w:b/>
          <w:sz w:val="21"/>
        </w:rPr>
      </w:pPr>
      <w:r>
        <w:rPr>
          <w:b/>
          <w:sz w:val="21"/>
        </w:rPr>
        <w:t>ENDSTOCKSLAG (Enron Model)</w:t>
      </w:r>
    </w:p>
    <w:p>
      <w:pPr>
        <w:pStyle w:val="Normal"/>
        <w:rPr>
          <w:b/>
          <w:sz w:val="21"/>
        </w:rPr>
      </w:pPr>
      <w:r>
        <w:rPr>
          <w:b/>
          <w:sz w:val="21"/>
        </w:rPr>
      </w:r>
    </w:p>
    <w:p>
      <w:pPr>
        <w:pStyle w:val="Normal"/>
        <w:rPr>
          <w:sz w:val="21"/>
        </w:rPr>
      </w:pPr>
      <w:r>
        <w:rPr>
          <w:sz w:val="21"/>
        </w:rPr>
        <w:t>Variable represents the quantity of commodity remaining at the end of the previous year (equivalent to beginning stocks of the current year).</w:t>
      </w:r>
    </w:p>
    <w:p>
      <w:pPr>
        <w:pStyle w:val="Normal"/>
        <w:rPr>
          <w:sz w:val="21"/>
        </w:rPr>
      </w:pPr>
      <w:r>
        <w:rPr>
          <w:sz w:val="21"/>
        </w:rPr>
      </w:r>
    </w:p>
    <w:p>
      <w:pPr>
        <w:pStyle w:val="Normal"/>
        <w:rPr>
          <w:b/>
          <w:sz w:val="21"/>
        </w:rPr>
      </w:pPr>
      <w:r>
        <w:rPr>
          <w:b/>
          <w:sz w:val="21"/>
        </w:rPr>
        <w:t>WHEATPRICELAG (Enron Model)</w:t>
      </w:r>
    </w:p>
    <w:p>
      <w:pPr>
        <w:pStyle w:val="Normal"/>
        <w:rPr>
          <w:b/>
          <w:sz w:val="21"/>
        </w:rPr>
      </w:pPr>
      <w:r>
        <w:rPr>
          <w:b/>
          <w:sz w:val="21"/>
        </w:rPr>
      </w:r>
    </w:p>
    <w:p>
      <w:pPr>
        <w:pStyle w:val="Normal"/>
        <w:rPr>
          <w:sz w:val="21"/>
        </w:rPr>
      </w:pPr>
      <w:r>
        <w:rPr>
          <w:sz w:val="21"/>
        </w:rPr>
        <w:t>Variable reflects average annual commodity price from the previous year.</w:t>
      </w:r>
    </w:p>
    <w:p>
      <w:pPr>
        <w:pStyle w:val="Normal"/>
        <w:rPr>
          <w:b/>
          <w:sz w:val="21"/>
        </w:rPr>
      </w:pPr>
      <w:r>
        <w:rPr>
          <w:b/>
          <w:sz w:val="21"/>
        </w:rPr>
      </w:r>
    </w:p>
    <w:p>
      <w:pPr>
        <w:pStyle w:val="Normal"/>
        <w:rPr>
          <w:b/>
          <w:sz w:val="21"/>
        </w:rPr>
      </w:pPr>
      <w:r>
        <w:rPr>
          <w:b/>
          <w:sz w:val="21"/>
        </w:rPr>
        <w:t>WHEATPRICELAG2 (Enron Model)</w:t>
      </w:r>
    </w:p>
    <w:p>
      <w:pPr>
        <w:pStyle w:val="Normal"/>
        <w:rPr>
          <w:b/>
          <w:sz w:val="21"/>
        </w:rPr>
      </w:pPr>
      <w:r>
        <w:rPr>
          <w:b/>
          <w:sz w:val="21"/>
        </w:rPr>
      </w:r>
    </w:p>
    <w:p>
      <w:pPr>
        <w:pStyle w:val="Normal"/>
        <w:rPr>
          <w:sz w:val="21"/>
        </w:rPr>
      </w:pPr>
      <w:r>
        <w:rPr>
          <w:sz w:val="21"/>
        </w:rPr>
        <w:t>Variable reflects average annual commodity price from 2 years ago.</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r>
        <w:br w:type="page"/>
      </w:r>
    </w:p>
    <w:p>
      <w:pPr>
        <w:pStyle w:val="Normal"/>
        <w:rPr>
          <w:b/>
          <w:smallCaps/>
          <w:sz w:val="24"/>
        </w:rPr>
      </w:pPr>
      <w:r>
        <w:rPr>
          <w:b/>
          <w:smallCaps/>
          <w:sz w:val="24"/>
        </w:rPr>
        <w:t>Appendix B: Graphical Results from Fundamental Models</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4">
            <wp:simplePos x="0" y="0"/>
            <wp:positionH relativeFrom="column">
              <wp:posOffset>-45720</wp:posOffset>
            </wp:positionH>
            <wp:positionV relativeFrom="paragraph">
              <wp:posOffset>52070</wp:posOffset>
            </wp:positionV>
            <wp:extent cx="5669280" cy="329184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5" t="-8" r="-5" b="-8"/>
                    <a:stretch>
                      <a:fillRect/>
                    </a:stretch>
                  </pic:blipFill>
                  <pic:spPr bwMode="auto">
                    <a:xfrm>
                      <a:off x="0" y="0"/>
                      <a:ext cx="5669280" cy="329184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B1.  Actual, predicted, and backcasted cash prices for USDA wheat model (1975-1996).</w:t>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5">
            <wp:simplePos x="0" y="0"/>
            <wp:positionH relativeFrom="column">
              <wp:posOffset>-45720</wp:posOffset>
            </wp:positionH>
            <wp:positionV relativeFrom="paragraph">
              <wp:posOffset>29845</wp:posOffset>
            </wp:positionV>
            <wp:extent cx="5669280" cy="3320415"/>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5" t="-8" r="-5" b="-8"/>
                    <a:stretch>
                      <a:fillRect/>
                    </a:stretch>
                  </pic:blipFill>
                  <pic:spPr bwMode="auto">
                    <a:xfrm>
                      <a:off x="0" y="0"/>
                      <a:ext cx="5669280" cy="3320415"/>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Heading3"/>
        <w:ind w:hanging="0" w:start="0"/>
        <w:rPr/>
      </w:pPr>
      <w:r>
        <w:rPr/>
        <w:t>Figure B2.  Actual and predicted cash prices for USDA wheat model (1975-1999).</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6">
            <wp:simplePos x="0" y="0"/>
            <wp:positionH relativeFrom="column">
              <wp:posOffset>-45720</wp:posOffset>
            </wp:positionH>
            <wp:positionV relativeFrom="paragraph">
              <wp:posOffset>635</wp:posOffset>
            </wp:positionV>
            <wp:extent cx="5577840" cy="3291840"/>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5" t="-8" r="-5" b="-8"/>
                    <a:stretch>
                      <a:fillRect/>
                    </a:stretch>
                  </pic:blipFill>
                  <pic:spPr bwMode="auto">
                    <a:xfrm>
                      <a:off x="0" y="0"/>
                      <a:ext cx="5577840" cy="329184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B3.  Actual and predicted cash prices for Enron wheat model (1975-1999).</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7">
            <wp:simplePos x="0" y="0"/>
            <wp:positionH relativeFrom="column">
              <wp:posOffset>-45720</wp:posOffset>
            </wp:positionH>
            <wp:positionV relativeFrom="paragraph">
              <wp:posOffset>635</wp:posOffset>
            </wp:positionV>
            <wp:extent cx="5486400" cy="3291840"/>
            <wp:effectExtent l="0" t="0" r="0" b="0"/>
            <wp:wrapNone/>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5" t="-8" r="-5" b="-8"/>
                    <a:stretch>
                      <a:fillRect/>
                    </a:stretch>
                  </pic:blipFill>
                  <pic:spPr bwMode="auto">
                    <a:xfrm>
                      <a:off x="0" y="0"/>
                      <a:ext cx="5486400" cy="329184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B4.  Actual, predicted, and backcasted CBOT prices for Enron wheat model (1975-1996).</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8">
            <wp:simplePos x="0" y="0"/>
            <wp:positionH relativeFrom="column">
              <wp:posOffset>-137160</wp:posOffset>
            </wp:positionH>
            <wp:positionV relativeFrom="paragraph">
              <wp:posOffset>22225</wp:posOffset>
            </wp:positionV>
            <wp:extent cx="5486400" cy="3566160"/>
            <wp:effectExtent l="0" t="0" r="0" b="0"/>
            <wp:wrapNone/>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6" t="-8" r="-6"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B5.  Actual and predicted CBOT prices for Enron wheat model (1975-1999).</w:t>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9">
            <wp:simplePos x="0" y="0"/>
            <wp:positionH relativeFrom="column">
              <wp:posOffset>-137160</wp:posOffset>
            </wp:positionH>
            <wp:positionV relativeFrom="paragraph">
              <wp:posOffset>81280</wp:posOffset>
            </wp:positionV>
            <wp:extent cx="5486400" cy="3566160"/>
            <wp:effectExtent l="0" t="0" r="0" b="0"/>
            <wp:wrapNone/>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B6.  Actual, predicted, and backcasted cash prices for USDA corn model (1975-1996).</w:t>
      </w:r>
    </w:p>
    <w:p>
      <w:pPr>
        <w:pStyle w:val="Normal"/>
        <w:rPr>
          <w:b/>
          <w:smallCaps/>
          <w:sz w:val="22"/>
          <w:lang w:val="en-CA"/>
        </w:rPr>
      </w:pPr>
      <w:r>
        <w:rPr>
          <w:b/>
          <w:smallCaps/>
          <w:sz w:val="22"/>
          <w:lang w:val="en-CA"/>
        </w:rPr>
        <w:drawing>
          <wp:anchor behindDoc="0" distT="0" distB="0" distL="114935" distR="114935" simplePos="0" locked="0" layoutInCell="1" allowOverlap="1" relativeHeight="30">
            <wp:simplePos x="0" y="0"/>
            <wp:positionH relativeFrom="column">
              <wp:posOffset>-137160</wp:posOffset>
            </wp:positionH>
            <wp:positionV relativeFrom="paragraph">
              <wp:posOffset>635</wp:posOffset>
            </wp:positionV>
            <wp:extent cx="5486400" cy="3566160"/>
            <wp:effectExtent l="0" t="0" r="0" b="0"/>
            <wp:wrapNone/>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B7.  Actual and predicted cash prices for USDA corn model (1975-1999).</w:t>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31">
            <wp:simplePos x="0" y="0"/>
            <wp:positionH relativeFrom="column">
              <wp:posOffset>-137160</wp:posOffset>
            </wp:positionH>
            <wp:positionV relativeFrom="paragraph">
              <wp:posOffset>22225</wp:posOffset>
            </wp:positionV>
            <wp:extent cx="5486400" cy="3566160"/>
            <wp:effectExtent l="0" t="0" r="0" b="0"/>
            <wp:wrapNone/>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B8.  Actual, predicted, and backcasted CBOT prices for USDA corn model (1975-1996).</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32">
            <wp:simplePos x="0" y="0"/>
            <wp:positionH relativeFrom="column">
              <wp:posOffset>-137160</wp:posOffset>
            </wp:positionH>
            <wp:positionV relativeFrom="paragraph">
              <wp:posOffset>44450</wp:posOffset>
            </wp:positionV>
            <wp:extent cx="5486400" cy="3566160"/>
            <wp:effectExtent l="0" t="0" r="0" b="0"/>
            <wp:wrapNone/>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3"/>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B9.  Actual and predicted CBOT prices for USDA corn model (1975-1999).</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color w:val="FF0000"/>
          <w:sz w:val="22"/>
        </w:rPr>
      </w:pPr>
      <w:r>
        <w:rPr>
          <w:b/>
          <w:smallCaps/>
          <w:color w:val="FF0000"/>
          <w:sz w:val="22"/>
        </w:rPr>
      </w:r>
    </w:p>
    <w:p>
      <w:pPr>
        <w:pStyle w:val="Heading6"/>
        <w:ind w:hanging="0" w:start="0"/>
        <w:rPr>
          <w:color w:val="FF0000"/>
        </w:rPr>
      </w:pPr>
      <w:r>
        <w:rPr/>
        <w:t>Appendix C:  Definition of Production/Yield Model Weather Terms</w:t>
      </w:r>
    </w:p>
    <w:p>
      <w:pPr>
        <w:pStyle w:val="Normal"/>
        <w:rPr>
          <w:color w:val="FF0000"/>
        </w:rPr>
      </w:pPr>
      <w:r>
        <w:rPr>
          <w:color w:val="FF0000"/>
        </w:rPr>
      </w:r>
    </w:p>
    <w:p>
      <w:pPr>
        <w:pStyle w:val="Normal"/>
        <w:rPr>
          <w:color w:val="FF0000"/>
        </w:rPr>
      </w:pPr>
      <w:r>
        <w:rPr>
          <w:color w:val="FF0000"/>
        </w:rPr>
      </w:r>
    </w:p>
    <w:tbl>
      <w:tblPr>
        <w:tblW w:w="8658" w:type="dxa"/>
        <w:jc w:val="start"/>
        <w:tblInd w:w="0" w:type="dxa"/>
        <w:tblLayout w:type="fixed"/>
        <w:tblCellMar>
          <w:top w:w="0" w:type="dxa"/>
          <w:start w:w="108" w:type="dxa"/>
          <w:bottom w:w="0" w:type="dxa"/>
          <w:end w:w="108" w:type="dxa"/>
        </w:tblCellMar>
      </w:tblPr>
      <w:tblGrid>
        <w:gridCol w:w="2178"/>
        <w:gridCol w:w="6480"/>
      </w:tblGrid>
      <w:tr>
        <w:trPr/>
        <w:tc>
          <w:tcPr>
            <w:tcW w:w="2178" w:type="dxa"/>
            <w:tcBorders>
              <w:top w:val="single" w:sz="12" w:space="0" w:color="808080"/>
              <w:bottom w:val="single" w:sz="6" w:space="0" w:color="808080"/>
            </w:tcBorders>
          </w:tcPr>
          <w:p>
            <w:pPr>
              <w:pStyle w:val="Normal"/>
              <w:jc w:val="center"/>
              <w:rPr>
                <w:b/>
                <w:sz w:val="24"/>
              </w:rPr>
            </w:pPr>
            <w:r>
              <w:rPr>
                <w:b/>
                <w:sz w:val="24"/>
              </w:rPr>
              <w:t>Weather Variable</w:t>
            </w:r>
          </w:p>
        </w:tc>
        <w:tc>
          <w:tcPr>
            <w:tcW w:w="6480" w:type="dxa"/>
            <w:tcBorders>
              <w:top w:val="single" w:sz="12" w:space="0" w:color="808080"/>
              <w:bottom w:val="single" w:sz="6" w:space="0" w:color="808080"/>
            </w:tcBorders>
          </w:tcPr>
          <w:p>
            <w:pPr>
              <w:pStyle w:val="Heading6"/>
              <w:ind w:hanging="0" w:start="0"/>
              <w:jc w:val="center"/>
              <w:rPr>
                <w:caps w:val="false"/>
                <w:smallCaps w:val="false"/>
              </w:rPr>
            </w:pPr>
            <w:r>
              <w:rPr>
                <w:caps w:val="false"/>
                <w:smallCaps w:val="false"/>
              </w:rPr>
              <w:t>Definition</w:t>
            </w:r>
          </w:p>
        </w:tc>
      </w:tr>
      <w:tr>
        <w:trPr>
          <w:trHeight w:val="390" w:hRule="atLeast"/>
        </w:trPr>
        <w:tc>
          <w:tcPr>
            <w:tcW w:w="2178" w:type="dxa"/>
            <w:tcBorders/>
          </w:tcPr>
          <w:p>
            <w:pPr>
              <w:pStyle w:val="Normal"/>
              <w:rPr>
                <w:sz w:val="24"/>
              </w:rPr>
            </w:pPr>
            <w:r>
              <w:rPr>
                <w:sz w:val="24"/>
              </w:rPr>
              <w:t>TempA</w:t>
            </w:r>
          </w:p>
        </w:tc>
        <w:tc>
          <w:tcPr>
            <w:tcW w:w="6480" w:type="dxa"/>
            <w:tcBorders/>
          </w:tcPr>
          <w:p>
            <w:pPr>
              <w:pStyle w:val="Normal"/>
              <w:rPr>
                <w:sz w:val="24"/>
              </w:rPr>
            </w:pPr>
            <w:r>
              <w:rPr>
                <w:sz w:val="24"/>
              </w:rPr>
              <w:t>1 if Temp&gt;95 for 3 consecutive days in a month, 0 otherwise</w:t>
            </w:r>
          </w:p>
        </w:tc>
      </w:tr>
      <w:tr>
        <w:trPr>
          <w:trHeight w:val="450" w:hRule="atLeast"/>
        </w:trPr>
        <w:tc>
          <w:tcPr>
            <w:tcW w:w="2178" w:type="dxa"/>
            <w:tcBorders/>
          </w:tcPr>
          <w:p>
            <w:pPr>
              <w:pStyle w:val="Normal"/>
              <w:rPr>
                <w:sz w:val="24"/>
              </w:rPr>
            </w:pPr>
            <w:r>
              <w:rPr>
                <w:sz w:val="24"/>
              </w:rPr>
              <w:t>TempB</w:t>
            </w:r>
          </w:p>
        </w:tc>
        <w:tc>
          <w:tcPr>
            <w:tcW w:w="6480" w:type="dxa"/>
            <w:tcBorders/>
          </w:tcPr>
          <w:p>
            <w:pPr>
              <w:pStyle w:val="Normal"/>
              <w:rPr>
                <w:sz w:val="24"/>
              </w:rPr>
            </w:pPr>
            <w:r>
              <w:rPr>
                <w:sz w:val="24"/>
              </w:rPr>
              <w:t>1 if Temp&gt;95 for 4 consecutive days in a month, 0 otherwise</w:t>
            </w:r>
          </w:p>
        </w:tc>
      </w:tr>
      <w:tr>
        <w:trPr>
          <w:trHeight w:val="450" w:hRule="atLeast"/>
        </w:trPr>
        <w:tc>
          <w:tcPr>
            <w:tcW w:w="2178" w:type="dxa"/>
            <w:tcBorders/>
          </w:tcPr>
          <w:p>
            <w:pPr>
              <w:pStyle w:val="Normal"/>
              <w:rPr>
                <w:sz w:val="24"/>
              </w:rPr>
            </w:pPr>
            <w:r>
              <w:rPr>
                <w:sz w:val="24"/>
              </w:rPr>
              <w:t>TempC</w:t>
            </w:r>
          </w:p>
        </w:tc>
        <w:tc>
          <w:tcPr>
            <w:tcW w:w="6480" w:type="dxa"/>
            <w:tcBorders/>
          </w:tcPr>
          <w:p>
            <w:pPr>
              <w:pStyle w:val="Normal"/>
              <w:rPr>
                <w:sz w:val="24"/>
              </w:rPr>
            </w:pPr>
            <w:r>
              <w:rPr>
                <w:sz w:val="24"/>
              </w:rPr>
              <w:t>1 if Temp&gt;95 for 5 consecutive days in a month, 0 otherwise</w:t>
            </w:r>
          </w:p>
        </w:tc>
      </w:tr>
      <w:tr>
        <w:trPr>
          <w:trHeight w:val="450" w:hRule="atLeast"/>
        </w:trPr>
        <w:tc>
          <w:tcPr>
            <w:tcW w:w="2178" w:type="dxa"/>
            <w:tcBorders/>
          </w:tcPr>
          <w:p>
            <w:pPr>
              <w:pStyle w:val="Normal"/>
              <w:rPr>
                <w:sz w:val="24"/>
              </w:rPr>
            </w:pPr>
            <w:r>
              <w:rPr>
                <w:sz w:val="24"/>
              </w:rPr>
              <w:t>PDIA</w:t>
            </w:r>
          </w:p>
        </w:tc>
        <w:tc>
          <w:tcPr>
            <w:tcW w:w="6480" w:type="dxa"/>
            <w:tcBorders/>
          </w:tcPr>
          <w:p>
            <w:pPr>
              <w:pStyle w:val="Normal"/>
              <w:rPr>
                <w:sz w:val="24"/>
              </w:rPr>
            </w:pPr>
            <w:r>
              <w:rPr>
                <w:sz w:val="24"/>
              </w:rPr>
              <w:t>Exponential decay of Palmer Index = exp(1.5*(-2.2 - PDI))</w:t>
            </w:r>
          </w:p>
        </w:tc>
      </w:tr>
      <w:tr>
        <w:trPr>
          <w:trHeight w:val="450" w:hRule="atLeast"/>
        </w:trPr>
        <w:tc>
          <w:tcPr>
            <w:tcW w:w="2178" w:type="dxa"/>
            <w:tcBorders/>
          </w:tcPr>
          <w:p>
            <w:pPr>
              <w:pStyle w:val="Normal"/>
              <w:rPr>
                <w:sz w:val="24"/>
              </w:rPr>
            </w:pPr>
            <w:r>
              <w:rPr>
                <w:sz w:val="24"/>
              </w:rPr>
              <w:t>PDIB</w:t>
            </w:r>
          </w:p>
        </w:tc>
        <w:tc>
          <w:tcPr>
            <w:tcW w:w="6480" w:type="dxa"/>
            <w:tcBorders/>
          </w:tcPr>
          <w:p>
            <w:pPr>
              <w:pStyle w:val="Normal"/>
              <w:rPr>
                <w:sz w:val="24"/>
              </w:rPr>
            </w:pPr>
            <w:r>
              <w:rPr>
                <w:sz w:val="24"/>
              </w:rPr>
              <w:t>Exponential decay of Palmer Index = exp(2*(-2.2 - PDI))</w:t>
            </w:r>
          </w:p>
        </w:tc>
      </w:tr>
      <w:tr>
        <w:trPr>
          <w:trHeight w:val="450" w:hRule="atLeast"/>
        </w:trPr>
        <w:tc>
          <w:tcPr>
            <w:tcW w:w="2178" w:type="dxa"/>
            <w:tcBorders/>
          </w:tcPr>
          <w:p>
            <w:pPr>
              <w:pStyle w:val="Normal"/>
              <w:rPr>
                <w:sz w:val="24"/>
              </w:rPr>
            </w:pPr>
            <w:r>
              <w:rPr>
                <w:sz w:val="24"/>
              </w:rPr>
              <w:t>PDIC</w:t>
            </w:r>
          </w:p>
        </w:tc>
        <w:tc>
          <w:tcPr>
            <w:tcW w:w="6480" w:type="dxa"/>
            <w:tcBorders/>
          </w:tcPr>
          <w:p>
            <w:pPr>
              <w:pStyle w:val="Normal"/>
              <w:rPr>
                <w:sz w:val="24"/>
              </w:rPr>
            </w:pPr>
            <w:r>
              <w:rPr>
                <w:sz w:val="24"/>
              </w:rPr>
              <w:t>Exponential decay of Palmer Index = exp(3*(-2.2 - PDI))</w:t>
            </w:r>
          </w:p>
        </w:tc>
      </w:tr>
      <w:tr>
        <w:trPr>
          <w:trHeight w:val="450" w:hRule="atLeast"/>
        </w:trPr>
        <w:tc>
          <w:tcPr>
            <w:tcW w:w="2178" w:type="dxa"/>
            <w:tcBorders/>
          </w:tcPr>
          <w:p>
            <w:pPr>
              <w:pStyle w:val="Normal"/>
              <w:rPr>
                <w:sz w:val="24"/>
              </w:rPr>
            </w:pPr>
            <w:r>
              <w:rPr>
                <w:sz w:val="24"/>
              </w:rPr>
              <w:t>PDID</w:t>
            </w:r>
          </w:p>
        </w:tc>
        <w:tc>
          <w:tcPr>
            <w:tcW w:w="6480" w:type="dxa"/>
            <w:tcBorders/>
          </w:tcPr>
          <w:p>
            <w:pPr>
              <w:pStyle w:val="Normal"/>
              <w:rPr>
                <w:sz w:val="24"/>
              </w:rPr>
            </w:pPr>
            <w:r>
              <w:rPr>
                <w:sz w:val="24"/>
              </w:rPr>
              <w:t>Exponential decay of Palmer Index = exp(4*(-2.2 - PDI))</w:t>
            </w:r>
          </w:p>
        </w:tc>
      </w:tr>
      <w:tr>
        <w:trPr>
          <w:trHeight w:val="450" w:hRule="atLeast"/>
        </w:trPr>
        <w:tc>
          <w:tcPr>
            <w:tcW w:w="2178" w:type="dxa"/>
            <w:tcBorders/>
          </w:tcPr>
          <w:p>
            <w:pPr>
              <w:pStyle w:val="Normal"/>
              <w:rPr>
                <w:sz w:val="24"/>
              </w:rPr>
            </w:pPr>
            <w:r>
              <w:rPr>
                <w:sz w:val="24"/>
              </w:rPr>
              <w:t>PDIE</w:t>
            </w:r>
          </w:p>
        </w:tc>
        <w:tc>
          <w:tcPr>
            <w:tcW w:w="6480" w:type="dxa"/>
            <w:tcBorders/>
          </w:tcPr>
          <w:p>
            <w:pPr>
              <w:pStyle w:val="Normal"/>
              <w:rPr>
                <w:sz w:val="24"/>
              </w:rPr>
            </w:pPr>
            <w:r>
              <w:rPr>
                <w:sz w:val="24"/>
              </w:rPr>
              <w:t>Exponential decay of Palmer Index = exp(7*(-2.2 - PDI))</w:t>
            </w:r>
          </w:p>
        </w:tc>
      </w:tr>
      <w:tr>
        <w:trPr>
          <w:trHeight w:val="450" w:hRule="atLeast"/>
        </w:trPr>
        <w:tc>
          <w:tcPr>
            <w:tcW w:w="2178" w:type="dxa"/>
            <w:tcBorders/>
          </w:tcPr>
          <w:p>
            <w:pPr>
              <w:pStyle w:val="Normal"/>
              <w:rPr>
                <w:sz w:val="24"/>
              </w:rPr>
            </w:pPr>
            <w:r>
              <w:rPr>
                <w:sz w:val="24"/>
              </w:rPr>
              <w:t>PrecA</w:t>
            </w:r>
          </w:p>
        </w:tc>
        <w:tc>
          <w:tcPr>
            <w:tcW w:w="6480" w:type="dxa"/>
            <w:tcBorders/>
          </w:tcPr>
          <w:p>
            <w:pPr>
              <w:pStyle w:val="Normal"/>
              <w:rPr>
                <w:sz w:val="24"/>
              </w:rPr>
            </w:pPr>
            <w:r>
              <w:rPr>
                <w:sz w:val="24"/>
              </w:rPr>
              <w:t>1 if precipitation is less than 1.5”/ month, 0 otherwise</w:t>
            </w:r>
          </w:p>
        </w:tc>
      </w:tr>
      <w:tr>
        <w:trPr>
          <w:trHeight w:val="450" w:hRule="atLeast"/>
        </w:trPr>
        <w:tc>
          <w:tcPr>
            <w:tcW w:w="2178" w:type="dxa"/>
            <w:tcBorders/>
          </w:tcPr>
          <w:p>
            <w:pPr>
              <w:pStyle w:val="Normal"/>
              <w:rPr>
                <w:sz w:val="24"/>
              </w:rPr>
            </w:pPr>
            <w:r>
              <w:rPr>
                <w:sz w:val="24"/>
              </w:rPr>
              <w:t>PrecB</w:t>
            </w:r>
          </w:p>
        </w:tc>
        <w:tc>
          <w:tcPr>
            <w:tcW w:w="6480" w:type="dxa"/>
            <w:tcBorders/>
          </w:tcPr>
          <w:p>
            <w:pPr>
              <w:pStyle w:val="Normal"/>
              <w:rPr>
                <w:sz w:val="24"/>
              </w:rPr>
            </w:pPr>
            <w:r>
              <w:rPr>
                <w:sz w:val="24"/>
              </w:rPr>
              <w:t>1 if precipitation is less than 2.5”/ month, 0 otherwise</w:t>
            </w:r>
          </w:p>
        </w:tc>
      </w:tr>
      <w:tr>
        <w:trPr>
          <w:trHeight w:val="450" w:hRule="atLeast"/>
        </w:trPr>
        <w:tc>
          <w:tcPr>
            <w:tcW w:w="2178" w:type="dxa"/>
            <w:tcBorders/>
          </w:tcPr>
          <w:p>
            <w:pPr>
              <w:pStyle w:val="Normal"/>
              <w:rPr>
                <w:sz w:val="24"/>
              </w:rPr>
            </w:pPr>
            <w:r>
              <w:rPr>
                <w:sz w:val="24"/>
              </w:rPr>
              <w:t>Norain</w:t>
            </w:r>
          </w:p>
        </w:tc>
        <w:tc>
          <w:tcPr>
            <w:tcW w:w="6480" w:type="dxa"/>
            <w:tcBorders/>
          </w:tcPr>
          <w:p>
            <w:pPr>
              <w:pStyle w:val="Normal"/>
              <w:rPr>
                <w:sz w:val="24"/>
              </w:rPr>
            </w:pPr>
            <w:r>
              <w:rPr>
                <w:sz w:val="24"/>
              </w:rPr>
              <w:t>Number of days with no rain in a month</w:t>
            </w:r>
          </w:p>
        </w:tc>
      </w:tr>
      <w:tr>
        <w:trPr>
          <w:trHeight w:val="450" w:hRule="atLeast"/>
        </w:trPr>
        <w:tc>
          <w:tcPr>
            <w:tcW w:w="2178" w:type="dxa"/>
            <w:tcBorders/>
          </w:tcPr>
          <w:p>
            <w:pPr>
              <w:pStyle w:val="Normal"/>
              <w:rPr>
                <w:sz w:val="24"/>
              </w:rPr>
            </w:pPr>
            <w:r>
              <w:rPr>
                <w:sz w:val="24"/>
              </w:rPr>
              <w:t>Cdd65</w:t>
            </w:r>
          </w:p>
        </w:tc>
        <w:tc>
          <w:tcPr>
            <w:tcW w:w="6480" w:type="dxa"/>
            <w:tcBorders/>
          </w:tcPr>
          <w:p>
            <w:pPr>
              <w:pStyle w:val="Normal"/>
              <w:rPr/>
            </w:pPr>
            <w:r>
              <w:rPr>
                <w:sz w:val="24"/>
              </w:rPr>
              <w:t xml:space="preserve">Cooling degree days &gt; 65 = </w:t>
            </w:r>
            <w:r>
              <w:rPr>
                <w:rFonts w:eastAsia="Symbol" w:cs="Symbol" w:ascii="Symbol" w:hAnsi="Symbol"/>
                <w:sz w:val="24"/>
              </w:rPr>
              <w:sym w:font="Symbol" w:char="f053"/>
            </w:r>
            <w:r>
              <w:rPr>
                <w:sz w:val="24"/>
              </w:rPr>
              <w:t>(temp-65)</w:t>
            </w:r>
          </w:p>
        </w:tc>
      </w:tr>
      <w:tr>
        <w:trPr>
          <w:trHeight w:val="540" w:hRule="atLeast"/>
        </w:trPr>
        <w:tc>
          <w:tcPr>
            <w:tcW w:w="2178" w:type="dxa"/>
            <w:tcBorders>
              <w:bottom w:val="single" w:sz="12" w:space="0" w:color="808080"/>
            </w:tcBorders>
          </w:tcPr>
          <w:p>
            <w:pPr>
              <w:pStyle w:val="Normal"/>
              <w:rPr>
                <w:sz w:val="24"/>
              </w:rPr>
            </w:pPr>
            <w:r>
              <w:rPr>
                <w:sz w:val="24"/>
              </w:rPr>
              <w:t>Cdd75</w:t>
            </w:r>
          </w:p>
        </w:tc>
        <w:tc>
          <w:tcPr>
            <w:tcW w:w="6480" w:type="dxa"/>
            <w:tcBorders>
              <w:bottom w:val="single" w:sz="12" w:space="0" w:color="808080"/>
            </w:tcBorders>
          </w:tcPr>
          <w:p>
            <w:pPr>
              <w:pStyle w:val="Normal"/>
              <w:rPr/>
            </w:pPr>
            <w:r>
              <w:rPr>
                <w:sz w:val="24"/>
              </w:rPr>
              <w:t xml:space="preserve">Cooling degree days &gt; 75 = </w:t>
            </w:r>
            <w:r>
              <w:rPr>
                <w:rFonts w:eastAsia="Symbol" w:cs="Symbol" w:ascii="Symbol" w:hAnsi="Symbol"/>
                <w:sz w:val="24"/>
              </w:rPr>
              <w:sym w:font="Symbol" w:char="f053"/>
            </w:r>
            <w:r>
              <w:rPr>
                <w:sz w:val="24"/>
              </w:rPr>
              <w:t>(temp-75)</w:t>
            </w:r>
          </w:p>
        </w:tc>
      </w:tr>
    </w:tbl>
    <w:p>
      <w:pPr>
        <w:pStyle w:val="Normal"/>
        <w:rPr>
          <w:color w:val="FF0000"/>
        </w:rPr>
      </w:pPr>
      <w:r>
        <w:rPr>
          <w:color w:val="FF0000"/>
        </w:rPr>
      </w:r>
    </w:p>
    <w:p>
      <w:pPr>
        <w:pStyle w:val="Normal"/>
        <w:rPr>
          <w:b/>
          <w:smallCaps/>
          <w:color w:val="FF0000"/>
          <w:sz w:val="22"/>
        </w:rPr>
      </w:pPr>
      <w:r>
        <w:rPr>
          <w:b/>
          <w:smallCaps/>
          <w:color w:val="FF0000"/>
          <w:sz w:val="22"/>
        </w:rPr>
      </w:r>
    </w:p>
    <w:p>
      <w:pPr>
        <w:pStyle w:val="Heading6"/>
        <w:ind w:hanging="0" w:start="0"/>
        <w:rPr>
          <w:b w:val="false"/>
          <w:caps w:val="false"/>
          <w:smallCaps w:val="false"/>
          <w:sz w:val="22"/>
        </w:rPr>
      </w:pPr>
      <w:r>
        <w:rPr>
          <w:b w:val="false"/>
          <w:caps w:val="false"/>
          <w:smallCaps w:val="false"/>
          <w:sz w:val="22"/>
        </w:rPr>
      </w:r>
    </w:p>
    <w:p>
      <w:pPr>
        <w:pStyle w:val="Heading6"/>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6"/>
        <w:ind w:hanging="0" w:start="0"/>
        <w:rPr/>
      </w:pPr>
      <w:r>
        <w:rPr/>
        <w:t>Appendix D: Summary of Convenience Yield Data for Forward Curve Models</w:t>
      </w:r>
    </w:p>
    <w:p>
      <w:pPr>
        <w:pStyle w:val="Normal"/>
        <w:rPr/>
      </w:pPr>
      <w:r>
        <w:rPr/>
      </w:r>
    </w:p>
    <w:p>
      <w:pPr>
        <w:pStyle w:val="Normal"/>
        <w:rPr>
          <w:b/>
          <w:sz w:val="22"/>
        </w:rPr>
      </w:pPr>
      <w:r>
        <w:rPr>
          <w:b/>
          <w:sz w:val="22"/>
        </w:rPr>
        <w:t xml:space="preserve">Forward curve generation </w:t>
      </w:r>
    </w:p>
    <w:p>
      <w:pPr>
        <w:pStyle w:val="Heading3"/>
        <w:ind w:hanging="0" w:start="0"/>
        <w:rPr/>
      </w:pPr>
      <w:r>
        <w:rPr/>
        <w:t xml:space="preserve">Average convenience yield data </w:t>
      </w:r>
    </w:p>
    <w:p>
      <w:pPr>
        <w:pStyle w:val="Normal"/>
        <w:rPr>
          <w:b/>
          <w:sz w:val="22"/>
        </w:rPr>
      </w:pPr>
      <w:r>
        <w:rPr>
          <w:b/>
          <w:sz w:val="22"/>
        </w:rPr>
      </w:r>
    </w:p>
    <w:tbl>
      <w:tblPr>
        <w:tblW w:w="8748" w:type="dxa"/>
        <w:jc w:val="start"/>
        <w:tblInd w:w="0" w:type="dxa"/>
        <w:tblLayout w:type="fixed"/>
        <w:tblCellMar>
          <w:top w:w="0" w:type="dxa"/>
          <w:start w:w="108" w:type="dxa"/>
          <w:bottom w:w="0" w:type="dxa"/>
          <w:end w:w="108" w:type="dxa"/>
        </w:tblCellMar>
      </w:tblPr>
      <w:tblGrid>
        <w:gridCol w:w="1458"/>
        <w:gridCol w:w="1823"/>
        <w:gridCol w:w="1417"/>
        <w:gridCol w:w="1350"/>
        <w:gridCol w:w="1350"/>
        <w:gridCol w:w="1350"/>
      </w:tblGrid>
      <w:tr>
        <w:trPr/>
        <w:tc>
          <w:tcPr>
            <w:tcW w:w="1458" w:type="dxa"/>
            <w:tcBorders>
              <w:top w:val="single" w:sz="12" w:space="0" w:color="808080"/>
              <w:bottom w:val="single" w:sz="6" w:space="0" w:color="808080"/>
            </w:tcBorders>
          </w:tcPr>
          <w:p>
            <w:pPr>
              <w:pStyle w:val="Normal"/>
              <w:rPr>
                <w:b/>
                <w:sz w:val="24"/>
              </w:rPr>
            </w:pPr>
            <w:r>
              <w:rPr>
                <w:b/>
                <w:sz w:val="24"/>
              </w:rPr>
              <w:t>Commodity</w:t>
            </w:r>
          </w:p>
        </w:tc>
        <w:tc>
          <w:tcPr>
            <w:tcW w:w="1823" w:type="dxa"/>
            <w:tcBorders>
              <w:top w:val="single" w:sz="12" w:space="0" w:color="808080"/>
              <w:bottom w:val="single" w:sz="6" w:space="0" w:color="808080"/>
            </w:tcBorders>
          </w:tcPr>
          <w:p>
            <w:pPr>
              <w:pStyle w:val="Normal"/>
              <w:snapToGrid w:val="false"/>
              <w:rPr>
                <w:b/>
                <w:sz w:val="24"/>
              </w:rPr>
            </w:pPr>
            <w:r>
              <w:rPr>
                <w:b/>
                <w:sz w:val="24"/>
              </w:rPr>
            </w:r>
          </w:p>
        </w:tc>
        <w:tc>
          <w:tcPr>
            <w:tcW w:w="1417" w:type="dxa"/>
            <w:tcBorders>
              <w:top w:val="single" w:sz="12" w:space="0" w:color="808080"/>
              <w:bottom w:val="single" w:sz="6" w:space="0" w:color="808080"/>
            </w:tcBorders>
          </w:tcPr>
          <w:p>
            <w:pPr>
              <w:pStyle w:val="Normal"/>
              <w:rPr>
                <w:b/>
                <w:sz w:val="24"/>
              </w:rPr>
            </w:pPr>
            <w:r>
              <w:rPr>
                <w:b/>
                <w:sz w:val="24"/>
              </w:rPr>
              <w:t>Contract 2</w:t>
            </w:r>
          </w:p>
        </w:tc>
        <w:tc>
          <w:tcPr>
            <w:tcW w:w="1350" w:type="dxa"/>
            <w:tcBorders>
              <w:top w:val="single" w:sz="12" w:space="0" w:color="808080"/>
              <w:bottom w:val="single" w:sz="6" w:space="0" w:color="808080"/>
            </w:tcBorders>
          </w:tcPr>
          <w:p>
            <w:pPr>
              <w:pStyle w:val="Normal"/>
              <w:rPr>
                <w:b/>
                <w:sz w:val="24"/>
              </w:rPr>
            </w:pPr>
            <w:r>
              <w:rPr>
                <w:b/>
                <w:sz w:val="24"/>
              </w:rPr>
              <w:t>Contract 3</w:t>
            </w:r>
          </w:p>
        </w:tc>
        <w:tc>
          <w:tcPr>
            <w:tcW w:w="1350" w:type="dxa"/>
            <w:tcBorders>
              <w:top w:val="single" w:sz="12" w:space="0" w:color="808080"/>
              <w:bottom w:val="single" w:sz="6" w:space="0" w:color="808080"/>
            </w:tcBorders>
          </w:tcPr>
          <w:p>
            <w:pPr>
              <w:pStyle w:val="Normal"/>
              <w:rPr>
                <w:b/>
                <w:sz w:val="24"/>
              </w:rPr>
            </w:pPr>
            <w:r>
              <w:rPr>
                <w:b/>
                <w:sz w:val="24"/>
              </w:rPr>
              <w:t>Contract 4</w:t>
            </w:r>
          </w:p>
        </w:tc>
        <w:tc>
          <w:tcPr>
            <w:tcW w:w="1350" w:type="dxa"/>
            <w:tcBorders>
              <w:top w:val="single" w:sz="12" w:space="0" w:color="808080"/>
              <w:bottom w:val="single" w:sz="6" w:space="0" w:color="808080"/>
            </w:tcBorders>
          </w:tcPr>
          <w:p>
            <w:pPr>
              <w:pStyle w:val="Normal"/>
              <w:rPr>
                <w:b/>
                <w:sz w:val="24"/>
              </w:rPr>
            </w:pPr>
            <w:r>
              <w:rPr>
                <w:b/>
                <w:sz w:val="24"/>
              </w:rPr>
              <w:t>Contract 5</w:t>
            </w:r>
          </w:p>
        </w:tc>
      </w:tr>
      <w:tr>
        <w:trPr/>
        <w:tc>
          <w:tcPr>
            <w:tcW w:w="1458" w:type="dxa"/>
            <w:tcBorders/>
          </w:tcPr>
          <w:p>
            <w:pPr>
              <w:pStyle w:val="Heading4"/>
              <w:ind w:hanging="0" w:start="0"/>
              <w:rPr>
                <w:b w:val="false"/>
                <w:caps w:val="false"/>
                <w:smallCaps w:val="false"/>
                <w:sz w:val="24"/>
              </w:rPr>
            </w:pPr>
            <w:r>
              <w:rPr>
                <w:b w:val="false"/>
                <w:caps w:val="false"/>
                <w:smallCaps w:val="false"/>
                <w:sz w:val="24"/>
              </w:rPr>
              <w:t>Wheat</w:t>
            </w:r>
          </w:p>
        </w:tc>
        <w:tc>
          <w:tcPr>
            <w:tcW w:w="1823" w:type="dxa"/>
            <w:tcBorders/>
          </w:tcPr>
          <w:p>
            <w:pPr>
              <w:pStyle w:val="Normal"/>
              <w:rPr>
                <w:sz w:val="24"/>
              </w:rPr>
            </w:pPr>
            <w:r>
              <w:rPr>
                <w:sz w:val="24"/>
              </w:rPr>
              <w:t xml:space="preserve">Average </w:t>
            </w:r>
          </w:p>
        </w:tc>
        <w:tc>
          <w:tcPr>
            <w:tcW w:w="1417"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6.22%</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6.30%</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6.97%</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7.75%</w:t>
            </w:r>
          </w:p>
        </w:tc>
      </w:tr>
      <w:tr>
        <w:trPr>
          <w:trHeight w:val="765" w:hRule="atLeast"/>
        </w:trPr>
        <w:tc>
          <w:tcPr>
            <w:tcW w:w="1458" w:type="dxa"/>
            <w:tcBorders/>
          </w:tcPr>
          <w:p>
            <w:pPr>
              <w:pStyle w:val="Normal"/>
              <w:snapToGrid w:val="false"/>
              <w:rPr>
                <w:rFonts w:ascii="Arial Narrow" w:hAnsi="Arial Narrow" w:cs="Arial Narrow"/>
                <w:sz w:val="24"/>
                <w:lang w:eastAsia="en-US"/>
              </w:rPr>
            </w:pPr>
            <w:r>
              <w:rPr>
                <w:rFonts w:cs="Arial Narrow" w:ascii="Arial Narrow" w:hAnsi="Arial Narrow"/>
                <w:sz w:val="24"/>
                <w:lang w:eastAsia="en-US"/>
              </w:rPr>
            </w:r>
          </w:p>
        </w:tc>
        <w:tc>
          <w:tcPr>
            <w:tcW w:w="1823" w:type="dxa"/>
            <w:tcBorders/>
          </w:tcPr>
          <w:p>
            <w:pPr>
              <w:pStyle w:val="Normal"/>
              <w:rPr>
                <w:sz w:val="24"/>
              </w:rPr>
            </w:pPr>
            <w:r>
              <w:rPr>
                <w:sz w:val="24"/>
              </w:rPr>
              <w:t>Rel Std Deviation</w:t>
            </w:r>
          </w:p>
        </w:tc>
        <w:tc>
          <w:tcPr>
            <w:tcW w:w="1417"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47.30%</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32.97%</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27.42%</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23.94%</w:t>
            </w:r>
          </w:p>
        </w:tc>
      </w:tr>
      <w:tr>
        <w:trPr/>
        <w:tc>
          <w:tcPr>
            <w:tcW w:w="1458" w:type="dxa"/>
            <w:tcBorders/>
          </w:tcPr>
          <w:p>
            <w:pPr>
              <w:pStyle w:val="Heading4"/>
              <w:ind w:hanging="0" w:start="0"/>
              <w:rPr>
                <w:b w:val="false"/>
                <w:caps w:val="false"/>
                <w:smallCaps w:val="false"/>
                <w:sz w:val="24"/>
              </w:rPr>
            </w:pPr>
            <w:r>
              <w:rPr>
                <w:b w:val="false"/>
                <w:caps w:val="false"/>
                <w:smallCaps w:val="false"/>
                <w:sz w:val="24"/>
              </w:rPr>
              <w:t>Corn</w:t>
            </w:r>
          </w:p>
        </w:tc>
        <w:tc>
          <w:tcPr>
            <w:tcW w:w="1823" w:type="dxa"/>
            <w:tcBorders/>
          </w:tcPr>
          <w:p>
            <w:pPr>
              <w:pStyle w:val="Normal"/>
              <w:rPr>
                <w:sz w:val="24"/>
              </w:rPr>
            </w:pPr>
            <w:r>
              <w:rPr>
                <w:sz w:val="24"/>
              </w:rPr>
              <w:t>Average</w:t>
            </w:r>
          </w:p>
        </w:tc>
        <w:tc>
          <w:tcPr>
            <w:tcW w:w="1417"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12.22%</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12.30%</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12.87%</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13.26%</w:t>
            </w:r>
          </w:p>
        </w:tc>
      </w:tr>
      <w:tr>
        <w:trPr/>
        <w:tc>
          <w:tcPr>
            <w:tcW w:w="1458" w:type="dxa"/>
            <w:tcBorders>
              <w:bottom w:val="single" w:sz="12" w:space="0" w:color="808080"/>
            </w:tcBorders>
          </w:tcPr>
          <w:p>
            <w:pPr>
              <w:pStyle w:val="Normal"/>
              <w:snapToGrid w:val="false"/>
              <w:rPr>
                <w:rFonts w:ascii="Arial Narrow" w:hAnsi="Arial Narrow" w:cs="Arial Narrow"/>
                <w:sz w:val="24"/>
                <w:lang w:eastAsia="en-US"/>
              </w:rPr>
            </w:pPr>
            <w:r>
              <w:rPr>
                <w:rFonts w:cs="Arial Narrow" w:ascii="Arial Narrow" w:hAnsi="Arial Narrow"/>
                <w:sz w:val="24"/>
                <w:lang w:eastAsia="en-US"/>
              </w:rPr>
            </w:r>
          </w:p>
        </w:tc>
        <w:tc>
          <w:tcPr>
            <w:tcW w:w="1823" w:type="dxa"/>
            <w:tcBorders>
              <w:bottom w:val="single" w:sz="12" w:space="0" w:color="808080"/>
            </w:tcBorders>
          </w:tcPr>
          <w:p>
            <w:pPr>
              <w:pStyle w:val="Normal"/>
              <w:rPr>
                <w:sz w:val="24"/>
              </w:rPr>
            </w:pPr>
            <w:r>
              <w:rPr>
                <w:sz w:val="24"/>
              </w:rPr>
              <w:t>Rel Std Deviation</w:t>
            </w:r>
          </w:p>
        </w:tc>
        <w:tc>
          <w:tcPr>
            <w:tcW w:w="1417"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33.53%</w:t>
            </w:r>
          </w:p>
        </w:tc>
        <w:tc>
          <w:tcPr>
            <w:tcW w:w="1350"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25.44%</w:t>
            </w:r>
          </w:p>
        </w:tc>
        <w:tc>
          <w:tcPr>
            <w:tcW w:w="1350"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19.10%</w:t>
            </w:r>
          </w:p>
        </w:tc>
        <w:tc>
          <w:tcPr>
            <w:tcW w:w="1350"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17.25%</w:t>
            </w:r>
          </w:p>
        </w:tc>
      </w:tr>
    </w:tbl>
    <w:p>
      <w:pPr>
        <w:pStyle w:val="Normal"/>
        <w:rPr>
          <w:b/>
          <w:sz w:val="24"/>
        </w:rPr>
      </w:pPr>
      <w:r>
        <w:rPr>
          <w:b/>
          <w:sz w:val="24"/>
        </w:rPr>
      </w:r>
    </w:p>
    <w:p>
      <w:pPr>
        <w:pStyle w:val="Normal"/>
        <w:rPr>
          <w:b/>
          <w:sz w:val="24"/>
        </w:rPr>
      </w:pPr>
      <w:r>
        <w:rPr>
          <w:b/>
          <w:sz w:val="24"/>
        </w:rPr>
      </w:r>
    </w:p>
    <w:p>
      <w:pPr>
        <w:pStyle w:val="Normal"/>
        <w:rPr/>
      </w:pPr>
      <w:r>
        <w:rPr/>
      </w:r>
    </w:p>
    <w:p>
      <w:pPr>
        <w:pStyle w:val="Normal"/>
        <w:rPr/>
      </w:pPr>
      <w:r>
        <w:rPr/>
      </w:r>
    </w:p>
    <w:p>
      <w:pPr>
        <w:pStyle w:val="Normal"/>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13"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Interim Grains Report 12/00</w:t>
    </w:r>
  </w:p>
  <w:p>
    <w:pPr>
      <w:pStyle w:val="Header"/>
      <w:jc w:val="end"/>
      <w:rPr/>
    </w:pPr>
    <w:r>
      <w:rPr/>
      <w:t>Enron Research</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4"/>
      </w:numPr>
      <w:outlineLvl w:val="0"/>
    </w:pPr>
    <w:rPr>
      <w:b/>
      <w:sz w:val="24"/>
    </w:rPr>
  </w:style>
  <w:style w:type="paragraph" w:styleId="Heading2">
    <w:name w:val="heading 2"/>
    <w:basedOn w:val="Normal"/>
    <w:next w:val="Normal"/>
    <w:qFormat/>
    <w:pPr>
      <w:keepNext w:val="true"/>
      <w:numPr>
        <w:ilvl w:val="1"/>
        <w:numId w:val="1"/>
      </w:numPr>
      <w:outlineLvl w:val="1"/>
    </w:pPr>
    <w:rPr>
      <w:b/>
      <w:sz w:val="21"/>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mallCaps/>
      <w:sz w:val="22"/>
    </w:rPr>
  </w:style>
  <w:style w:type="paragraph" w:styleId="Heading5">
    <w:name w:val="heading 5"/>
    <w:basedOn w:val="Normal"/>
    <w:next w:val="Normal"/>
    <w:qFormat/>
    <w:pPr>
      <w:keepNext w:val="true"/>
      <w:numPr>
        <w:ilvl w:val="0"/>
        <w:numId w:val="4"/>
      </w:numPr>
      <w:outlineLvl w:val="4"/>
    </w:pPr>
    <w:rPr>
      <w:b/>
      <w:smallCaps/>
      <w:sz w:val="22"/>
    </w:rPr>
  </w:style>
  <w:style w:type="paragraph" w:styleId="Heading6">
    <w:name w:val="heading 6"/>
    <w:basedOn w:val="Normal"/>
    <w:next w:val="Normal"/>
    <w:qFormat/>
    <w:pPr>
      <w:keepNext w:val="true"/>
      <w:numPr>
        <w:ilvl w:val="5"/>
        <w:numId w:val="1"/>
      </w:numPr>
      <w:outlineLvl w:val="5"/>
    </w:pPr>
    <w:rPr>
      <w:b/>
      <w:smallCaps/>
      <w:sz w:val="24"/>
    </w:rPr>
  </w:style>
  <w:style w:type="paragraph" w:styleId="Heading7">
    <w:name w:val="heading 7"/>
    <w:basedOn w:val="Normal"/>
    <w:next w:val="Normal"/>
    <w:qFormat/>
    <w:pPr>
      <w:keepNext w:val="true"/>
      <w:numPr>
        <w:ilvl w:val="6"/>
        <w:numId w:val="1"/>
      </w:numPr>
      <w:jc w:val="center"/>
      <w:outlineLvl w:val="6"/>
    </w:pPr>
    <w:rPr>
      <w:b/>
    </w:rPr>
  </w:style>
  <w:style w:type="paragraph" w:styleId="Heading8">
    <w:name w:val="heading 8"/>
    <w:basedOn w:val="Normal"/>
    <w:next w:val="Normal"/>
    <w:qFormat/>
    <w:pPr>
      <w:keepNext w:val="true"/>
      <w:numPr>
        <w:ilvl w:val="7"/>
        <w:numId w:val="1"/>
      </w:numPr>
      <w:jc w:val="center"/>
      <w:outlineLvl w:val="7"/>
    </w:pPr>
    <w:rPr>
      <w:sz w:val="48"/>
    </w:rPr>
  </w:style>
  <w:style w:type="paragraph" w:styleId="Heading9">
    <w:name w:val="heading 9"/>
    <w:basedOn w:val="Normal"/>
    <w:next w:val="Normal"/>
    <w:qFormat/>
    <w:pPr>
      <w:keepNext w:val="true"/>
      <w:numPr>
        <w:ilvl w:val="8"/>
        <w:numId w:val="1"/>
      </w:numPr>
      <w:jc w:val="center"/>
      <w:outlineLvl w:val="8"/>
    </w:pPr>
    <w:rPr>
      <w:sz w:val="3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color w:val="0000FF"/>
      <w:sz w:val="21"/>
    </w:rPr>
  </w:style>
  <w:style w:type="paragraph" w:styleId="BodyTextIndent">
    <w:name w:val="Body Text Indent"/>
    <w:basedOn w:val="Normal"/>
    <w:pPr>
      <w:ind w:hanging="270" w:start="990" w:end="0"/>
    </w:pPr>
    <w:rPr>
      <w:sz w:val="21"/>
    </w:rPr>
  </w:style>
  <w:style w:type="paragraph" w:styleId="BodyText3">
    <w:name w:val="Body Text 3"/>
    <w:basedOn w:val="Normal"/>
    <w:qFormat/>
    <w:pPr/>
    <w:rPr>
      <w:b/>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2000-12-22T17:42:00Z</dcterms:created>
  <dc:creator>cneale</dc:creator>
  <dc:description/>
  <dc:language>en-CA</dc:language>
  <cp:lastModifiedBy>klucas</cp:lastModifiedBy>
  <cp:lastPrinted>2000-12-22T12:03:00Z</cp:lastPrinted>
  <dcterms:modified xsi:type="dcterms:W3CDTF">2000-12-22T17:56:00Z</dcterms:modified>
  <cp:revision>4</cp:revision>
  <dc:subject/>
  <dc:title>I</dc:title>
</cp:coreProperties>
</file>