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sz w:val="22"/>
        </w:rPr>
      </w:pPr>
      <w:r>
        <w:rPr>
          <w:b/>
          <w:smallCaps/>
          <w:sz w:val="22"/>
        </w:rPr>
        <w:t>Interim Note:</w:t>
      </w:r>
    </w:p>
    <w:p>
      <w:pPr>
        <w:pStyle w:val="Normal"/>
        <w:jc w:val="center"/>
        <w:rPr>
          <w:b/>
          <w:smallCaps/>
          <w:sz w:val="22"/>
        </w:rPr>
      </w:pPr>
      <w:r>
        <w:rPr>
          <w:b/>
          <w:smallCaps/>
          <w:sz w:val="22"/>
        </w:rPr>
        <w:t>Status of Article 13 Secretariat Report on</w:t>
      </w:r>
    </w:p>
    <w:p>
      <w:pPr>
        <w:pStyle w:val="Normal"/>
        <w:jc w:val="center"/>
        <w:rPr>
          <w:b/>
          <w:smallCaps/>
          <w:sz w:val="22"/>
        </w:rPr>
      </w:pPr>
      <w:r>
        <w:rPr>
          <w:b/>
          <w:smallCaps/>
          <w:sz w:val="22"/>
        </w:rPr>
        <w:t>“</w:t>
      </w:r>
      <w:r>
        <w:rPr>
          <w:b/>
          <w:smallCaps/>
          <w:sz w:val="22"/>
        </w:rPr>
        <w:t>Environmental Challenges and Opportunities of the Evolving</w:t>
      </w:r>
    </w:p>
    <w:p>
      <w:pPr>
        <w:pStyle w:val="Normal"/>
        <w:jc w:val="center"/>
        <w:rPr>
          <w:b/>
          <w:smallCaps/>
          <w:sz w:val="22"/>
        </w:rPr>
      </w:pPr>
      <w:r>
        <w:rPr>
          <w:b/>
          <w:smallCaps/>
          <w:sz w:val="22"/>
        </w:rPr>
        <w:t xml:space="preserve">Continental Electricity Market” </w:t>
      </w:r>
    </w:p>
    <w:p>
      <w:pPr>
        <w:pStyle w:val="Normal"/>
        <w:jc w:val="center"/>
        <w:rPr>
          <w:b/>
          <w:smallCaps/>
          <w:sz w:val="22"/>
        </w:rPr>
      </w:pPr>
      <w:r>
        <w:rPr>
          <w:b/>
          <w:smallCaps/>
          <w:sz w:val="22"/>
        </w:rPr>
      </w:r>
    </w:p>
    <w:p>
      <w:pPr>
        <w:pStyle w:val="Heading1"/>
        <w:ind w:hanging="0" w:start="0"/>
        <w:rPr>
          <w:smallCaps/>
        </w:rPr>
      </w:pPr>
      <w:r>
        <w:rPr>
          <w:smallCaps/>
        </w:rPr>
        <w:t>Note by the Secretariat</w:t>
      </w:r>
    </w:p>
    <w:p>
      <w:pPr>
        <w:pStyle w:val="Normal"/>
        <w:jc w:val="center"/>
        <w:rPr>
          <w:smallCaps/>
          <w:u w:val="single"/>
        </w:rPr>
      </w:pPr>
      <w:r>
        <w:rPr>
          <w:smallCaps/>
          <w:u w:val="single"/>
        </w:rPr>
      </w:r>
    </w:p>
    <w:p>
      <w:pPr>
        <w:pStyle w:val="Heading4"/>
        <w:ind w:hanging="0" w:start="0"/>
        <w:jc w:val="both"/>
        <w:rPr>
          <w:b/>
          <w:smallCaps/>
          <w:sz w:val="22"/>
          <w:u w:val="none"/>
        </w:rPr>
      </w:pPr>
      <w:r>
        <w:rPr>
          <w:b/>
          <w:smallCaps/>
          <w:sz w:val="22"/>
          <w:u w:val="none"/>
        </w:rPr>
        <w:t>Introduction:</w:t>
      </w:r>
    </w:p>
    <w:p>
      <w:pPr>
        <w:pStyle w:val="Heading4"/>
        <w:ind w:hanging="0" w:start="0"/>
        <w:jc w:val="both"/>
        <w:rPr>
          <w:b/>
          <w:smallCaps/>
          <w:sz w:val="22"/>
          <w:u w:val="none"/>
        </w:rPr>
      </w:pPr>
      <w:r>
        <w:rPr>
          <w:b/>
          <w:smallCaps/>
          <w:sz w:val="22"/>
          <w:u w:val="none"/>
        </w:rPr>
        <w:t>Timing and Organizational Matters</w:t>
      </w:r>
    </w:p>
    <w:p>
      <w:pPr>
        <w:pStyle w:val="Normal"/>
        <w:jc w:val="both"/>
        <w:rPr>
          <w:b/>
          <w:smallCaps/>
          <w:sz w:val="22"/>
          <w:u w:val="single"/>
        </w:rPr>
      </w:pPr>
      <w:r>
        <w:rPr>
          <w:b/>
          <w:smallCaps/>
          <w:sz w:val="22"/>
          <w:u w:val="single"/>
        </w:rPr>
      </w:r>
    </w:p>
    <w:p>
      <w:pPr>
        <w:pStyle w:val="Normal"/>
        <w:jc w:val="both"/>
        <w:rPr/>
      </w:pPr>
      <w:r>
        <w:rPr>
          <w:sz w:val="22"/>
        </w:rPr>
        <w:t xml:space="preserve">The purpose of this Interim Note is to provide the Parties to the North American Agreement on Environmental Cooperation (NAAEC) with an update of work underway in relation to the CEC Secretariat’s preparation of the NAAEC Article 13 Report on </w:t>
      </w:r>
      <w:r>
        <w:rPr>
          <w:i/>
          <w:sz w:val="22"/>
        </w:rPr>
        <w:t xml:space="preserve">Environmental Challenges and Opportunities of the Evolving Continental Electricity Market </w:t>
      </w:r>
      <w:r>
        <w:rPr>
          <w:sz w:val="22"/>
        </w:rPr>
        <w:t xml:space="preserve">(hereafter referred to as the Article 13 Electricity Report). </w:t>
      </w:r>
      <w:r>
        <w:rPr>
          <w:i/>
          <w:sz w:val="22"/>
        </w:rPr>
        <w:t xml:space="preserve"> </w:t>
      </w:r>
      <w:r>
        <w:rPr>
          <w:sz w:val="22"/>
        </w:rPr>
        <w:t>It is intended for information purposes alone.</w:t>
      </w:r>
    </w:p>
    <w:p>
      <w:pPr>
        <w:pStyle w:val="Normal"/>
        <w:jc w:val="both"/>
        <w:rPr>
          <w:sz w:val="22"/>
        </w:rPr>
      </w:pPr>
      <w:r>
        <w:rPr>
          <w:sz w:val="22"/>
        </w:rPr>
      </w:r>
    </w:p>
    <w:p>
      <w:pPr>
        <w:pStyle w:val="BodyText"/>
        <w:jc w:val="both"/>
        <w:rPr/>
      </w:pPr>
      <w:r>
        <w:rPr/>
        <w:t xml:space="preserve">The Article 13 Electricity Report will be submitted by the CEC Executive Director to NAAEC Council in mid-December, 2001.  Main areas of analysis in the Article 13 Report are noted in Section Two, below.  The main Report will be supported by various technical annexes, including annexes on renewable portfolio standards, demand-side issues, market-access issues, and a technical analysis of models.  </w:t>
      </w:r>
    </w:p>
    <w:p>
      <w:pPr>
        <w:pStyle w:val="Normal"/>
        <w:jc w:val="both"/>
        <w:rPr>
          <w:sz w:val="22"/>
        </w:rPr>
      </w:pPr>
      <w:r>
        <w:rPr>
          <w:sz w:val="22"/>
        </w:rPr>
      </w:r>
    </w:p>
    <w:p>
      <w:pPr>
        <w:pStyle w:val="Normal"/>
        <w:jc w:val="both"/>
        <w:rPr>
          <w:sz w:val="22"/>
        </w:rPr>
      </w:pPr>
      <w:r>
        <w:rPr>
          <w:sz w:val="22"/>
        </w:rPr>
        <w:t xml:space="preserve">To help ensure a comprehensive analysis of key issues, the CEC Advisory Board on Electricity and the Environment was formed in mid-2000.  The Advisory Board -- chaired by the Honorable Phil Sharp (Harvard University) -- is comprised of 15 senior representatives from the electricity and energy sectors, environmental organizations, consumer groups and research institutes from Canada, Mexico and the United States.  </w:t>
      </w:r>
    </w:p>
    <w:p>
      <w:pPr>
        <w:pStyle w:val="Normal"/>
        <w:jc w:val="both"/>
        <w:rPr>
          <w:sz w:val="22"/>
        </w:rPr>
      </w:pPr>
      <w:r>
        <w:rPr>
          <w:sz w:val="22"/>
        </w:rPr>
      </w:r>
    </w:p>
    <w:p>
      <w:pPr>
        <w:pStyle w:val="Normal"/>
        <w:jc w:val="both"/>
        <w:rPr/>
      </w:pPr>
      <w:r>
        <w:rPr>
          <w:sz w:val="22"/>
        </w:rPr>
        <w:t>The first meeting of the Advisory Board was held at the CEC in Montreal on January 16, 2001.  A conference call will take place on May 24</w:t>
      </w:r>
      <w:r>
        <w:rPr>
          <w:sz w:val="22"/>
          <w:vertAlign w:val="superscript"/>
        </w:rPr>
        <w:t>th</w:t>
      </w:r>
      <w:r>
        <w:rPr>
          <w:sz w:val="22"/>
        </w:rPr>
        <w:t xml:space="preserve">, 2001.  (See Annex One for the background note and proceedings prepared for the first Board meeting, together with the names of biographies of the Board members.)  The Advisory Group is mandated to  provide advice and guidance to the Secretariat its preparation of the Article 13 Electricity Report.  In addition, the Advisory Board may consider submitting to Council recommendations. </w:t>
      </w:r>
    </w:p>
    <w:p>
      <w:pPr>
        <w:pStyle w:val="Normal"/>
        <w:jc w:val="both"/>
        <w:rPr>
          <w:sz w:val="22"/>
        </w:rPr>
      </w:pPr>
      <w:r>
        <w:rPr>
          <w:sz w:val="22"/>
        </w:rPr>
      </w:r>
    </w:p>
    <w:p>
      <w:pPr>
        <w:pStyle w:val="Normal"/>
        <w:jc w:val="both"/>
        <w:rPr/>
      </w:pPr>
      <w:r>
        <w:rPr>
          <w:sz w:val="22"/>
        </w:rPr>
        <w:t>In support of transparency and public input goals, a Symposium on Electricity and the Environment will be organized by the Secretariat.  The Symposium, to be chaired by Mr. Sharp, is tentatively scheduled to be held 29-30 November, 2001 in San Diego, California</w:t>
      </w:r>
      <w:r>
        <w:rPr>
          <w:rStyle w:val="FootnoteCharacters"/>
          <w:rStyle w:val="FootnoteReference"/>
          <w:sz w:val="22"/>
        </w:rPr>
        <w:footnoteReference w:id="2"/>
      </w:r>
      <w:r>
        <w:rPr>
          <w:sz w:val="22"/>
        </w:rPr>
        <w:t xml:space="preserve">. </w:t>
      </w:r>
    </w:p>
    <w:p>
      <w:pPr>
        <w:pStyle w:val="Heading2"/>
        <w:ind w:hanging="0" w:start="0"/>
        <w:jc w:val="both"/>
        <w:rPr>
          <w:sz w:val="22"/>
        </w:rPr>
      </w:pPr>
      <w:r>
        <w:rPr>
          <w:sz w:val="22"/>
        </w:rPr>
      </w:r>
    </w:p>
    <w:p>
      <w:pPr>
        <w:pStyle w:val="Heading2"/>
        <w:ind w:hanging="0" w:start="0"/>
        <w:jc w:val="both"/>
        <w:rPr>
          <w:sz w:val="22"/>
        </w:rPr>
      </w:pPr>
      <w:r>
        <w:rPr>
          <w:sz w:val="22"/>
        </w:rPr>
        <w:t xml:space="preserve">Part One: </w:t>
      </w:r>
    </w:p>
    <w:p>
      <w:pPr>
        <w:pStyle w:val="Heading2"/>
        <w:ind w:hanging="0" w:start="0"/>
        <w:jc w:val="both"/>
        <w:rPr>
          <w:sz w:val="22"/>
        </w:rPr>
      </w:pPr>
      <w:r>
        <w:rPr>
          <w:sz w:val="22"/>
        </w:rPr>
        <w:t xml:space="preserve">the Evolving North American Electricity Market  </w:t>
      </w:r>
    </w:p>
    <w:p>
      <w:pPr>
        <w:pStyle w:val="Normal"/>
        <w:jc w:val="both"/>
        <w:rPr>
          <w:sz w:val="22"/>
        </w:rPr>
      </w:pPr>
      <w:r>
        <w:rPr>
          <w:sz w:val="22"/>
        </w:rPr>
      </w:r>
    </w:p>
    <w:p>
      <w:pPr>
        <w:pStyle w:val="Normal"/>
        <w:jc w:val="both"/>
        <w:rPr>
          <w:sz w:val="22"/>
        </w:rPr>
      </w:pPr>
      <w:r>
        <w:rPr>
          <w:sz w:val="22"/>
        </w:rPr>
        <w:t>Since the entry into force of the North American Free Trade Agreement (NAFTA) in 1994, trade and investment linking Canada, Mexico and the United States have increased significantly.  Today, total trade in goods and services among NAFTA partners is approximately $700 billion per year, while investment flows among the three NAFTA partners have increased dramatically since 1994.</w:t>
      </w:r>
    </w:p>
    <w:p>
      <w:pPr>
        <w:pStyle w:val="Normal"/>
        <w:jc w:val="both"/>
        <w:rPr>
          <w:sz w:val="22"/>
        </w:rPr>
      </w:pPr>
      <w:r>
        <w:rPr>
          <w:sz w:val="22"/>
        </w:rPr>
        <w:t>As economic integration among the NAFTA partners increases, so too does policy cooperation in a number of areas, including environmental policy cooperation. A recent example of the link between economic and environmental policy integration is found in the joint statement by Prime Minister Chretien of Canada, President Fox of Mexico, and President Bush of the United States, following their meeting during the Summit of the Americas conference.  The three North American leaders noted:</w:t>
      </w:r>
    </w:p>
    <w:p>
      <w:pPr>
        <w:pStyle w:val="Normal"/>
        <w:jc w:val="both"/>
        <w:rPr>
          <w:sz w:val="22"/>
        </w:rPr>
      </w:pPr>
      <w:r>
        <w:rPr>
          <w:sz w:val="22"/>
        </w:rPr>
      </w:r>
    </w:p>
    <w:p>
      <w:pPr>
        <w:pStyle w:val="Normal"/>
        <w:ind w:start="720" w:end="0"/>
        <w:jc w:val="both"/>
        <w:rPr/>
      </w:pPr>
      <w:r>
        <w:rPr>
          <w:sz w:val="22"/>
        </w:rPr>
        <w:t>“</w:t>
      </w:r>
      <w:r>
        <w:rPr>
          <w:sz w:val="22"/>
        </w:rPr>
        <w:t>We consulted on the development of a North American approach to the important issues of energy markets.  Towards this end, our Energy Ministers have created a North American Energy Working Group.  This technical-level forum will be a valuable means of fostering communication and coordinating efforts in support of efficient North American energy markets that help our governments meet the energy needs of our peoples.  We stressed the importance of energy conservation, development of alternative energy sources, and our common commitment to addressing the environmental impacts of energy use.”  (Quebec City, 22 April, 2001)</w:t>
      </w:r>
      <w:r>
        <w:rPr>
          <w:rStyle w:val="FootnoteCharacters"/>
          <w:rStyle w:val="FootnoteReference"/>
          <w:sz w:val="22"/>
        </w:rPr>
        <w:footnoteReference w:id="3"/>
      </w:r>
      <w:r>
        <w:rPr>
          <w:sz w:val="22"/>
        </w:rPr>
        <w:t xml:space="preserve"> </w:t>
      </w:r>
    </w:p>
    <w:p>
      <w:pPr>
        <w:pStyle w:val="Normal"/>
        <w:ind w:start="720" w:end="0"/>
        <w:jc w:val="both"/>
        <w:rPr>
          <w:sz w:val="22"/>
        </w:rPr>
      </w:pPr>
      <w:r>
        <w:rPr>
          <w:sz w:val="22"/>
        </w:rPr>
      </w:r>
    </w:p>
    <w:p>
      <w:pPr>
        <w:pStyle w:val="Normal"/>
        <w:jc w:val="both"/>
        <w:rPr>
          <w:sz w:val="22"/>
        </w:rPr>
      </w:pPr>
      <w:r>
        <w:rPr>
          <w:sz w:val="22"/>
        </w:rPr>
        <w:t xml:space="preserve">In accordance with the mandate of the CEC, and supporting the broad goals set out in the April statement, the focus of the CEC Article 13 Electricity Report will be two-fold: </w:t>
      </w:r>
    </w:p>
    <w:p>
      <w:pPr>
        <w:pStyle w:val="Normal"/>
        <w:jc w:val="both"/>
        <w:rPr>
          <w:sz w:val="22"/>
        </w:rPr>
      </w:pPr>
      <w:r>
        <w:rPr>
          <w:sz w:val="22"/>
        </w:rPr>
      </w:r>
    </w:p>
    <w:p>
      <w:pPr>
        <w:pStyle w:val="Normal"/>
        <w:numPr>
          <w:ilvl w:val="0"/>
          <w:numId w:val="4"/>
        </w:numPr>
        <w:jc w:val="both"/>
        <w:rPr>
          <w:sz w:val="22"/>
        </w:rPr>
      </w:pPr>
      <w:r>
        <w:rPr>
          <w:sz w:val="22"/>
        </w:rPr>
        <w:t xml:space="preserve">Assess the probable environmental effects of increased trade in electricity, as well as increased cross-border investment in electricity generation and related infrastructure; and  </w:t>
      </w:r>
    </w:p>
    <w:p>
      <w:pPr>
        <w:pStyle w:val="Normal"/>
        <w:numPr>
          <w:ilvl w:val="0"/>
          <w:numId w:val="4"/>
        </w:numPr>
        <w:jc w:val="both"/>
        <w:rPr>
          <w:sz w:val="22"/>
        </w:rPr>
      </w:pPr>
      <w:r>
        <w:rPr>
          <w:sz w:val="22"/>
        </w:rPr>
        <w:t xml:space="preserve">Identify policy options intended to minimize negative environmental effects of the expansion in trade in electricity, and maximize environmentally-preferable outcomes.   </w:t>
      </w:r>
    </w:p>
    <w:p>
      <w:pPr>
        <w:pStyle w:val="Normal"/>
        <w:jc w:val="both"/>
        <w:rPr>
          <w:sz w:val="22"/>
        </w:rPr>
      </w:pPr>
      <w:r>
        <w:rPr>
          <w:sz w:val="22"/>
        </w:rPr>
      </w:r>
    </w:p>
    <w:p>
      <w:pPr>
        <w:pStyle w:val="Normal"/>
        <w:jc w:val="both"/>
        <w:rPr>
          <w:b/>
          <w:smallCaps/>
          <w:sz w:val="22"/>
        </w:rPr>
      </w:pPr>
      <w:r>
        <w:rPr>
          <w:b/>
          <w:smallCaps/>
          <w:sz w:val="22"/>
        </w:rPr>
        <w:t>Part A.</w:t>
        <w:tab/>
      </w:r>
    </w:p>
    <w:p>
      <w:pPr>
        <w:pStyle w:val="Normal"/>
        <w:jc w:val="both"/>
        <w:rPr>
          <w:b/>
          <w:smallCaps/>
          <w:sz w:val="22"/>
        </w:rPr>
      </w:pPr>
      <w:r>
        <w:rPr>
          <w:b/>
          <w:smallCaps/>
          <w:sz w:val="22"/>
        </w:rPr>
        <w:t>Environmental effects of Increased Market Integration:</w:t>
      </w:r>
    </w:p>
    <w:p>
      <w:pPr>
        <w:pStyle w:val="Normal"/>
        <w:jc w:val="both"/>
        <w:rPr>
          <w:b/>
          <w:smallCaps/>
          <w:sz w:val="22"/>
        </w:rPr>
      </w:pPr>
      <w:r>
        <w:rPr>
          <w:b/>
          <w:smallCaps/>
          <w:sz w:val="22"/>
        </w:rPr>
      </w:r>
    </w:p>
    <w:p>
      <w:pPr>
        <w:pStyle w:val="Normal"/>
        <w:jc w:val="both"/>
        <w:rPr>
          <w:sz w:val="22"/>
        </w:rPr>
      </w:pPr>
      <w:r>
        <w:rPr>
          <w:sz w:val="22"/>
        </w:rPr>
        <w:t>The first part of the Article 13 Electricity Report will comprise the examination of potential environmental effects of further market integration and expansion in trade in electricity among Canada, Mexico and the United States.  Using 3-5 scenarios to the year 2010, together with models and a range of environmental indicators, the examination will identify probable changes in the source, scale and type of pollution and environmental pressure associated with an expansion in trade in electricity.  The examination will also seek to identify opportunities arising from market integration and trade expansion to improve environmental protection among the NAFTA partners.</w:t>
      </w:r>
    </w:p>
    <w:p>
      <w:pPr>
        <w:pStyle w:val="Normal"/>
        <w:jc w:val="both"/>
        <w:rPr>
          <w:sz w:val="22"/>
        </w:rPr>
      </w:pPr>
      <w:r>
        <w:rPr>
          <w:sz w:val="22"/>
        </w:rPr>
      </w:r>
    </w:p>
    <w:p>
      <w:pPr>
        <w:pStyle w:val="Normal"/>
        <w:jc w:val="both"/>
        <w:rPr>
          <w:sz w:val="22"/>
        </w:rPr>
      </w:pPr>
      <w:r>
        <w:rPr>
          <w:sz w:val="22"/>
        </w:rPr>
        <w:t xml:space="preserve">Experience in assessing the environmental effects of trade and agreement-specific trade liberalization suggests that assessment methodologies need to weigh both environmental quality effects linked with an expansion in trade and trade liberalization, as well as the relationship between trade policy reform and environmental policy.  This second area entails analysis of the policy-to-policy or regulatory relationship between trade liberalization and environmental protection policies.  Although the second area has received considerable public attention, particularly when the policy relationship is clarified through formal dispute settlement procedures, both environmental quality and indirect environmental policy effects will be examined in the Article 13 Electricity report. </w:t>
      </w:r>
    </w:p>
    <w:p>
      <w:pPr>
        <w:pStyle w:val="Normal"/>
        <w:jc w:val="both"/>
        <w:rPr>
          <w:sz w:val="22"/>
        </w:rPr>
      </w:pPr>
      <w:r>
        <w:rPr>
          <w:sz w:val="22"/>
        </w:rPr>
      </w:r>
    </w:p>
    <w:p>
      <w:pPr>
        <w:pStyle w:val="Normal"/>
        <w:jc w:val="both"/>
        <w:rPr>
          <w:sz w:val="22"/>
        </w:rPr>
      </w:pPr>
      <w:r>
        <w:rPr>
          <w:sz w:val="22"/>
        </w:rPr>
        <w:t>In undertaking this analysis, the Article 13 Electricity Report will build upon a number of related mandates of the NAAEC, including mandating the CEC – under to NAAEC Article 10(6)(d) – to consider “on an ongoing basis the environmental effects of the NAFTA;” and Article 10(6) c), “contributing to the prevention or resolution of environment-related trade disputes by:</w:t>
      </w:r>
    </w:p>
    <w:p>
      <w:pPr>
        <w:pStyle w:val="Normal"/>
        <w:jc w:val="both"/>
        <w:rPr>
          <w:sz w:val="22"/>
        </w:rPr>
      </w:pPr>
      <w:r>
        <w:rPr>
          <w:sz w:val="22"/>
        </w:rPr>
      </w:r>
    </w:p>
    <w:p>
      <w:pPr>
        <w:pStyle w:val="Normal"/>
        <w:numPr>
          <w:ilvl w:val="0"/>
          <w:numId w:val="3"/>
        </w:numPr>
        <w:jc w:val="both"/>
        <w:rPr>
          <w:sz w:val="22"/>
        </w:rPr>
      </w:pPr>
      <w:r>
        <w:rPr>
          <w:sz w:val="22"/>
        </w:rPr>
        <w:t>seeking to avoid disputes between the Parties;</w:t>
      </w:r>
    </w:p>
    <w:p>
      <w:pPr>
        <w:pStyle w:val="Normal"/>
        <w:numPr>
          <w:ilvl w:val="0"/>
          <w:numId w:val="3"/>
        </w:numPr>
        <w:jc w:val="both"/>
        <w:rPr>
          <w:sz w:val="22"/>
        </w:rPr>
      </w:pPr>
      <w:r>
        <w:rPr>
          <w:sz w:val="22"/>
        </w:rPr>
        <w:t>making recommendations to the Free Trade Commission with respect to the avoidance of such disputes; and</w:t>
      </w:r>
    </w:p>
    <w:p>
      <w:pPr>
        <w:pStyle w:val="Normal"/>
        <w:numPr>
          <w:ilvl w:val="0"/>
          <w:numId w:val="3"/>
        </w:numPr>
        <w:jc w:val="both"/>
        <w:rPr>
          <w:sz w:val="22"/>
        </w:rPr>
      </w:pPr>
      <w:r>
        <w:rPr>
          <w:sz w:val="22"/>
        </w:rPr>
        <w:t>identifying experts able to provide information or technical advice to NAFTA committees, working groups and other NAFTA bodies…”</w:t>
      </w:r>
    </w:p>
    <w:p>
      <w:pPr>
        <w:pStyle w:val="Normal"/>
        <w:jc w:val="both"/>
        <w:rPr>
          <w:sz w:val="22"/>
        </w:rPr>
      </w:pPr>
      <w:r>
        <w:rPr>
          <w:sz w:val="22"/>
        </w:rPr>
      </w:r>
    </w:p>
    <w:p>
      <w:pPr>
        <w:pStyle w:val="Normal"/>
        <w:jc w:val="both"/>
        <w:rPr/>
      </w:pPr>
      <w:r>
        <w:rPr>
          <w:sz w:val="22"/>
        </w:rPr>
        <w:t>The Article 13 Electricity Report will build upon work already undertaken by the CEC in assessing the environmental effects of trade.  This includes referring to the Analytical Framework – released by Council in late 1999 – together with lessons from CEC-supported sectoral analysis, including studies presented at the October 2000 Symposium on Assessing the Environmental Effects of Trade and analysis of the electricity sector published by the CEC in 1999.</w:t>
      </w:r>
      <w:r>
        <w:rPr>
          <w:rStyle w:val="FootnoteCharacters"/>
          <w:rStyle w:val="FootnoteReference"/>
          <w:sz w:val="22"/>
        </w:rPr>
        <w:footnoteReference w:id="4"/>
      </w:r>
      <w:r>
        <w:rPr>
          <w:sz w:val="22"/>
        </w:rPr>
        <w:t xml:space="preserve">  Assessment work will also draw upon relevant work of the OECD, World Bank, environmental reviews and methodologies undertaken or announced by Canada and the United States, as well as work undertaken by non-governmental groups. </w:t>
      </w:r>
    </w:p>
    <w:p>
      <w:pPr>
        <w:pStyle w:val="Normal"/>
        <w:jc w:val="both"/>
        <w:rPr>
          <w:sz w:val="22"/>
        </w:rPr>
      </w:pPr>
      <w:r>
        <w:rPr>
          <w:sz w:val="22"/>
        </w:rPr>
      </w:r>
    </w:p>
    <w:p>
      <w:pPr>
        <w:pStyle w:val="Normal"/>
        <w:jc w:val="both"/>
        <w:rPr>
          <w:sz w:val="22"/>
        </w:rPr>
      </w:pPr>
      <w:r>
        <w:rPr>
          <w:sz w:val="22"/>
        </w:rPr>
        <w:t xml:space="preserve">Given the complexity of assessing simultaneous and dynamic changes arising from trade-related changes in generating capacities, the location of power generation, changes in the mix of fuels used for generation, changes in technological mix, changes in transmission infrastructure and grid integration, changes in demand-side issues, and changes in regulations affecting the sector, assessment methodology will seek to balance scale effects with other – and often “de-coupling” effects -- including composition, regulatory, technological and product effects.  </w:t>
      </w:r>
    </w:p>
    <w:p>
      <w:pPr>
        <w:pStyle w:val="Normal"/>
        <w:jc w:val="both"/>
        <w:rPr>
          <w:sz w:val="22"/>
        </w:rPr>
      </w:pPr>
      <w:r>
        <w:rPr>
          <w:sz w:val="22"/>
        </w:rPr>
      </w:r>
    </w:p>
    <w:p>
      <w:pPr>
        <w:pStyle w:val="Normal"/>
        <w:jc w:val="both"/>
        <w:rPr>
          <w:sz w:val="22"/>
        </w:rPr>
      </w:pPr>
      <w:r>
        <w:rPr>
          <w:sz w:val="22"/>
        </w:rPr>
        <w:t xml:space="preserve">While important methodological advances have been made in assessing the environmental effects of trade liberalization, several important challenges persist.  Two are worth noting in the context of the Article 13 Electricity Report: (a) identifying robust correlations between economic and environmental data; and (b) clarifying causal relationships between trade in electricity and environmental change. </w:t>
      </w:r>
    </w:p>
    <w:p>
      <w:pPr>
        <w:pStyle w:val="Normal"/>
        <w:jc w:val="both"/>
        <w:rPr>
          <w:sz w:val="22"/>
        </w:rPr>
      </w:pPr>
      <w:r>
        <w:rPr>
          <w:sz w:val="22"/>
        </w:rPr>
      </w:r>
    </w:p>
    <w:p>
      <w:pPr>
        <w:pStyle w:val="Normal"/>
        <w:jc w:val="both"/>
        <w:rPr>
          <w:sz w:val="22"/>
        </w:rPr>
      </w:pPr>
      <w:r>
        <w:rPr>
          <w:sz w:val="22"/>
        </w:rPr>
        <w:t xml:space="preserve">Among the more useful tools in identifying economy-environmental coefficients and working through causality issues are various quantitative economic ands other models.  This is particularly true in the energy and electricity fields, where Integrated Assessment Models provide important insights in simulating the complex and dynamic interplay among policy-economy-environment relationships. </w:t>
      </w:r>
    </w:p>
    <w:p>
      <w:pPr>
        <w:pStyle w:val="Normal"/>
        <w:jc w:val="both"/>
        <w:rPr>
          <w:sz w:val="22"/>
        </w:rPr>
      </w:pPr>
      <w:r>
        <w:rPr>
          <w:sz w:val="22"/>
        </w:rPr>
      </w:r>
    </w:p>
    <w:p>
      <w:pPr>
        <w:pStyle w:val="Normal"/>
        <w:jc w:val="both"/>
        <w:rPr>
          <w:sz w:val="22"/>
        </w:rPr>
      </w:pPr>
      <w:r>
        <w:rPr>
          <w:sz w:val="22"/>
        </w:rPr>
        <w:t xml:space="preserve">The Article 13 Electricity Report will contain an extensive literature review of recent modeling efforts.  The review will compare strengths and weaknesses of such models.  Given the focus of several recent models on the environmental effects of restructuring, coupled with the strong link between restructuring and sectoral integration, the literature review will also examine likely environmental impacts of restructuring. </w:t>
      </w:r>
    </w:p>
    <w:p>
      <w:pPr>
        <w:pStyle w:val="Normal"/>
        <w:jc w:val="both"/>
        <w:rPr>
          <w:sz w:val="22"/>
        </w:rPr>
      </w:pPr>
      <w:r>
        <w:rPr>
          <w:sz w:val="22"/>
        </w:rPr>
      </w:r>
    </w:p>
    <w:p>
      <w:pPr>
        <w:pStyle w:val="Normal"/>
        <w:jc w:val="both"/>
        <w:rPr>
          <w:sz w:val="22"/>
        </w:rPr>
      </w:pPr>
      <w:r>
        <w:rPr>
          <w:sz w:val="22"/>
        </w:rPr>
        <w:t xml:space="preserve">In addition to the review of recent models, the Article 13 Electricity Report will undertake its own analysis.  This will comprise </w:t>
      </w:r>
    </w:p>
    <w:p>
      <w:pPr>
        <w:pStyle w:val="Normal"/>
        <w:jc w:val="both"/>
        <w:rPr>
          <w:sz w:val="22"/>
        </w:rPr>
      </w:pPr>
      <w:r>
        <w:rPr>
          <w:sz w:val="22"/>
        </w:rPr>
      </w:r>
    </w:p>
    <w:p>
      <w:pPr>
        <w:pStyle w:val="Normal"/>
        <w:numPr>
          <w:ilvl w:val="0"/>
          <w:numId w:val="2"/>
        </w:numPr>
        <w:jc w:val="both"/>
        <w:rPr>
          <w:sz w:val="22"/>
        </w:rPr>
      </w:pPr>
      <w:r>
        <w:rPr>
          <w:sz w:val="22"/>
        </w:rPr>
        <w:t>A “backcasting” exercise, examining the key assumptions and results of past efforts to forecast environmental changes as the result of a restructured electric utility industry.  The purpose of the “backcasting” exercise is to determine the accuracy of key assumptions related to inter-fuel pricing assumptions, regulatory, market, technological and other changes in light of current outcomes.  This backwards-looking analysis will provide input into how to improve forecasting efforts in this area;</w:t>
      </w:r>
    </w:p>
    <w:p>
      <w:pPr>
        <w:pStyle w:val="Normal"/>
        <w:numPr>
          <w:ilvl w:val="0"/>
          <w:numId w:val="2"/>
        </w:numPr>
        <w:jc w:val="both"/>
        <w:rPr>
          <w:sz w:val="22"/>
        </w:rPr>
      </w:pPr>
      <w:r>
        <w:rPr>
          <w:sz w:val="22"/>
        </w:rPr>
        <w:t>The development of “scenarios” intended to provide a range of possible outcomes regarding the evolution of the North American electricity market.  Three scenarios will be presented, to the year 2010.  They will provide different outcomes regarding fuel composition – that is, variations on the percentage that coal, oil, natural gas, nuclear and renewables comprise in the total electric power generation mix; the location of electric power generating facilities; assumptions regarding technological innovation; assumptions regarding regulatory and voluntary-led initiatives; assumptions regarding demand-side issues, including retail-side interest in “green” electricity; and assumptions regarding infrastructure, transmission extension and grid integration outcomes.  The three scenarios will present alternative environmental quality outcomes, referring to the environmental indicators noted above;</w:t>
      </w:r>
    </w:p>
    <w:p>
      <w:pPr>
        <w:pStyle w:val="Normal"/>
        <w:numPr>
          <w:ilvl w:val="0"/>
          <w:numId w:val="2"/>
        </w:numPr>
        <w:jc w:val="both"/>
        <w:rPr>
          <w:sz w:val="22"/>
        </w:rPr>
      </w:pPr>
      <w:r>
        <w:rPr>
          <w:sz w:val="22"/>
        </w:rPr>
        <w:t xml:space="preserve">The Article 13 Electricity Report will also refer to the results of a general equilibrium model (CGE) – based on a Global Trade Analysis project (GTAP) – developed by the CEC to provide some insights into changes in air pollution emissions related to increased sectoral integration.  </w:t>
      </w:r>
    </w:p>
    <w:p>
      <w:pPr>
        <w:pStyle w:val="Normal"/>
        <w:jc w:val="both"/>
        <w:rPr>
          <w:sz w:val="22"/>
        </w:rPr>
      </w:pPr>
      <w:r>
        <w:rPr>
          <w:sz w:val="22"/>
        </w:rPr>
      </w:r>
    </w:p>
    <w:p>
      <w:pPr>
        <w:pStyle w:val="Normal"/>
        <w:jc w:val="both"/>
        <w:rPr/>
      </w:pPr>
      <w:r>
        <w:rPr>
          <w:sz w:val="22"/>
        </w:rPr>
        <w:t>It is worth noting that many quantitative economic-environmental models used to assess environmental effects of the changing electricity market concentrate on key air pollution indicators, including SOx, NOx, CO</w:t>
      </w:r>
      <w:r>
        <w:rPr>
          <w:sz w:val="22"/>
          <w:vertAlign w:val="subscript"/>
        </w:rPr>
        <w:t>2</w:t>
      </w:r>
      <w:r>
        <w:rPr>
          <w:sz w:val="22"/>
        </w:rPr>
        <w:t xml:space="preserve">, PM and other indicators.  (Analysis will seek to measure changes in criteria air pollutants, using existing data or extrapolating probable emissions where data is not comprehensive, using 2000 as the baseline).  The Report will also examine non-air pollution environmental indicators, including:  </w:t>
      </w:r>
    </w:p>
    <w:p>
      <w:pPr>
        <w:pStyle w:val="Normal"/>
        <w:jc w:val="both"/>
        <w:rPr>
          <w:sz w:val="22"/>
        </w:rPr>
      </w:pPr>
      <w:r>
        <w:rPr>
          <w:sz w:val="22"/>
        </w:rPr>
      </w:r>
    </w:p>
    <w:p>
      <w:pPr>
        <w:pStyle w:val="Normal"/>
        <w:numPr>
          <w:ilvl w:val="0"/>
          <w:numId w:val="7"/>
        </w:numPr>
        <w:jc w:val="both"/>
        <w:rPr/>
      </w:pPr>
      <w:r>
        <w:rPr/>
        <w:t>assessing various environmental effects of fuel extraction and processing of relevance to electric power generation;</w:t>
      </w:r>
    </w:p>
    <w:p>
      <w:pPr>
        <w:pStyle w:val="Normal"/>
        <w:numPr>
          <w:ilvl w:val="0"/>
          <w:numId w:val="7"/>
        </w:numPr>
        <w:jc w:val="both"/>
        <w:rPr/>
      </w:pPr>
      <w:r>
        <w:rPr/>
        <w:t>assessing the link between electric power generation and water inputs</w:t>
      </w:r>
      <w:r>
        <w:rPr>
          <w:rStyle w:val="FootnoteCharacters"/>
          <w:rStyle w:val="FootnoteReference"/>
        </w:rPr>
        <w:footnoteReference w:id="5"/>
      </w:r>
      <w:r>
        <w:rPr/>
        <w:t>.  (Electric power generation typically consumes large quantities of water, through for example water-cooled condensers.)</w:t>
      </w:r>
    </w:p>
    <w:p>
      <w:pPr>
        <w:pStyle w:val="Normal"/>
        <w:numPr>
          <w:ilvl w:val="0"/>
          <w:numId w:val="7"/>
        </w:numPr>
        <w:jc w:val="both"/>
        <w:rPr/>
      </w:pPr>
      <w:r>
        <w:rPr/>
        <w:t>assessing changes in toxic releases associated with electric power generation;</w:t>
      </w:r>
    </w:p>
    <w:p>
      <w:pPr>
        <w:pStyle w:val="Normal"/>
        <w:numPr>
          <w:ilvl w:val="0"/>
          <w:numId w:val="7"/>
        </w:numPr>
        <w:jc w:val="both"/>
        <w:rPr/>
      </w:pPr>
      <w:r>
        <w:rPr/>
        <w:t>assessing the effects of hydroelectric power generation on land-use change and biodiversity;</w:t>
      </w:r>
    </w:p>
    <w:p>
      <w:pPr>
        <w:pStyle w:val="Normal"/>
        <w:numPr>
          <w:ilvl w:val="0"/>
          <w:numId w:val="7"/>
        </w:numPr>
        <w:jc w:val="both"/>
        <w:rPr/>
      </w:pPr>
      <w:r>
        <w:rPr/>
        <w:t>assessing the effects of electric power infrastructure on the environment, including impacts on biodiversity, wildlife corridors and other factors;</w:t>
      </w:r>
    </w:p>
    <w:p>
      <w:pPr>
        <w:pStyle w:val="Normal"/>
        <w:numPr>
          <w:ilvl w:val="0"/>
          <w:numId w:val="7"/>
        </w:numPr>
        <w:jc w:val="both"/>
        <w:rPr/>
      </w:pPr>
      <w:r>
        <w:rPr/>
        <w:t>assessing environmental and other effects of waste related to power generation, including from nuclear powered generation;</w:t>
      </w:r>
    </w:p>
    <w:p>
      <w:pPr>
        <w:pStyle w:val="Normal"/>
        <w:numPr>
          <w:ilvl w:val="0"/>
          <w:numId w:val="7"/>
        </w:numPr>
        <w:jc w:val="both"/>
        <w:rPr/>
      </w:pPr>
      <w:r>
        <w:rPr/>
        <w:t xml:space="preserve">Other environmental indicators, to be determined. </w:t>
      </w:r>
    </w:p>
    <w:p>
      <w:pPr>
        <w:pStyle w:val="Normal"/>
        <w:jc w:val="both"/>
        <w:rPr>
          <w:sz w:val="22"/>
        </w:rPr>
      </w:pPr>
      <w:r>
        <w:rPr>
          <w:sz w:val="22"/>
        </w:rPr>
      </w:r>
    </w:p>
    <w:p>
      <w:pPr>
        <w:pStyle w:val="Normal"/>
        <w:jc w:val="both"/>
        <w:rPr>
          <w:sz w:val="22"/>
        </w:rPr>
      </w:pPr>
      <w:r>
        <w:rPr>
          <w:sz w:val="22"/>
        </w:rPr>
        <w:t xml:space="preserve">In approaching the issue of the likely environmental effects of increased trade in electricity, it is important to note that a significant amount of international trade in electricity already exists in North America.  </w:t>
      </w:r>
    </w:p>
    <w:p>
      <w:pPr>
        <w:pStyle w:val="Normal"/>
        <w:jc w:val="both"/>
        <w:rPr>
          <w:sz w:val="22"/>
        </w:rPr>
      </w:pPr>
      <w:r>
        <w:rPr>
          <w:sz w:val="22"/>
        </w:rPr>
      </w:r>
    </w:p>
    <w:p>
      <w:pPr>
        <w:pStyle w:val="Normal"/>
        <w:jc w:val="both"/>
        <w:rPr>
          <w:sz w:val="22"/>
        </w:rPr>
      </w:pPr>
      <w:r>
        <w:rPr>
          <w:sz w:val="22"/>
        </w:rPr>
        <w:t xml:space="preserve">Over 100 electric power grid connections exist between Canada and the United States, of which approximately one-third have the capacity to handle bulk electricity exports.  Total Canadian electricity exports to the United States in 2000 were 50 Terawatt hours (TWh), an increase of 16 percent from 1999.  Electricity exports from the US to Canada declined marginally over the same period – by roughly two percent – but remain significant, at approximately 10,000 MW hours.  </w:t>
      </w:r>
    </w:p>
    <w:p>
      <w:pPr>
        <w:pStyle w:val="Normal"/>
        <w:jc w:val="both"/>
        <w:rPr>
          <w:sz w:val="22"/>
        </w:rPr>
      </w:pPr>
      <w:r>
        <w:rPr>
          <w:sz w:val="22"/>
        </w:rPr>
      </w:r>
    </w:p>
    <w:p>
      <w:pPr>
        <w:pStyle w:val="Normal"/>
        <w:jc w:val="both"/>
        <w:rPr>
          <w:sz w:val="22"/>
        </w:rPr>
      </w:pPr>
      <w:r>
        <w:rPr>
          <w:sz w:val="22"/>
        </w:rPr>
        <w:t>Reasons behind the annual change in Canada-US electricity trade provide a useful insight into the extent to which North America’s electricity markets are already interdependent.  These factors include the increase in natural gas prices in both markets; low precipitation in the Pacific North West; and the supply crisis in California.  Electricity prices for sale in the Pacific Northwest and California between 1999 and 2000 fluctuated by  more than 1000 percent. One insight into the extent of recent price volatility during the 1999-2000 period is found in the fact that Canadian export revenues from electricity increased 111 percent, or C$2.1 billion.  (National Energy Board, Annual Report 2000)</w:t>
      </w:r>
    </w:p>
    <w:p>
      <w:pPr>
        <w:pStyle w:val="Normal"/>
        <w:jc w:val="both"/>
        <w:rPr>
          <w:sz w:val="22"/>
        </w:rPr>
      </w:pPr>
      <w:r>
        <w:rPr>
          <w:sz w:val="22"/>
        </w:rPr>
      </w:r>
    </w:p>
    <w:p>
      <w:pPr>
        <w:pStyle w:val="Normal"/>
        <w:jc w:val="both"/>
        <w:rPr>
          <w:sz w:val="22"/>
        </w:rPr>
      </w:pPr>
      <w:r>
        <w:rPr>
          <w:sz w:val="22"/>
        </w:rPr>
        <w:t xml:space="preserve">Electricity trade between Mexico and the United States is comparatively more limited, and reflects the limited transmission infrastructure and grid connections between the two countries.  Two main power exchange systems exist between the two countries: the first, comprised of two grid connections (Imperial Valley and Tijuana 1) links Baja-California and California.  In January 2001, Mexico commenced exporting 50 megawats (MW) of electricity through this grid.  The other main grid connection involves two connections, in Diablo and Azcarate.  Smaller grid capacity connections – approximately seven – exist between Mexico and the US.   </w:t>
      </w:r>
    </w:p>
    <w:p>
      <w:pPr>
        <w:pStyle w:val="Normal"/>
        <w:jc w:val="both"/>
        <w:rPr>
          <w:sz w:val="22"/>
        </w:rPr>
      </w:pPr>
      <w:r>
        <w:rPr>
          <w:sz w:val="22"/>
        </w:rPr>
      </w:r>
    </w:p>
    <w:p>
      <w:pPr>
        <w:pStyle w:val="Normal"/>
        <w:jc w:val="both"/>
        <w:rPr/>
      </w:pPr>
      <w:r>
        <w:rPr>
          <w:sz w:val="22"/>
        </w:rPr>
        <w:t>The extent to which environmental quality and/or policy will affect and be affected by the expansion and integration of the transmission grid will be an important part of the Article 13 analysis.  It is assumed that an expansion in international trade and comprehensive market integration will rely on an expansion and synchronization of the grid.  Already, increased demand upon transmission networks has led to congestion problems, which may in turn affect price.  Some studies suggest that this congestion will increase in the short-term, whereby potential cost-savings from restructuring-related efficiency gains have been offset by constraints on transmission</w:t>
      </w:r>
      <w:r>
        <w:rPr>
          <w:rStyle w:val="FootnoteCharacters"/>
          <w:rStyle w:val="FootnoteReference"/>
          <w:sz w:val="22"/>
        </w:rPr>
        <w:footnoteReference w:id="6"/>
      </w:r>
      <w:r>
        <w:rPr>
          <w:sz w:val="22"/>
        </w:rPr>
        <w:t xml:space="preserve">.  </w:t>
      </w:r>
    </w:p>
    <w:p>
      <w:pPr>
        <w:pStyle w:val="Normal"/>
        <w:jc w:val="both"/>
        <w:rPr>
          <w:sz w:val="22"/>
        </w:rPr>
      </w:pPr>
      <w:r>
        <w:rPr>
          <w:sz w:val="22"/>
        </w:rPr>
      </w:r>
    </w:p>
    <w:p>
      <w:pPr>
        <w:pStyle w:val="Normal"/>
        <w:jc w:val="both"/>
        <w:rPr/>
      </w:pPr>
      <w:r>
        <w:rPr>
          <w:sz w:val="22"/>
        </w:rPr>
        <w:t xml:space="preserve">In order to address increased trade in electricity, including the important issue of electricity power grid connections, the North American Electricity Reliability Council (NERC) has emerged as an important coordinating institution at the international level.  NERC represents a voluntary non-governmental agency, which is comprised of federal, provincial and state electricity systems; rural cooperatives; municipal entities; investor-owned utilities; independent power producers; and power marketers.   The Report of the US National Energy Policy Development Group, </w:t>
      </w:r>
      <w:r>
        <w:rPr>
          <w:i/>
          <w:sz w:val="22"/>
        </w:rPr>
        <w:t>National Energy Policy</w:t>
      </w:r>
      <w:r>
        <w:rPr>
          <w:sz w:val="22"/>
        </w:rPr>
        <w:t xml:space="preserve"> (May, 2001) notes that:</w:t>
      </w:r>
    </w:p>
    <w:p>
      <w:pPr>
        <w:pStyle w:val="Normal"/>
        <w:jc w:val="both"/>
        <w:rPr>
          <w:sz w:val="22"/>
        </w:rPr>
      </w:pPr>
      <w:r>
        <w:rPr>
          <w:sz w:val="22"/>
        </w:rPr>
      </w:r>
    </w:p>
    <w:p>
      <w:pPr>
        <w:pStyle w:val="Normal"/>
        <w:ind w:start="720" w:end="0"/>
        <w:jc w:val="both"/>
        <w:rPr>
          <w:sz w:val="22"/>
        </w:rPr>
      </w:pPr>
      <w:r>
        <w:rPr>
          <w:sz w:val="22"/>
        </w:rPr>
        <w:t>“</w:t>
      </w:r>
      <w:r>
        <w:rPr>
          <w:sz w:val="22"/>
        </w:rPr>
        <w:t xml:space="preserve">The reliability of the North American electricity grid can be enhanced yet further through close coordination and compatible regulatory and jurisdictional approaches.” </w:t>
      </w:r>
    </w:p>
    <w:p>
      <w:pPr>
        <w:pStyle w:val="Normal"/>
        <w:jc w:val="both"/>
        <w:rPr>
          <w:sz w:val="22"/>
        </w:rPr>
      </w:pPr>
      <w:r>
        <w:rPr>
          <w:sz w:val="22"/>
        </w:rPr>
      </w:r>
    </w:p>
    <w:p>
      <w:pPr>
        <w:pStyle w:val="Normal"/>
        <w:jc w:val="both"/>
        <w:rPr/>
      </w:pPr>
      <w:r>
        <w:rPr>
          <w:sz w:val="22"/>
        </w:rPr>
        <w:t>A further factor likely to affect future trade in electricity in North America is the NAFTA itself. The NAFTA</w:t>
      </w:r>
      <w:r>
        <w:rPr>
          <w:rStyle w:val="FootnoteCharacters"/>
          <w:rStyle w:val="FootnoteReference"/>
          <w:sz w:val="22"/>
        </w:rPr>
        <w:footnoteReference w:id="7"/>
      </w:r>
      <w:r>
        <w:rPr>
          <w:sz w:val="22"/>
        </w:rPr>
        <w:t xml:space="preserve"> Chapter Six: Energy and Basic Petrochemicals notes, in its Principles, that the:</w:t>
      </w:r>
    </w:p>
    <w:p>
      <w:pPr>
        <w:pStyle w:val="Normal"/>
        <w:jc w:val="both"/>
        <w:rPr>
          <w:sz w:val="22"/>
        </w:rPr>
      </w:pPr>
      <w:r>
        <w:rPr>
          <w:sz w:val="22"/>
        </w:rPr>
      </w:r>
    </w:p>
    <w:p>
      <w:pPr>
        <w:pStyle w:val="Normal"/>
        <w:ind w:start="720" w:end="0"/>
        <w:jc w:val="both"/>
        <w:rPr>
          <w:sz w:val="22"/>
        </w:rPr>
      </w:pPr>
      <w:r>
        <w:rPr>
          <w:sz w:val="22"/>
        </w:rPr>
        <w:t>“…</w:t>
      </w:r>
      <w:r>
        <w:rPr>
          <w:sz w:val="22"/>
        </w:rPr>
        <w:t>Parties recognize that it is desirable to strengthen the important role that trade in energy and basic petrochemical goods plays in the free trade area and to enhance this role through sustained and gradual liberalization.”</w:t>
      </w:r>
    </w:p>
    <w:p>
      <w:pPr>
        <w:pStyle w:val="Normal"/>
        <w:jc w:val="both"/>
        <w:rPr>
          <w:sz w:val="22"/>
        </w:rPr>
      </w:pPr>
      <w:r>
        <w:rPr>
          <w:sz w:val="22"/>
        </w:rPr>
      </w:r>
    </w:p>
    <w:p>
      <w:pPr>
        <w:pStyle w:val="Normal"/>
        <w:jc w:val="both"/>
        <w:rPr/>
      </w:pPr>
      <w:r>
        <w:rPr>
          <w:sz w:val="22"/>
        </w:rPr>
        <w:t>The Scope and Coverage of Chapter Six applies both to energy goods, and to “measures relating to investment and to the cross-border trade in services associated with such goods.”  Included in Chapter Six -- under the Harmonized System 2716.00.00 – is Electrical Energy</w:t>
      </w:r>
      <w:r>
        <w:rPr>
          <w:rStyle w:val="FootnoteCharacters"/>
          <w:rStyle w:val="FootnoteReference"/>
          <w:sz w:val="22"/>
        </w:rPr>
        <w:footnoteReference w:id="8"/>
      </w:r>
      <w:r>
        <w:rPr>
          <w:sz w:val="22"/>
        </w:rPr>
        <w:t xml:space="preserve">.  </w:t>
      </w:r>
    </w:p>
    <w:p>
      <w:pPr>
        <w:pStyle w:val="Normal"/>
        <w:jc w:val="both"/>
        <w:rPr>
          <w:sz w:val="22"/>
        </w:rPr>
      </w:pPr>
      <w:r>
        <w:rPr>
          <w:sz w:val="22"/>
        </w:rPr>
      </w:r>
    </w:p>
    <w:p>
      <w:pPr>
        <w:pStyle w:val="Normal"/>
        <w:jc w:val="both"/>
        <w:rPr>
          <w:sz w:val="22"/>
        </w:rPr>
      </w:pPr>
      <w:r>
        <w:rPr>
          <w:sz w:val="22"/>
        </w:rPr>
        <w:t>NAFTA disciplines relating to the sector include the prohibiting or constraining of (a) import and export restrictions; (b) the prohibition of export taxes; and (c) the prohibition of other export measures.  There are several important exceptions to these and other disciplines contained in NAFTA Chapter Six, including for example Annex 602.3, sub-paragraph c):</w:t>
      </w:r>
    </w:p>
    <w:p>
      <w:pPr>
        <w:pStyle w:val="Normal"/>
        <w:jc w:val="both"/>
        <w:rPr>
          <w:sz w:val="22"/>
        </w:rPr>
      </w:pPr>
      <w:r>
        <w:rPr>
          <w:sz w:val="22"/>
        </w:rPr>
      </w:r>
    </w:p>
    <w:p>
      <w:pPr>
        <w:pStyle w:val="Normal"/>
        <w:ind w:start="720" w:end="0"/>
        <w:jc w:val="both"/>
        <w:rPr>
          <w:sz w:val="22"/>
        </w:rPr>
      </w:pPr>
      <w:r>
        <w:rPr>
          <w:sz w:val="22"/>
        </w:rPr>
        <w:t>“</w:t>
      </w:r>
      <w:r>
        <w:rPr>
          <w:sz w:val="22"/>
        </w:rPr>
        <w:t xml:space="preserve">the supply of electricity as a public service in Mexico, including, except as provided in paragraph 5, the generation, transmission, transformation, distribution and sale of electricity…” </w:t>
      </w:r>
    </w:p>
    <w:p>
      <w:pPr>
        <w:pStyle w:val="Normal"/>
        <w:jc w:val="both"/>
        <w:rPr>
          <w:sz w:val="22"/>
        </w:rPr>
      </w:pPr>
      <w:r>
        <w:rPr>
          <w:sz w:val="22"/>
        </w:rPr>
      </w:r>
    </w:p>
    <w:p>
      <w:pPr>
        <w:pStyle w:val="Normal"/>
        <w:jc w:val="both"/>
        <w:rPr>
          <w:sz w:val="22"/>
        </w:rPr>
      </w:pPr>
      <w:r>
        <w:rPr>
          <w:sz w:val="22"/>
        </w:rPr>
        <w:t xml:space="preserve">Among the areas to be examined is whether NAFTA obligations are likely to influence the evolving North American electricity market.  For example, tariff levels relating to HS 2716.00.00 for Canada and the United States were zero prior to NAFTA, while Mexico’s 10 percent tariff rate was phased-out (under Staging Category B) in 1998.  One assumption is that tariff-related effects of NAFTA on trade in electricity have been marginal. (At the same time, price suppressing effects related to domestic subsidies fall outside of the scope of Chapter Six.) </w:t>
      </w:r>
    </w:p>
    <w:p>
      <w:pPr>
        <w:pStyle w:val="Normal"/>
        <w:jc w:val="both"/>
        <w:rPr>
          <w:sz w:val="22"/>
        </w:rPr>
      </w:pPr>
      <w:r>
        <w:rPr>
          <w:sz w:val="22"/>
        </w:rPr>
      </w:r>
    </w:p>
    <w:p>
      <w:pPr>
        <w:pStyle w:val="Normal"/>
        <w:jc w:val="both"/>
        <w:rPr>
          <w:sz w:val="22"/>
        </w:rPr>
      </w:pPr>
      <w:r>
        <w:rPr>
          <w:sz w:val="22"/>
        </w:rPr>
        <w:t xml:space="preserve">However, at least three broad areas of NAFTA obligations, in addition to the pricing effects of NAFTA liberalization, will be examined.  The first relates to investment liberalization commitments contained in Chapter Six, and the definitional cross reference in that Chapter to NAFTA Chapter Eleven: Investment provisions (for example, the reference to Article 1139 in Article 609).  An important area of analysis related to NAFTA concerns environment-related investment disputes. </w:t>
      </w:r>
    </w:p>
    <w:p>
      <w:pPr>
        <w:pStyle w:val="Normal"/>
        <w:jc w:val="both"/>
        <w:rPr>
          <w:sz w:val="22"/>
        </w:rPr>
      </w:pPr>
      <w:r>
        <w:rPr>
          <w:sz w:val="22"/>
        </w:rPr>
      </w:r>
    </w:p>
    <w:p>
      <w:pPr>
        <w:pStyle w:val="Normal"/>
        <w:jc w:val="both"/>
        <w:rPr>
          <w:sz w:val="22"/>
        </w:rPr>
      </w:pPr>
      <w:r>
        <w:rPr>
          <w:sz w:val="22"/>
        </w:rPr>
        <w:t xml:space="preserve">The second area of analysis related to NAFTA will focus on efforts or expressions of interest by various sub-federal North American jurisdictions to condition the access of electric power, based on the environmental characteristics of power generation.  That is, some sub-federal jurisdictions in North America have indicated that market access for electricity from generating sources outside of that jurisdiction may be conditioned by differences between fuel type used in generation – for example coal versus nuclear – as well as by differences within fuel type used – for example clean coal versus dirty coal or small-scale hydro-electric versus large-scale hydroelectric.  </w:t>
      </w:r>
    </w:p>
    <w:p>
      <w:pPr>
        <w:pStyle w:val="Normal"/>
        <w:jc w:val="both"/>
        <w:rPr>
          <w:sz w:val="22"/>
        </w:rPr>
      </w:pPr>
      <w:r>
        <w:rPr>
          <w:sz w:val="22"/>
        </w:rPr>
      </w:r>
    </w:p>
    <w:p>
      <w:pPr>
        <w:pStyle w:val="Normal"/>
        <w:jc w:val="both"/>
        <w:rPr>
          <w:sz w:val="22"/>
        </w:rPr>
      </w:pPr>
      <w:r>
        <w:rPr>
          <w:sz w:val="22"/>
        </w:rPr>
        <w:t>NAFTA Chapter Six appears to prohibit the use of import or export restrictions, under Chapter Six.  Without providing an interpretation of these or any other NAFTA or other trade law requirements, the Report will examine whether hypothetical moves to condition access to a North American grid based on environmental performance or technology-related standards would raise  NAFTA issues.  For example, it is worth noting that among the exceptions contained in Chapter Six include reference to GATT Article XX(g) in Article 605: Other Export Measures.</w:t>
      </w:r>
    </w:p>
    <w:p>
      <w:pPr>
        <w:pStyle w:val="Normal"/>
        <w:jc w:val="both"/>
        <w:rPr>
          <w:sz w:val="22"/>
        </w:rPr>
      </w:pPr>
      <w:r>
        <w:rPr>
          <w:sz w:val="22"/>
        </w:rPr>
      </w:r>
    </w:p>
    <w:p>
      <w:pPr>
        <w:pStyle w:val="Normal"/>
        <w:jc w:val="both"/>
        <w:rPr>
          <w:sz w:val="22"/>
        </w:rPr>
      </w:pPr>
      <w:r>
        <w:rPr>
          <w:sz w:val="22"/>
        </w:rPr>
        <w:t xml:space="preserve">The third area of analysis will examine the extent to which trade in electricity-related goods – including trade in cleaner generating technologies and consumer-end energy efficient products – may be affected by NAFTA provisions. </w:t>
      </w:r>
    </w:p>
    <w:p>
      <w:pPr>
        <w:pStyle w:val="Normal"/>
        <w:jc w:val="both"/>
        <w:rPr>
          <w:sz w:val="22"/>
        </w:rPr>
      </w:pPr>
      <w:r>
        <w:rPr>
          <w:sz w:val="22"/>
        </w:rPr>
      </w:r>
    </w:p>
    <w:p>
      <w:pPr>
        <w:pStyle w:val="Heading3"/>
        <w:ind w:hanging="0" w:start="0"/>
        <w:jc w:val="both"/>
        <w:rPr/>
      </w:pPr>
      <w:r>
        <w:rPr/>
        <w:t>Part B:</w:t>
      </w:r>
    </w:p>
    <w:p>
      <w:pPr>
        <w:pStyle w:val="Heading3"/>
        <w:ind w:hanging="0" w:start="0"/>
        <w:jc w:val="both"/>
        <w:rPr/>
      </w:pPr>
      <w:r>
        <w:rPr/>
        <w:t>Policy Options</w:t>
      </w:r>
    </w:p>
    <w:p>
      <w:pPr>
        <w:pStyle w:val="Normal"/>
        <w:jc w:val="both"/>
        <w:rPr>
          <w:sz w:val="22"/>
        </w:rPr>
      </w:pPr>
      <w:r>
        <w:rPr>
          <w:sz w:val="22"/>
        </w:rPr>
      </w:r>
    </w:p>
    <w:p>
      <w:pPr>
        <w:pStyle w:val="Normal"/>
        <w:jc w:val="both"/>
        <w:rPr>
          <w:sz w:val="22"/>
        </w:rPr>
      </w:pPr>
      <w:r>
        <w:rPr>
          <w:sz w:val="22"/>
        </w:rPr>
        <w:t xml:space="preserve">The second part of the Article 13 Electricity Report will highlight a range of policy options, for consideration by governments, industry, consumer groups and others.  Options identified will depend on large measure on the findings of the Part A assessment work, together with input of the Advisory Board, the private sector, non-governmental organizations, and the public. </w:t>
      </w:r>
    </w:p>
    <w:p>
      <w:pPr>
        <w:pStyle w:val="Normal"/>
        <w:jc w:val="both"/>
        <w:rPr>
          <w:sz w:val="22"/>
        </w:rPr>
      </w:pPr>
      <w:r>
        <w:rPr>
          <w:sz w:val="22"/>
        </w:rPr>
      </w:r>
    </w:p>
    <w:p>
      <w:pPr>
        <w:pStyle w:val="Normal"/>
        <w:jc w:val="both"/>
        <w:rPr>
          <w:sz w:val="22"/>
        </w:rPr>
      </w:pPr>
      <w:r>
        <w:rPr>
          <w:sz w:val="22"/>
        </w:rPr>
        <w:t xml:space="preserve">However, the kind of policy cooperation that might be outlined in the Article 13 Electricity Report will draw upon the broad areas identified in the Quebec City, April 2001 statement of the leaders: </w:t>
      </w:r>
    </w:p>
    <w:p>
      <w:pPr>
        <w:pStyle w:val="Normal"/>
        <w:jc w:val="both"/>
        <w:rPr>
          <w:sz w:val="22"/>
        </w:rPr>
      </w:pPr>
      <w:r>
        <w:rPr>
          <w:sz w:val="22"/>
        </w:rPr>
      </w:r>
    </w:p>
    <w:p>
      <w:pPr>
        <w:pStyle w:val="Normal"/>
        <w:ind w:start="720" w:end="0"/>
        <w:jc w:val="both"/>
        <w:rPr>
          <w:sz w:val="22"/>
        </w:rPr>
      </w:pPr>
      <w:r>
        <w:rPr>
          <w:sz w:val="22"/>
        </w:rPr>
        <w:t>“</w:t>
      </w:r>
      <w:r>
        <w:rPr>
          <w:sz w:val="22"/>
        </w:rPr>
        <w:t xml:space="preserve">We stressed the importance of energy conservation, development of alternative energy sources, and our common commitment to addressing the environmental impacts of energy use.”   </w:t>
      </w:r>
    </w:p>
    <w:p>
      <w:pPr>
        <w:pStyle w:val="Normal"/>
        <w:jc w:val="both"/>
        <w:rPr>
          <w:sz w:val="22"/>
        </w:rPr>
      </w:pPr>
      <w:r>
        <w:rPr>
          <w:sz w:val="22"/>
        </w:rPr>
      </w:r>
    </w:p>
    <w:p>
      <w:pPr>
        <w:pStyle w:val="Normal"/>
        <w:jc w:val="both"/>
        <w:rPr>
          <w:sz w:val="22"/>
        </w:rPr>
      </w:pPr>
      <w:r>
        <w:rPr>
          <w:sz w:val="22"/>
        </w:rPr>
        <w:t>Pursuant to the reference to support a common commitment to address environmental impacts of energy use, one option that will be examined is to look at different mechanisms to undertake cooperative environmental assessments on a pilot basis.  For example, Article 10(7) of the NAAEC notes that the Parties may consider and develop recommendations with respect to:</w:t>
      </w:r>
    </w:p>
    <w:p>
      <w:pPr>
        <w:pStyle w:val="Normal"/>
        <w:jc w:val="both"/>
        <w:rPr>
          <w:sz w:val="22"/>
        </w:rPr>
      </w:pPr>
      <w:r>
        <w:rPr>
          <w:sz w:val="22"/>
        </w:rPr>
      </w:r>
    </w:p>
    <w:p>
      <w:pPr>
        <w:pStyle w:val="Normal"/>
        <w:ind w:hanging="360" w:start="360" w:end="0"/>
        <w:jc w:val="both"/>
        <w:rPr>
          <w:sz w:val="22"/>
        </w:rPr>
      </w:pPr>
      <w:r>
        <w:rPr>
          <w:sz w:val="22"/>
        </w:rPr>
        <w:t>“</w:t>
      </w:r>
      <w:r>
        <w:rPr>
          <w:sz w:val="22"/>
        </w:rPr>
        <w:t>(a)</w:t>
        <w:tab/>
        <w:t>assessing the environmental impact of proposed projects subject to decisions by a competent authority and likely to cause significant adverse transboundary effects, including a full evaluation of comments provided by other Parties and persons of other Parties;</w:t>
      </w:r>
    </w:p>
    <w:p>
      <w:pPr>
        <w:pStyle w:val="Normal"/>
        <w:numPr>
          <w:ilvl w:val="0"/>
          <w:numId w:val="4"/>
        </w:numPr>
        <w:jc w:val="both"/>
        <w:rPr>
          <w:sz w:val="22"/>
        </w:rPr>
      </w:pPr>
      <w:r>
        <w:rPr>
          <w:sz w:val="22"/>
        </w:rPr>
        <w:t>notification, provision of relevant information and consultation between Parties with respect to such projects; and</w:t>
      </w:r>
    </w:p>
    <w:p>
      <w:pPr>
        <w:pStyle w:val="Normal"/>
        <w:numPr>
          <w:ilvl w:val="0"/>
          <w:numId w:val="4"/>
        </w:numPr>
        <w:jc w:val="both"/>
        <w:rPr>
          <w:sz w:val="22"/>
        </w:rPr>
      </w:pPr>
      <w:r>
        <w:rPr>
          <w:sz w:val="22"/>
        </w:rPr>
        <w:t>mitigation of the potential adverse effects of such projects.”</w:t>
      </w:r>
    </w:p>
    <w:p>
      <w:pPr>
        <w:pStyle w:val="Normal"/>
        <w:jc w:val="both"/>
        <w:rPr>
          <w:sz w:val="22"/>
        </w:rPr>
      </w:pPr>
      <w:r>
        <w:rPr>
          <w:sz w:val="22"/>
        </w:rPr>
      </w:r>
    </w:p>
    <w:p>
      <w:pPr>
        <w:pStyle w:val="Normal"/>
        <w:jc w:val="both"/>
        <w:rPr>
          <w:sz w:val="22"/>
        </w:rPr>
      </w:pPr>
      <w:r>
        <w:rPr>
          <w:sz w:val="22"/>
        </w:rPr>
        <w:t xml:space="preserve">Among the options identified by the Parties in their work on a draft Transboundary Environmental Impact Agreement is to promote, on a pilot project basis, the exchange of information between jurisdictions based on a “good neighbor” approach.  Given the importance of the siting, generation and transmission of electricity to environmental problems, the Parties may wish to consider some aspects of the NAAEC Article 10(7) provisions. </w:t>
      </w:r>
    </w:p>
    <w:p>
      <w:pPr>
        <w:pStyle w:val="Normal"/>
        <w:jc w:val="both"/>
        <w:rPr>
          <w:sz w:val="22"/>
        </w:rPr>
      </w:pPr>
      <w:r>
        <w:rPr>
          <w:sz w:val="22"/>
        </w:rPr>
      </w:r>
    </w:p>
    <w:p>
      <w:pPr>
        <w:pStyle w:val="Normal"/>
        <w:jc w:val="both"/>
        <w:rPr>
          <w:sz w:val="22"/>
        </w:rPr>
      </w:pPr>
      <w:r>
        <w:rPr>
          <w:sz w:val="22"/>
        </w:rPr>
        <w:t xml:space="preserve">Other areas of policy cooperation to be considered in the Article 13 Electricity Report will center around the issue of data comparability, in support of improved environmental assessment work.  Examples of data comparability already in the CEC work plan and of direct relevance to electricity-related environmental assessments include </w:t>
      </w:r>
    </w:p>
    <w:p>
      <w:pPr>
        <w:pStyle w:val="Normal"/>
        <w:jc w:val="both"/>
        <w:rPr>
          <w:sz w:val="22"/>
        </w:rPr>
      </w:pPr>
      <w:r>
        <w:rPr>
          <w:sz w:val="22"/>
        </w:rPr>
      </w:r>
    </w:p>
    <w:p>
      <w:pPr>
        <w:pStyle w:val="Normal"/>
        <w:numPr>
          <w:ilvl w:val="0"/>
          <w:numId w:val="6"/>
        </w:numPr>
        <w:jc w:val="both"/>
        <w:rPr>
          <w:sz w:val="22"/>
        </w:rPr>
      </w:pPr>
      <w:r>
        <w:rPr>
          <w:sz w:val="22"/>
        </w:rPr>
        <w:t>Progress in developing a North American criteria emissions inventory</w:t>
      </w:r>
    </w:p>
    <w:p>
      <w:pPr>
        <w:pStyle w:val="Normal"/>
        <w:numPr>
          <w:ilvl w:val="0"/>
          <w:numId w:val="6"/>
        </w:numPr>
        <w:jc w:val="both"/>
        <w:rPr>
          <w:sz w:val="22"/>
        </w:rPr>
      </w:pPr>
      <w:r>
        <w:rPr>
          <w:sz w:val="22"/>
        </w:rPr>
        <w:t xml:space="preserve">Progress in including toxic release information from utilities from the three parties.  (The 2001 Taking Stock report, to be released in mid-summer, will include for the first time TRI data from the utilities sector); </w:t>
      </w:r>
    </w:p>
    <w:p>
      <w:pPr>
        <w:pStyle w:val="Normal"/>
        <w:numPr>
          <w:ilvl w:val="0"/>
          <w:numId w:val="6"/>
        </w:numPr>
        <w:jc w:val="both"/>
        <w:rPr>
          <w:sz w:val="22"/>
        </w:rPr>
      </w:pPr>
      <w:r>
        <w:rPr>
          <w:sz w:val="22"/>
        </w:rPr>
        <w:t>Mercury reporting</w:t>
      </w:r>
    </w:p>
    <w:p>
      <w:pPr>
        <w:pStyle w:val="Normal"/>
        <w:jc w:val="both"/>
        <w:rPr>
          <w:sz w:val="22"/>
        </w:rPr>
      </w:pPr>
      <w:r>
        <w:rPr>
          <w:sz w:val="22"/>
        </w:rPr>
      </w:r>
    </w:p>
    <w:p>
      <w:pPr>
        <w:pStyle w:val="Normal"/>
        <w:jc w:val="both"/>
        <w:rPr>
          <w:sz w:val="22"/>
        </w:rPr>
      </w:pPr>
      <w:r>
        <w:rPr>
          <w:sz w:val="22"/>
        </w:rPr>
        <w:t xml:space="preserve">On the environmental policy side, among the option to be examined in the Article 13 Electricity Report will include: </w:t>
      </w:r>
    </w:p>
    <w:p>
      <w:pPr>
        <w:pStyle w:val="Normal"/>
        <w:jc w:val="both"/>
        <w:rPr>
          <w:sz w:val="22"/>
        </w:rPr>
      </w:pPr>
      <w:r>
        <w:rPr>
          <w:sz w:val="22"/>
        </w:rPr>
      </w:r>
    </w:p>
    <w:p>
      <w:pPr>
        <w:pStyle w:val="Normal"/>
        <w:numPr>
          <w:ilvl w:val="0"/>
          <w:numId w:val="5"/>
        </w:numPr>
        <w:jc w:val="both"/>
        <w:rPr>
          <w:sz w:val="22"/>
        </w:rPr>
      </w:pPr>
      <w:r>
        <w:rPr>
          <w:sz w:val="22"/>
        </w:rPr>
        <w:t xml:space="preserve">The creation of a clearing-house mechanism to support better information exchange among the Parties, the private sector, investors and consumers on clean generating technologies; </w:t>
      </w:r>
    </w:p>
    <w:p>
      <w:pPr>
        <w:pStyle w:val="Normal"/>
        <w:numPr>
          <w:ilvl w:val="0"/>
          <w:numId w:val="5"/>
        </w:numPr>
        <w:jc w:val="both"/>
        <w:rPr>
          <w:sz w:val="22"/>
        </w:rPr>
      </w:pPr>
      <w:r>
        <w:rPr>
          <w:sz w:val="22"/>
        </w:rPr>
        <w:t xml:space="preserve">Providing a mechanism to share information on research and development strategies to increase energy conservation, and increase the share of renewable energy. </w:t>
      </w:r>
    </w:p>
    <w:p>
      <w:pPr>
        <w:pStyle w:val="Normal"/>
        <w:numPr>
          <w:ilvl w:val="0"/>
          <w:numId w:val="5"/>
        </w:numPr>
        <w:jc w:val="both"/>
        <w:rPr>
          <w:sz w:val="22"/>
        </w:rPr>
      </w:pPr>
      <w:r>
        <w:rPr>
          <w:sz w:val="22"/>
        </w:rPr>
        <w:t xml:space="preserve">In support of transparency goals, the CEC data-base on Green goods and Services includes information on office products, including criteria information on energy-efficiency related standards in North America;  </w:t>
      </w:r>
    </w:p>
    <w:p>
      <w:pPr>
        <w:pStyle w:val="Normal"/>
        <w:numPr>
          <w:ilvl w:val="0"/>
          <w:numId w:val="5"/>
        </w:numPr>
        <w:jc w:val="both"/>
        <w:rPr>
          <w:sz w:val="22"/>
        </w:rPr>
      </w:pPr>
      <w:r>
        <w:rPr>
          <w:sz w:val="22"/>
        </w:rPr>
        <w:t xml:space="preserve">Providing a means to ensure the comparability of definitions and supporting criteria related to renewable energy definitions and renewable portfolio standards.  The CEC data-base on Electricity has compiled all information related to actual or pending restructuring, and in which Renewable Portfolio Standards play a role;  </w:t>
      </w:r>
    </w:p>
    <w:p>
      <w:pPr>
        <w:pStyle w:val="Normal"/>
        <w:numPr>
          <w:ilvl w:val="0"/>
          <w:numId w:val="5"/>
        </w:numPr>
        <w:jc w:val="both"/>
        <w:rPr>
          <w:sz w:val="22"/>
        </w:rPr>
      </w:pPr>
      <w:r>
        <w:rPr>
          <w:sz w:val="22"/>
        </w:rPr>
        <w:t>Developing over the long term -- with federal, sub-federal, independent producers and others – a harmonized definitions for renewable energy standards;</w:t>
      </w:r>
    </w:p>
    <w:p>
      <w:pPr>
        <w:pStyle w:val="Normal"/>
        <w:numPr>
          <w:ilvl w:val="0"/>
          <w:numId w:val="5"/>
        </w:numPr>
        <w:jc w:val="both"/>
        <w:rPr>
          <w:sz w:val="22"/>
        </w:rPr>
      </w:pPr>
      <w:r>
        <w:rPr>
          <w:sz w:val="22"/>
        </w:rPr>
        <w:t>Identifying other tools to promote high standards of environmental health and protection, including incentives and other market-based approaches.</w:t>
      </w:r>
    </w:p>
    <w:p>
      <w:pPr>
        <w:pStyle w:val="Normal"/>
        <w:jc w:val="both"/>
        <w:rPr>
          <w:sz w:val="22"/>
        </w:rPr>
      </w:pPr>
      <w:r>
        <w:rPr>
          <w:sz w:val="22"/>
        </w:rPr>
        <w:t xml:space="preserve">  </w:t>
      </w:r>
    </w:p>
    <w:p>
      <w:pPr>
        <w:pStyle w:val="Normal"/>
        <w:jc w:val="both"/>
        <w:rPr>
          <w:sz w:val="22"/>
        </w:rPr>
      </w:pPr>
      <w:r>
        <w:rPr>
          <w:sz w:val="22"/>
        </w:rPr>
      </w:r>
    </w:p>
    <w:p>
      <w:pPr>
        <w:pStyle w:val="Normal"/>
        <w:jc w:val="both"/>
        <w:rPr>
          <w:sz w:val="22"/>
        </w:rPr>
      </w:pPr>
      <w:r>
        <w:rPr>
          <w:sz w:val="22"/>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 xml:space="preserve">Inquiries related to the Advisory Board and Symposium should be directed to the Director of program, CEC Secretariat; inquiries related to the preparation of the Article 13 Electricity Report should be directed to the Head, Environment, Economy and Trade, CEC Secretariat. </w:t>
      </w:r>
    </w:p>
  </w:footnote>
  <w:footnote w:id="3">
    <w:p>
      <w:pPr>
        <w:pStyle w:val="FootnoteText"/>
        <w:rPr/>
      </w:pPr>
      <w:r>
        <w:rPr>
          <w:rStyle w:val="FootnoteCharacters"/>
        </w:rPr>
        <w:footnoteRef/>
      </w:r>
      <w:r>
        <w:rPr>
          <w:sz w:val="18"/>
        </w:rPr>
        <w:t xml:space="preserve"> </w:t>
      </w:r>
      <w:r>
        <w:rPr>
          <w:sz w:val="18"/>
        </w:rPr>
        <w:t xml:space="preserve">In addition to Leader’s Statement stressing trilateral cooperation, bilateral cooperation on energy matters has been underway for sometime.  One illustration is cooperation between the U.S. Federal Energy Regulatory Commission (FERC) and the Canadian National Energy Board (NEB) on the rules by which Canadian utilities can become part of the Regional Transmission Groups of the U.S.  Another example of bilateral cooperation is found in the Canada-Mexico Letter of Intent for Cooperation in Natural Resources.  That Letter acknowledges the importance of “working together in dealing with common concerns about the sustainable development of natural resources.”  Among the areas of common interest identified in the Letter include energy efficiency, alternative energy supply, air quality, watershed and groundwater management. </w:t>
      </w:r>
    </w:p>
  </w:footnote>
  <w:footnote w:id="4">
    <w:p>
      <w:pPr>
        <w:pStyle w:val="FootnoteText"/>
        <w:rPr/>
      </w:pPr>
      <w:r>
        <w:rPr>
          <w:rStyle w:val="FootnoteCharacters"/>
        </w:rPr>
        <w:footnoteRef/>
      </w:r>
      <w:r>
        <w:rPr>
          <w:sz w:val="18"/>
        </w:rPr>
        <w:t xml:space="preserve"> </w:t>
      </w:r>
      <w:r>
        <w:rPr>
          <w:sz w:val="18"/>
        </w:rPr>
        <w:t xml:space="preserve">Sectoral studies of relevance to the Article 13 Electricity report assessment work undertaken by the CEC included the analysis of the environmental effects of Canada-US trade in electricity (2000/2001), and “Electricity in Canada, Mexico and the United States: Some Environmental Implications of the NAFTA,” CEC, Montreal, 1999.  </w:t>
      </w:r>
    </w:p>
  </w:footnote>
  <w:footnote w:id="5">
    <w:p>
      <w:pPr>
        <w:pStyle w:val="FootnoteText"/>
        <w:rPr/>
      </w:pPr>
      <w:r>
        <w:rPr>
          <w:rStyle w:val="FootnoteCharacters"/>
        </w:rPr>
        <w:footnoteRef/>
      </w:r>
      <w:r>
        <w:rPr>
          <w:sz w:val="18"/>
        </w:rPr>
        <w:t xml:space="preserve"> </w:t>
      </w:r>
      <w:r>
        <w:rPr>
          <w:sz w:val="18"/>
        </w:rPr>
        <w:t>The Electric Power Research Institute has noted that inadequate water supplies will limit energy development nationally by 2038.  Cited in David Rohy, “The Interdependence of Water and Energy in the U.S.-Mexico Border Region,” Presented at the Border Institute III Conference, Rio Rico, 30 April, 2001.</w:t>
      </w:r>
    </w:p>
  </w:footnote>
  <w:footnote w:id="6">
    <w:p>
      <w:pPr>
        <w:pStyle w:val="FootnoteText"/>
        <w:rPr/>
      </w:pPr>
      <w:r>
        <w:rPr>
          <w:rStyle w:val="FootnoteCharacters"/>
        </w:rPr>
        <w:footnoteRef/>
      </w:r>
      <w:r>
        <w:rPr>
          <w:sz w:val="18"/>
        </w:rPr>
        <w:t xml:space="preserve"> </w:t>
      </w:r>
      <w:r>
        <w:rPr>
          <w:sz w:val="18"/>
        </w:rPr>
        <w:t xml:space="preserve">For example, a 1998 study of the New England Power Pool (NEPOOL) found that imports of potentially less expensive electricity from Canada were limited by NEPOOL’s inability to maintain acceptable voltage levels.  Energy Information Administration, “An Exploration of Network Modeling: The Case of NEPOOL,” Issues in Midterm Analysis and Forecasting 1998, US Department of Energy/EIA-060 (98), Washington. </w:t>
      </w:r>
    </w:p>
  </w:footnote>
  <w:footnote w:id="7">
    <w:p>
      <w:pPr>
        <w:pStyle w:val="FootnoteText"/>
        <w:rPr/>
      </w:pPr>
      <w:r>
        <w:rPr>
          <w:rStyle w:val="FootnoteCharacters"/>
        </w:rPr>
        <w:footnoteRef/>
      </w:r>
      <w:r>
        <w:rPr>
          <w:sz w:val="18"/>
        </w:rPr>
        <w:t xml:space="preserve"> </w:t>
      </w:r>
      <w:r>
        <w:rPr>
          <w:sz w:val="18"/>
        </w:rPr>
        <w:t xml:space="preserve">References to NAFTA, NAAEC or any other agreements in this Note are not intended to comprehensive or interpretive, but are contained for information purposes only. </w:t>
      </w:r>
    </w:p>
  </w:footnote>
  <w:footnote w:id="8">
    <w:p>
      <w:pPr>
        <w:pStyle w:val="FootnoteText"/>
        <w:rPr/>
      </w:pPr>
      <w:r>
        <w:rPr>
          <w:rStyle w:val="FootnoteCharacters"/>
        </w:rPr>
        <w:footnoteRef/>
      </w:r>
      <w:r>
        <w:rPr>
          <w:sz w:val="18"/>
        </w:rPr>
        <w:t xml:space="preserve"> </w:t>
      </w:r>
      <w:r>
        <w:rPr>
          <w:sz w:val="18"/>
        </w:rPr>
        <w:t xml:space="preserve">The staging category of HS 2716.00.00 for Canada and the US is “D” (shall continue to receive duty-free treatment), with a free base rate.  Mexico’s schedule for 2716.00.00 is staging category B, with a 10 percent duty phased-out by 1998.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1"/>
      <w:numFmt w:val="lowerLetter"/>
      <w:lvlText w:val="(%1)"/>
      <w:lvlJc w:val="start"/>
      <w:pPr>
        <w:tabs>
          <w:tab w:val="num" w:pos="360"/>
        </w:tabs>
        <w:ind w:start="360" w:hanging="360"/>
      </w:pPr>
      <w:r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decimal"/>
      <w:lvlText w:val="%1."/>
      <w:lvlJc w:val="start"/>
      <w:pPr>
        <w:tabs>
          <w:tab w:val="num" w:pos="720"/>
        </w:tabs>
        <w:ind w:start="720" w:hanging="72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outlineLvl w:val="1"/>
    </w:pPr>
    <w:rPr>
      <w:b/>
      <w:smallCaps/>
    </w:rPr>
  </w:style>
  <w:style w:type="paragraph" w:styleId="Heading3">
    <w:name w:val="heading 3"/>
    <w:basedOn w:val="Normal"/>
    <w:next w:val="Normal"/>
    <w:qFormat/>
    <w:pPr>
      <w:keepNext w:val="true"/>
      <w:numPr>
        <w:ilvl w:val="2"/>
        <w:numId w:val="1"/>
      </w:numPr>
      <w:outlineLvl w:val="2"/>
    </w:pPr>
    <w:rPr>
      <w:b/>
      <w:smallCaps/>
      <w:sz w:val="22"/>
    </w:rPr>
  </w:style>
  <w:style w:type="paragraph" w:styleId="Heading4">
    <w:name w:val="heading 4"/>
    <w:basedOn w:val="Normal"/>
    <w:next w:val="Normal"/>
    <w:qFormat/>
    <w:pPr>
      <w:keepNext w:val="true"/>
      <w:numPr>
        <w:ilvl w:val="3"/>
        <w:numId w:val="1"/>
      </w:numPr>
      <w:outlineLvl w:val="3"/>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2001-05-22T18:22:00Z</dcterms:created>
  <dc:creator>Scott Vaughan</dc:creator>
  <dc:description/>
  <dc:language>en-CA</dc:language>
  <cp:lastModifiedBy>Martine Veilleux</cp:lastModifiedBy>
  <cp:lastPrinted>2001-05-23T15:26:00Z</cp:lastPrinted>
  <dcterms:modified xsi:type="dcterms:W3CDTF">2001-05-23T17:49:00Z</dcterms:modified>
  <cp:revision>19</cp:revision>
  <dc:subject/>
  <dc:title>Interim Note:</dc:title>
</cp:coreProperties>
</file>