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18" w:type="dxa"/>
        <w:tblLayout w:type="fixed"/>
        <w:tblCellMar>
          <w:top w:w="0" w:type="dxa"/>
          <w:start w:w="108" w:type="dxa"/>
          <w:bottom w:w="0" w:type="dxa"/>
          <w:end w:w="108" w:type="dxa"/>
        </w:tblCellMar>
      </w:tblPr>
      <w:tblGrid>
        <w:gridCol w:w="1890"/>
        <w:gridCol w:w="7650"/>
      </w:tblGrid>
      <w:tr>
        <w:trPr/>
        <w:tc>
          <w:tcPr>
            <w:tcW w:w="1890" w:type="dxa"/>
            <w:tcBorders/>
          </w:tcPr>
          <w:p>
            <w:pPr>
              <w:pStyle w:val="Header"/>
              <w:tabs>
                <w:tab w:val="clear" w:pos="4320"/>
                <w:tab w:val="clear" w:pos="8640"/>
              </w:tabs>
              <w:spacing w:before="20" w:after="0"/>
              <w:rPr>
                <w:sz w:val="22"/>
              </w:rPr>
            </w:pPr>
            <w:r>
              <w:rPr>
                <w:sz w:val="22"/>
              </w:rPr>
              <w:drawing>
                <wp:inline distT="0" distB="0" distL="0" distR="0">
                  <wp:extent cx="837565" cy="831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37565" cy="831850"/>
                          </a:xfrm>
                          <a:prstGeom prst="rect">
                            <a:avLst/>
                          </a:prstGeom>
                          <a:noFill/>
                        </pic:spPr>
                      </pic:pic>
                    </a:graphicData>
                  </a:graphic>
                </wp:inline>
              </w:drawing>
            </w:r>
          </w:p>
        </w:tc>
        <w:tc>
          <w:tcPr>
            <w:tcW w:w="7650" w:type="dxa"/>
            <w:tcBorders/>
          </w:tcPr>
          <w:p>
            <w:pPr>
              <w:pStyle w:val="Normal"/>
              <w:snapToGrid w:val="false"/>
              <w:rPr>
                <w:b/>
                <w:sz w:val="22"/>
              </w:rPr>
            </w:pPr>
            <w:r>
              <w:rPr>
                <w:b/>
                <w:sz w:val="22"/>
              </w:rPr>
            </w:r>
          </w:p>
          <w:p>
            <w:pPr>
              <w:pStyle w:val="Heading4"/>
              <w:ind w:hanging="0" w:start="0"/>
              <w:rPr>
                <w:sz w:val="22"/>
              </w:rPr>
            </w:pPr>
            <w:r>
              <w:rPr>
                <w:sz w:val="22"/>
              </w:rPr>
              <w:t>INTEROFFICE MEMORANDUM</w:t>
            </w:r>
          </w:p>
          <w:p>
            <w:pPr>
              <w:pStyle w:val="Normal"/>
              <w:rPr>
                <w:b/>
                <w:sz w:val="22"/>
              </w:rPr>
            </w:pPr>
            <w:r>
              <w:rPr>
                <w:b/>
                <w:sz w:val="22"/>
              </w:rPr>
            </w:r>
          </w:p>
          <w:p>
            <w:pPr>
              <w:pStyle w:val="Normal"/>
              <w:rPr>
                <w:b/>
                <w:sz w:val="22"/>
              </w:rPr>
            </w:pPr>
            <w:r>
              <w:rPr>
                <w:b/>
                <w:sz w:val="22"/>
              </w:rPr>
            </w:r>
          </w:p>
        </w:tc>
      </w:tr>
    </w:tbl>
    <w:p>
      <w:pPr>
        <w:pStyle w:val="Normal"/>
        <w:pBdr>
          <w:top w:val="double" w:sz="12" w:space="1" w:color="000000"/>
        </w:pBdr>
        <w:spacing w:before="120" w:after="0"/>
        <w:jc w:val="center"/>
        <w:rPr>
          <w:b/>
          <w:sz w:val="22"/>
        </w:rPr>
      </w:pPr>
      <w:r>
        <w:rPr>
          <w:b/>
          <w:sz w:val="22"/>
        </w:rPr>
        <w:t>PRIVILEGED AND CONFIDENTIAL</w:t>
      </w:r>
    </w:p>
    <w:p>
      <w:pPr>
        <w:pStyle w:val="Normal"/>
        <w:pBdr>
          <w:top w:val="double" w:sz="12" w:space="1" w:color="000000"/>
        </w:pBdr>
        <w:jc w:val="center"/>
        <w:rPr>
          <w:b/>
          <w:sz w:val="22"/>
        </w:rPr>
      </w:pPr>
      <w:r>
        <w:rPr>
          <w:b/>
          <w:sz w:val="22"/>
        </w:rPr>
      </w:r>
    </w:p>
    <w:tbl>
      <w:tblPr>
        <w:tblW w:w="9738" w:type="dxa"/>
        <w:jc w:val="start"/>
        <w:tblInd w:w="0" w:type="dxa"/>
        <w:tblLayout w:type="fixed"/>
        <w:tblCellMar>
          <w:top w:w="0" w:type="dxa"/>
          <w:start w:w="108" w:type="dxa"/>
          <w:bottom w:w="0" w:type="dxa"/>
          <w:end w:w="108" w:type="dxa"/>
        </w:tblCellMar>
      </w:tblPr>
      <w:tblGrid>
        <w:gridCol w:w="1728"/>
        <w:gridCol w:w="4320"/>
        <w:gridCol w:w="3420"/>
        <w:gridCol w:w="270"/>
      </w:tblGrid>
      <w:tr>
        <w:trPr/>
        <w:tc>
          <w:tcPr>
            <w:tcW w:w="1728" w:type="dxa"/>
            <w:tcBorders/>
          </w:tcPr>
          <w:p>
            <w:pPr>
              <w:pStyle w:val="Normal"/>
              <w:spacing w:before="0" w:after="120"/>
              <w:jc w:val="both"/>
              <w:rPr>
                <w:sz w:val="22"/>
              </w:rPr>
            </w:pPr>
            <w:r>
              <w:rPr>
                <w:b/>
                <w:sz w:val="22"/>
              </w:rPr>
              <w:t>TO:</w:t>
            </w:r>
          </w:p>
        </w:tc>
        <w:tc>
          <w:tcPr>
            <w:tcW w:w="4320" w:type="dxa"/>
            <w:tcBorders/>
          </w:tcPr>
          <w:p>
            <w:pPr>
              <w:pStyle w:val="Normal"/>
              <w:jc w:val="both"/>
              <w:rPr>
                <w:sz w:val="22"/>
              </w:rPr>
            </w:pPr>
            <w:r>
              <w:rPr>
                <w:sz w:val="22"/>
              </w:rPr>
              <w:t>Distribution List</w:t>
            </w:r>
          </w:p>
        </w:tc>
        <w:tc>
          <w:tcPr>
            <w:tcW w:w="3420" w:type="dxa"/>
            <w:tcBorders/>
          </w:tcPr>
          <w:p>
            <w:pPr>
              <w:pStyle w:val="Normal"/>
              <w:spacing w:before="0" w:after="120"/>
              <w:jc w:val="both"/>
              <w:rPr/>
            </w:pPr>
            <w:r>
              <w:rPr>
                <w:b/>
                <w:sz w:val="22"/>
              </w:rPr>
              <w:t>DATE</w:t>
            </w:r>
            <w:r>
              <w:rPr>
                <w:bCs/>
                <w:sz w:val="22"/>
              </w:rPr>
              <w:t xml:space="preserve">   May 22, 2001</w:t>
            </w:r>
          </w:p>
        </w:tc>
        <w:tc>
          <w:tcPr>
            <w:tcW w:w="270" w:type="dxa"/>
            <w:tcBorders/>
          </w:tcPr>
          <w:p>
            <w:pPr>
              <w:pStyle w:val="Normal"/>
              <w:snapToGrid w:val="false"/>
              <w:spacing w:before="0" w:after="120"/>
              <w:jc w:val="both"/>
              <w:rPr>
                <w:bCs/>
                <w:sz w:val="22"/>
              </w:rPr>
            </w:pPr>
            <w:r>
              <w:rPr>
                <w:bCs/>
                <w:sz w:val="22"/>
              </w:rPr>
            </w:r>
          </w:p>
        </w:tc>
      </w:tr>
      <w:tr>
        <w:trPr>
          <w:trHeight w:val="432" w:hRule="atLeast"/>
        </w:trPr>
        <w:tc>
          <w:tcPr>
            <w:tcW w:w="1728" w:type="dxa"/>
            <w:tcBorders/>
          </w:tcPr>
          <w:p>
            <w:pPr>
              <w:pStyle w:val="Normal"/>
              <w:spacing w:before="120" w:after="240"/>
              <w:jc w:val="both"/>
              <w:rPr>
                <w:sz w:val="22"/>
              </w:rPr>
            </w:pPr>
            <w:r>
              <w:rPr>
                <w:b/>
                <w:sz w:val="22"/>
              </w:rPr>
              <w:t>FROM:</w:t>
            </w:r>
          </w:p>
        </w:tc>
        <w:tc>
          <w:tcPr>
            <w:tcW w:w="4320" w:type="dxa"/>
            <w:tcBorders/>
          </w:tcPr>
          <w:p>
            <w:pPr>
              <w:pStyle w:val="Normal"/>
              <w:jc w:val="both"/>
              <w:rPr>
                <w:sz w:val="22"/>
              </w:rPr>
            </w:pPr>
            <w:r>
              <w:rPr>
                <w:sz w:val="22"/>
              </w:rPr>
              <w:t>Heather Kroll</w:t>
            </w:r>
          </w:p>
          <w:p>
            <w:pPr>
              <w:pStyle w:val="Normal"/>
              <w:spacing w:before="0" w:after="120"/>
              <w:jc w:val="both"/>
              <w:rPr>
                <w:sz w:val="22"/>
              </w:rPr>
            </w:pPr>
            <w:r>
              <w:rPr>
                <w:sz w:val="22"/>
              </w:rPr>
              <w:t>Steve Van Hooser</w:t>
            </w:r>
          </w:p>
        </w:tc>
        <w:tc>
          <w:tcPr>
            <w:tcW w:w="3420" w:type="dxa"/>
            <w:tcBorders/>
          </w:tcPr>
          <w:p>
            <w:pPr>
              <w:pStyle w:val="Normal"/>
              <w:snapToGrid w:val="false"/>
              <w:spacing w:before="120" w:after="240"/>
              <w:jc w:val="both"/>
              <w:rPr>
                <w:b/>
                <w:sz w:val="22"/>
              </w:rPr>
            </w:pPr>
            <w:r>
              <w:rPr>
                <w:b/>
                <w:sz w:val="22"/>
              </w:rPr>
            </w:r>
          </w:p>
        </w:tc>
        <w:tc>
          <w:tcPr>
            <w:tcW w:w="270" w:type="dxa"/>
            <w:tcBorders/>
          </w:tcPr>
          <w:p>
            <w:pPr>
              <w:pStyle w:val="Normal"/>
              <w:snapToGrid w:val="false"/>
              <w:spacing w:before="120" w:after="240"/>
              <w:jc w:val="both"/>
              <w:rPr>
                <w:b/>
                <w:sz w:val="22"/>
              </w:rPr>
            </w:pPr>
            <w:r>
              <w:rPr>
                <w:b/>
                <w:sz w:val="22"/>
              </w:rPr>
            </w:r>
          </w:p>
        </w:tc>
      </w:tr>
      <w:tr>
        <w:trPr/>
        <w:tc>
          <w:tcPr>
            <w:tcW w:w="1728" w:type="dxa"/>
            <w:tcBorders/>
          </w:tcPr>
          <w:p>
            <w:pPr>
              <w:pStyle w:val="Normal"/>
              <w:spacing w:before="0" w:after="120"/>
              <w:jc w:val="both"/>
              <w:rPr>
                <w:sz w:val="22"/>
              </w:rPr>
            </w:pPr>
            <w:r>
              <w:rPr>
                <w:b/>
                <w:sz w:val="22"/>
              </w:rPr>
              <w:t>SUBJECT:</w:t>
            </w:r>
          </w:p>
        </w:tc>
        <w:tc>
          <w:tcPr>
            <w:tcW w:w="8010" w:type="dxa"/>
            <w:gridSpan w:val="3"/>
            <w:tcBorders/>
          </w:tcPr>
          <w:p>
            <w:pPr>
              <w:pStyle w:val="Normal"/>
              <w:rPr>
                <w:sz w:val="22"/>
              </w:rPr>
            </w:pPr>
            <w:r>
              <w:rPr>
                <w:sz w:val="22"/>
              </w:rPr>
              <w:t>North Carolina Power Holdings (“NCPH”) Securities Purchase Agreement dated as of May 16, 2001 (the “SPA”)</w:t>
            </w:r>
          </w:p>
        </w:tc>
      </w:tr>
    </w:tbl>
    <w:p>
      <w:pPr>
        <w:pStyle w:val="Normal"/>
        <w:pBdr>
          <w:bottom w:val="double" w:sz="12" w:space="1" w:color="000000"/>
        </w:pBdr>
        <w:rPr>
          <w:sz w:val="22"/>
        </w:rPr>
      </w:pPr>
      <w:r>
        <w:rPr>
          <w:sz w:val="22"/>
        </w:rPr>
      </w:r>
    </w:p>
    <w:p>
      <w:pPr>
        <w:pStyle w:val="Normal"/>
        <w:rPr>
          <w:sz w:val="22"/>
        </w:rPr>
      </w:pPr>
      <w:r>
        <w:rPr>
          <w:sz w:val="22"/>
        </w:rPr>
      </w:r>
    </w:p>
    <w:p>
      <w:pPr>
        <w:pStyle w:val="Normal"/>
        <w:spacing w:before="0" w:after="120"/>
        <w:ind w:firstLine="360" w:end="0"/>
        <w:jc w:val="both"/>
        <w:rPr/>
      </w:pPr>
      <w:r>
        <w:rPr>
          <w:sz w:val="22"/>
        </w:rPr>
        <w:t>A meeting has been scheduled for Tuesday, May 29, 2001 at 10:00 a.m. in conference room 38C1 on the 38</w:t>
      </w:r>
      <w:r>
        <w:rPr>
          <w:sz w:val="22"/>
          <w:vertAlign w:val="superscript"/>
        </w:rPr>
        <w:t>th</w:t>
      </w:r>
      <w:r>
        <w:rPr>
          <w:sz w:val="22"/>
        </w:rPr>
        <w:t xml:space="preserve"> floor to review the SPA’s various covenants that govern ENA’s ownership and operation of NCPH during the period between signing (May 16, 2001) and the Closing (currently expected to occur between June 18 and July 13, 2001).  Such period is referred to herein as the “Interim Period”.  In preparation for said meeting please review this Memo and the actual text of the relevant provisions of the SPA copy that was sent to you last Friday May 18, 2001.  If you need a copy of the SPA, please contact my Assistant, Rae Meadows, at 3-9282.</w:t>
      </w:r>
    </w:p>
    <w:p>
      <w:pPr>
        <w:pStyle w:val="Normal"/>
        <w:spacing w:before="0" w:after="120"/>
        <w:jc w:val="both"/>
        <w:rPr>
          <w:sz w:val="22"/>
        </w:rPr>
      </w:pPr>
      <w:r>
        <w:rPr>
          <w:sz w:val="22"/>
        </w:rPr>
        <w:t>The SPA’s Interim Period operating covenants are summarized below:</w:t>
      </w:r>
    </w:p>
    <w:p>
      <w:pPr>
        <w:pStyle w:val="Normal"/>
        <w:numPr>
          <w:ilvl w:val="0"/>
          <w:numId w:val="2"/>
        </w:numPr>
        <w:tabs>
          <w:tab w:val="clear" w:pos="720"/>
          <w:tab w:val="left" w:pos="540" w:leader="none"/>
        </w:tabs>
        <w:spacing w:before="0" w:after="120"/>
        <w:ind w:hanging="540" w:start="540" w:end="0"/>
        <w:jc w:val="both"/>
        <w:rPr>
          <w:sz w:val="22"/>
        </w:rPr>
      </w:pPr>
      <w:r>
        <w:rPr>
          <w:sz w:val="22"/>
        </w:rPr>
        <w:t>Generally, Article 7 of the SPA requires ENA to ensure that NCPH and its subsidiaries, Elizabethtown Power LLC and Lumberton Power LLC (collectively the “NCPH Companies”) do not make any material changes in the conduct of their business or operations.</w:t>
      </w:r>
    </w:p>
    <w:p>
      <w:pPr>
        <w:pStyle w:val="NormalIndent"/>
        <w:numPr>
          <w:ilvl w:val="0"/>
          <w:numId w:val="2"/>
        </w:numPr>
        <w:tabs>
          <w:tab w:val="clear" w:pos="720"/>
          <w:tab w:val="left" w:pos="540" w:leader="none"/>
        </w:tabs>
        <w:spacing w:before="0" w:after="120"/>
        <w:ind w:hanging="540" w:start="540" w:end="0"/>
        <w:jc w:val="both"/>
        <w:rPr>
          <w:sz w:val="22"/>
        </w:rPr>
      </w:pPr>
      <w:r>
        <w:rPr>
          <w:sz w:val="22"/>
        </w:rPr>
        <w:t>Specifically, Section 7.1(a) and (b) of the SPA enumerates those actions that the NCPH Companies may not take without first seeking AIG Highstar Capital, L.P.’s (“Highstar”) prior consent or approval pursuant to Section 7.2(a).  Such prohibited actions include (but are not limited to) the following:</w:t>
      </w:r>
    </w:p>
    <w:p>
      <w:pPr>
        <w:pStyle w:val="Normal"/>
        <w:numPr>
          <w:ilvl w:val="0"/>
          <w:numId w:val="3"/>
        </w:numPr>
        <w:tabs>
          <w:tab w:val="clear" w:pos="720"/>
          <w:tab w:val="left" w:pos="1080" w:leader="none"/>
        </w:tabs>
        <w:spacing w:before="0" w:after="120"/>
        <w:ind w:hanging="540" w:start="1080" w:end="0"/>
        <w:jc w:val="both"/>
        <w:rPr>
          <w:sz w:val="22"/>
        </w:rPr>
      </w:pPr>
      <w:r>
        <w:rPr>
          <w:sz w:val="22"/>
        </w:rPr>
        <w:t xml:space="preserve">Entering into, assigning, terminating or amending, </w:t>
      </w:r>
      <w:r>
        <w:rPr>
          <w:b/>
          <w:bCs/>
          <w:i/>
          <w:iCs/>
          <w:sz w:val="22"/>
        </w:rPr>
        <w:t>in any material respect</w:t>
      </w:r>
      <w:r>
        <w:rPr>
          <w:sz w:val="22"/>
        </w:rPr>
        <w:t xml:space="preserve">, any of the 16 separately identified contracts described in SPA Schedule 4.1(l) (the “Project Documents”); entering into </w:t>
      </w:r>
      <w:r>
        <w:rPr>
          <w:b/>
          <w:bCs/>
          <w:i/>
          <w:iCs/>
          <w:sz w:val="22"/>
        </w:rPr>
        <w:t xml:space="preserve">any </w:t>
      </w:r>
      <w:r>
        <w:rPr>
          <w:sz w:val="22"/>
        </w:rPr>
        <w:t>transactions or arrangements with any of the NCPH Company’s LLC Managers:  Mark Frevert, Dave Delainey or Mark Haedicke; or entering into any employment agreements.</w:t>
      </w:r>
    </w:p>
    <w:p>
      <w:pPr>
        <w:pStyle w:val="Normal"/>
        <w:numPr>
          <w:ilvl w:val="0"/>
          <w:numId w:val="3"/>
        </w:numPr>
        <w:tabs>
          <w:tab w:val="clear" w:pos="720"/>
          <w:tab w:val="left" w:pos="1080" w:leader="none"/>
        </w:tabs>
        <w:spacing w:before="0" w:after="120"/>
        <w:ind w:hanging="540" w:start="1080" w:end="0"/>
        <w:jc w:val="both"/>
        <w:rPr>
          <w:sz w:val="22"/>
        </w:rPr>
      </w:pPr>
      <w:r>
        <w:rPr>
          <w:sz w:val="22"/>
        </w:rPr>
        <w:t>Changing any accounting policies or practices (including any change in depreciation or amortization policies).</w:t>
      </w:r>
    </w:p>
    <w:p>
      <w:pPr>
        <w:pStyle w:val="Normal"/>
        <w:numPr>
          <w:ilvl w:val="0"/>
          <w:numId w:val="3"/>
        </w:numPr>
        <w:tabs>
          <w:tab w:val="clear" w:pos="720"/>
          <w:tab w:val="left" w:pos="1080" w:leader="none"/>
        </w:tabs>
        <w:spacing w:before="0" w:after="120"/>
        <w:ind w:hanging="540" w:start="1080" w:end="0"/>
        <w:jc w:val="both"/>
        <w:rPr>
          <w:sz w:val="22"/>
        </w:rPr>
      </w:pPr>
      <w:r>
        <w:rPr>
          <w:sz w:val="22"/>
        </w:rPr>
        <w:t>Selling, leasing or disposing of any asset other than in the ordinary (such as power sales) and the sale of no more than $100,000 in aggregate value of equipment that is no longer necessary for business operation.</w:t>
      </w:r>
    </w:p>
    <w:p>
      <w:pPr>
        <w:pStyle w:val="Normal"/>
        <w:numPr>
          <w:ilvl w:val="0"/>
          <w:numId w:val="3"/>
        </w:numPr>
        <w:tabs>
          <w:tab w:val="clear" w:pos="720"/>
          <w:tab w:val="left" w:pos="1080" w:leader="none"/>
        </w:tabs>
        <w:spacing w:before="0" w:after="120"/>
        <w:ind w:hanging="540" w:start="1080" w:end="0"/>
        <w:jc w:val="both"/>
        <w:rPr>
          <w:sz w:val="22"/>
        </w:rPr>
      </w:pPr>
      <w:r>
        <w:rPr>
          <w:sz w:val="22"/>
        </w:rPr>
        <w:t>Allowing any Liens to be placed on the LLC interests or assets of the NCPH Companies.  “Liens” are broadly defined to include security interests, charges, claims option, and other encumbrances.</w:t>
      </w:r>
    </w:p>
    <w:p>
      <w:pPr>
        <w:pStyle w:val="Normal"/>
        <w:numPr>
          <w:ilvl w:val="0"/>
          <w:numId w:val="3"/>
        </w:numPr>
        <w:tabs>
          <w:tab w:val="clear" w:pos="720"/>
          <w:tab w:val="left" w:pos="1080" w:leader="none"/>
        </w:tabs>
        <w:spacing w:before="0" w:after="120"/>
        <w:ind w:hanging="540" w:start="1080" w:end="0"/>
        <w:jc w:val="both"/>
        <w:rPr>
          <w:sz w:val="22"/>
        </w:rPr>
      </w:pPr>
      <w:r>
        <w:rPr>
          <w:sz w:val="22"/>
        </w:rPr>
        <w:t>Declaring or paying a dividend or making a distribution in respect of equity securities; merging into or acquiring the assets of another entity; forming a subsidiary or purchasing stock of another entity; or making any change to their Certificates of Formation or Limited Liability Company Agreements.</w:t>
      </w:r>
    </w:p>
    <w:p>
      <w:pPr>
        <w:pStyle w:val="Normal"/>
        <w:numPr>
          <w:ilvl w:val="0"/>
          <w:numId w:val="3"/>
        </w:numPr>
        <w:tabs>
          <w:tab w:val="clear" w:pos="720"/>
          <w:tab w:val="left" w:pos="1080" w:leader="none"/>
        </w:tabs>
        <w:spacing w:before="0" w:after="120"/>
        <w:ind w:hanging="540" w:start="1080" w:end="0"/>
        <w:jc w:val="both"/>
        <w:rPr>
          <w:sz w:val="22"/>
        </w:rPr>
      </w:pPr>
      <w:r>
        <w:rPr>
          <w:sz w:val="22"/>
        </w:rPr>
        <w:t>Failing to remain a limited liability company in good standing in Delaware; or taking action to liquidate, dissolve, recapitalize, reorganize or wind up their business or operations.</w:t>
      </w:r>
    </w:p>
    <w:p>
      <w:pPr>
        <w:pStyle w:val="Normal"/>
        <w:numPr>
          <w:ilvl w:val="0"/>
          <w:numId w:val="2"/>
        </w:numPr>
        <w:tabs>
          <w:tab w:val="left" w:pos="540" w:leader="none"/>
          <w:tab w:val="left" w:pos="720" w:leader="none"/>
        </w:tabs>
        <w:spacing w:before="0" w:after="120"/>
        <w:ind w:hanging="540" w:start="540" w:end="0"/>
        <w:jc w:val="both"/>
        <w:rPr>
          <w:sz w:val="22"/>
        </w:rPr>
      </w:pPr>
      <w:r>
        <w:rPr>
          <w:sz w:val="22"/>
        </w:rPr>
        <w:t>Section 7.1(c) and (d) of the SPA enumerate those actions that ENA is required to undertake during the Interim Period with respect to the NCPH Companies.  Such actions are summarized as follows:</w:t>
      </w:r>
    </w:p>
    <w:p>
      <w:pPr>
        <w:pStyle w:val="Normal"/>
        <w:numPr>
          <w:ilvl w:val="0"/>
          <w:numId w:val="3"/>
        </w:numPr>
        <w:spacing w:before="0" w:after="120"/>
        <w:ind w:hanging="540" w:start="1080" w:end="0"/>
        <w:jc w:val="both"/>
        <w:rPr>
          <w:sz w:val="22"/>
        </w:rPr>
      </w:pPr>
      <w:r>
        <w:rPr>
          <w:sz w:val="22"/>
        </w:rPr>
        <w:t>Consult with Highstar with regard to all significant developments, transactions and proposals relating to the business or operations of the NCPH Companies.</w:t>
      </w:r>
    </w:p>
    <w:p>
      <w:pPr>
        <w:pStyle w:val="Normal"/>
        <w:numPr>
          <w:ilvl w:val="0"/>
          <w:numId w:val="3"/>
        </w:numPr>
        <w:spacing w:before="0" w:after="120"/>
        <w:ind w:hanging="540" w:start="1080" w:end="0"/>
        <w:jc w:val="both"/>
        <w:rPr>
          <w:sz w:val="22"/>
        </w:rPr>
      </w:pPr>
      <w:r>
        <w:rPr>
          <w:sz w:val="22"/>
        </w:rPr>
        <w:t xml:space="preserve">Pay all costs and expenses related to the maintenance program described on Schedule 4.2(u).  </w:t>
      </w:r>
      <w:r>
        <w:rPr>
          <w:b/>
          <w:bCs/>
          <w:i/>
          <w:iCs/>
          <w:sz w:val="22"/>
        </w:rPr>
        <w:t>All of these costs are for ENA’s account, and may not be passed on to NCPH or Highstar.  Contrast this to the costs incurred in accordance with the following three bullet points.</w:t>
      </w:r>
    </w:p>
    <w:p>
      <w:pPr>
        <w:pStyle w:val="Normal"/>
        <w:numPr>
          <w:ilvl w:val="0"/>
          <w:numId w:val="3"/>
        </w:numPr>
        <w:tabs>
          <w:tab w:val="clear" w:pos="720"/>
          <w:tab w:val="left" w:pos="1080" w:leader="none"/>
        </w:tabs>
        <w:spacing w:before="0" w:after="120"/>
        <w:ind w:hanging="540" w:start="1080" w:end="0"/>
        <w:jc w:val="both"/>
        <w:rPr>
          <w:sz w:val="22"/>
        </w:rPr>
      </w:pPr>
      <w:r>
        <w:rPr>
          <w:sz w:val="22"/>
        </w:rPr>
        <w:t xml:space="preserve">Cause the power plant and associated facilities of the NCPH Companies (the “Facilities”) to be maintained and operated in accordance with their past practices and in accordance with the Project Documents (including the repair or replacement of damaged or worn out equipment).  </w:t>
      </w:r>
      <w:r>
        <w:rPr>
          <w:b/>
          <w:bCs/>
          <w:i/>
          <w:iCs/>
          <w:sz w:val="22"/>
        </w:rPr>
        <w:t xml:space="preserve">Please note that if such work is not covered by a line item in the Combined Operating Budget attached as SPA Schedule 7.1 Part II, such cost may be required to be borne by ENA.  </w:t>
      </w:r>
      <w:r>
        <w:rPr>
          <w:sz w:val="22"/>
        </w:rPr>
        <w:t>Section 7.1(c)(iii) specifically prohibits the NCPH Companies from making any expenditure (capital or otherwise) in respect of the Facilities except in accordance with the Combined Operating Budget.</w:t>
      </w:r>
    </w:p>
    <w:p>
      <w:pPr>
        <w:pStyle w:val="Normal"/>
        <w:numPr>
          <w:ilvl w:val="0"/>
          <w:numId w:val="3"/>
        </w:numPr>
        <w:spacing w:before="0" w:after="120"/>
        <w:ind w:hanging="540" w:start="1080" w:end="0"/>
        <w:jc w:val="both"/>
        <w:rPr>
          <w:sz w:val="22"/>
        </w:rPr>
      </w:pPr>
      <w:r>
        <w:rPr>
          <w:sz w:val="22"/>
        </w:rPr>
        <w:t>Maintain all insurance now in force as to the Facilities.</w:t>
      </w:r>
    </w:p>
    <w:p>
      <w:pPr>
        <w:pStyle w:val="Normal"/>
        <w:numPr>
          <w:ilvl w:val="0"/>
          <w:numId w:val="3"/>
        </w:numPr>
        <w:spacing w:before="0" w:after="120"/>
        <w:ind w:hanging="540" w:start="1080" w:end="0"/>
        <w:jc w:val="both"/>
        <w:rPr>
          <w:sz w:val="22"/>
        </w:rPr>
      </w:pPr>
      <w:r>
        <w:rPr>
          <w:sz w:val="22"/>
        </w:rPr>
        <w:t>Pay all costs and expenses in connection with the Facilities promptly when due</w:t>
      </w:r>
    </w:p>
    <w:p>
      <w:pPr>
        <w:pStyle w:val="Normal"/>
        <w:numPr>
          <w:ilvl w:val="0"/>
          <w:numId w:val="3"/>
        </w:numPr>
        <w:spacing w:before="0" w:after="120"/>
        <w:ind w:hanging="540" w:start="1080" w:end="0"/>
        <w:jc w:val="both"/>
        <w:rPr>
          <w:sz w:val="22"/>
        </w:rPr>
      </w:pPr>
      <w:r>
        <w:rPr>
          <w:sz w:val="22"/>
        </w:rPr>
        <w:t>Use reasonable efforts to maintain relationships with suppliers, customers and others having a material business relationship with the NCPH Companies.</w:t>
      </w:r>
    </w:p>
    <w:p>
      <w:pPr>
        <w:pStyle w:val="BodyTextIndent3"/>
        <w:jc w:val="both"/>
        <w:rPr>
          <w:sz w:val="22"/>
        </w:rPr>
      </w:pPr>
      <w:r>
        <w:rPr>
          <w:sz w:val="22"/>
        </w:rPr>
        <w:t>As you can see from the above, the failure to follow the SPA’s Interim Period covenant’s could cause ENA to forfeit the right to be reimbursed for costs and expenses incurred on behalf of NCPH, while remaining obligated to pass on all revenues generated since May 16, 2001.  Please follow this general rule:</w:t>
        <w:tab/>
        <w:t>Prior to making any decision or participating in any action that is outside the ordinary course of business, review such request for decision or action with Heather Kroll and Steve Van Hooser to determine if the SPA requires the prior consent of Highstar.  Look forward to speaking with you about these matters in greater detail on Thursday.  Please feel free to call with any questions prior to that time.  Heather can be reached at 3-9633.  Steve can be reached at 3-7238.</w:t>
      </w:r>
    </w:p>
    <w:p>
      <w:pPr>
        <w:pStyle w:val="Normal"/>
        <w:jc w:val="both"/>
        <w:rPr>
          <w:b/>
          <w:bCs/>
          <w:sz w:val="22"/>
        </w:rPr>
      </w:pPr>
      <w:r>
        <w:rPr>
          <w:b/>
          <w:bCs/>
          <w:sz w:val="22"/>
        </w:rPr>
        <w:t>Distribution List:</w:t>
      </w:r>
    </w:p>
    <w:p>
      <w:pPr>
        <w:pStyle w:val="Normal"/>
        <w:jc w:val="both"/>
        <w:rPr>
          <w:b/>
          <w:bCs/>
          <w:sz w:val="22"/>
        </w:rPr>
      </w:pPr>
      <w:r>
        <w:rPr>
          <w:b/>
          <w:bCs/>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
              <w:rPr>
                <w:rFonts w:ascii="Times New Roman" w:hAnsi="Times New Roman" w:cs="Times New Roman"/>
                <w:b w:val="false"/>
                <w:bCs/>
              </w:rPr>
            </w:pPr>
            <w:r>
              <w:rPr>
                <w:rFonts w:cs="Times New Roman" w:ascii="Times New Roman" w:hAnsi="Times New Roman"/>
                <w:b w:val="false"/>
                <w:bCs/>
              </w:rPr>
              <w:t>Thomas Chapman</w:t>
            </w:r>
          </w:p>
          <w:p>
            <w:pPr>
              <w:pStyle w:val="Heading"/>
              <w:rPr>
                <w:rFonts w:ascii="Times New Roman" w:hAnsi="Times New Roman" w:cs="Times New Roman"/>
                <w:b w:val="false"/>
                <w:bCs/>
              </w:rPr>
            </w:pPr>
            <w:r>
              <w:rPr>
                <w:rFonts w:cs="Times New Roman" w:ascii="Times New Roman" w:hAnsi="Times New Roman"/>
                <w:b w:val="false"/>
                <w:bCs/>
              </w:rPr>
              <w:t>Scott Churbock</w:t>
            </w:r>
          </w:p>
          <w:p>
            <w:pPr>
              <w:pStyle w:val="Heading"/>
              <w:rPr>
                <w:rFonts w:ascii="Times New Roman" w:hAnsi="Times New Roman" w:cs="Times New Roman"/>
                <w:b w:val="false"/>
                <w:bCs/>
              </w:rPr>
            </w:pPr>
            <w:r>
              <w:rPr>
                <w:rFonts w:cs="Times New Roman" w:ascii="Times New Roman" w:hAnsi="Times New Roman"/>
                <w:b w:val="false"/>
                <w:bCs/>
              </w:rPr>
              <w:t>Kayne Coulter</w:t>
            </w:r>
          </w:p>
          <w:p>
            <w:pPr>
              <w:pStyle w:val="Heading"/>
              <w:rPr>
                <w:rFonts w:ascii="Times New Roman" w:hAnsi="Times New Roman" w:cs="Times New Roman"/>
                <w:b w:val="false"/>
                <w:bCs/>
              </w:rPr>
            </w:pPr>
            <w:r>
              <w:rPr>
                <w:rFonts w:cs="Times New Roman" w:ascii="Times New Roman" w:hAnsi="Times New Roman"/>
                <w:b w:val="false"/>
                <w:bCs/>
              </w:rPr>
              <w:t>Dave Kellermeyer</w:t>
            </w:r>
          </w:p>
          <w:p>
            <w:pPr>
              <w:pStyle w:val="Heading"/>
              <w:rPr>
                <w:rFonts w:ascii="Times New Roman" w:hAnsi="Times New Roman" w:cs="Times New Roman"/>
                <w:b w:val="false"/>
                <w:bCs/>
              </w:rPr>
            </w:pPr>
            <w:r>
              <w:rPr>
                <w:rFonts w:cs="Times New Roman" w:ascii="Times New Roman" w:hAnsi="Times New Roman"/>
                <w:b w:val="false"/>
                <w:bCs/>
              </w:rPr>
              <w:t>Brian Kerrigan</w:t>
            </w:r>
          </w:p>
          <w:p>
            <w:pPr>
              <w:pStyle w:val="Heading"/>
              <w:rPr>
                <w:rFonts w:ascii="Times New Roman" w:hAnsi="Times New Roman" w:cs="Times New Roman"/>
                <w:b w:val="false"/>
                <w:bCs/>
              </w:rPr>
            </w:pPr>
            <w:r>
              <w:rPr>
                <w:rFonts w:cs="Times New Roman" w:ascii="Times New Roman" w:hAnsi="Times New Roman"/>
                <w:b w:val="false"/>
                <w:bCs/>
              </w:rPr>
              <w:t>David Marshall</w:t>
            </w:r>
          </w:p>
          <w:p>
            <w:pPr>
              <w:pStyle w:val="Heading"/>
              <w:rPr>
                <w:rFonts w:ascii="Times New Roman" w:hAnsi="Times New Roman" w:cs="Times New Roman"/>
                <w:b w:val="false"/>
                <w:bCs/>
              </w:rPr>
            </w:pPr>
            <w:r>
              <w:rPr>
                <w:rFonts w:cs="Times New Roman" w:ascii="Times New Roman" w:hAnsi="Times New Roman"/>
                <w:b w:val="false"/>
                <w:bCs/>
              </w:rPr>
              <w:t>Tom May</w:t>
            </w:r>
          </w:p>
          <w:p>
            <w:pPr>
              <w:pStyle w:val="Heading"/>
              <w:rPr>
                <w:rFonts w:ascii="Times New Roman" w:hAnsi="Times New Roman" w:cs="Times New Roman"/>
                <w:b w:val="false"/>
                <w:bCs/>
              </w:rPr>
            </w:pPr>
            <w:r>
              <w:rPr>
                <w:rFonts w:cs="Times New Roman" w:ascii="Times New Roman" w:hAnsi="Times New Roman"/>
                <w:b w:val="false"/>
                <w:bCs/>
              </w:rPr>
              <w:t xml:space="preserve">Gerald Nemec </w:t>
            </w:r>
          </w:p>
          <w:p>
            <w:pPr>
              <w:pStyle w:val="Heading"/>
              <w:rPr>
                <w:bCs/>
                <w:sz w:val="22"/>
              </w:rPr>
            </w:pPr>
            <w:r>
              <w:rPr>
                <w:rFonts w:cs="Times New Roman" w:ascii="Times New Roman" w:hAnsi="Times New Roman"/>
                <w:b w:val="false"/>
                <w:bCs/>
              </w:rPr>
              <w:t>Ross Newlin</w:t>
            </w:r>
          </w:p>
        </w:tc>
        <w:tc>
          <w:tcPr>
            <w:tcW w:w="4788" w:type="dxa"/>
            <w:tcBorders/>
          </w:tcPr>
          <w:p>
            <w:pPr>
              <w:pStyle w:val="Heading"/>
              <w:rPr>
                <w:rFonts w:ascii="Times New Roman" w:hAnsi="Times New Roman" w:cs="Times New Roman"/>
                <w:b w:val="false"/>
                <w:bCs/>
              </w:rPr>
            </w:pPr>
            <w:r>
              <w:rPr>
                <w:rFonts w:cs="Times New Roman" w:ascii="Times New Roman" w:hAnsi="Times New Roman"/>
                <w:b w:val="false"/>
                <w:bCs/>
              </w:rPr>
              <w:t>Christi Nicolay</w:t>
            </w:r>
          </w:p>
          <w:p>
            <w:pPr>
              <w:pStyle w:val="Heading"/>
              <w:rPr>
                <w:rFonts w:ascii="Times New Roman" w:hAnsi="Times New Roman" w:cs="Times New Roman"/>
                <w:b w:val="false"/>
                <w:bCs/>
              </w:rPr>
            </w:pPr>
            <w:r>
              <w:rPr>
                <w:rFonts w:cs="Times New Roman" w:ascii="Times New Roman" w:hAnsi="Times New Roman"/>
                <w:b w:val="false"/>
                <w:bCs/>
              </w:rPr>
              <w:t>Ozzie Pagan</w:t>
            </w:r>
          </w:p>
          <w:p>
            <w:pPr>
              <w:pStyle w:val="Heading"/>
              <w:rPr>
                <w:rFonts w:ascii="Times New Roman" w:hAnsi="Times New Roman" w:cs="Times New Roman"/>
                <w:b w:val="false"/>
                <w:bCs/>
              </w:rPr>
            </w:pPr>
            <w:r>
              <w:rPr>
                <w:rFonts w:cs="Times New Roman" w:ascii="Times New Roman" w:hAnsi="Times New Roman"/>
                <w:b w:val="false"/>
                <w:bCs/>
              </w:rPr>
              <w:t>Reagan Rorschach</w:t>
            </w:r>
          </w:p>
          <w:p>
            <w:pPr>
              <w:pStyle w:val="Heading"/>
              <w:rPr>
                <w:rFonts w:ascii="Times New Roman" w:hAnsi="Times New Roman" w:cs="Times New Roman"/>
                <w:b w:val="false"/>
                <w:bCs/>
              </w:rPr>
            </w:pPr>
            <w:r>
              <w:rPr>
                <w:rFonts w:cs="Times New Roman" w:ascii="Times New Roman" w:hAnsi="Times New Roman"/>
                <w:b w:val="false"/>
                <w:bCs/>
              </w:rPr>
              <w:t>Cris Sherman</w:t>
            </w:r>
          </w:p>
          <w:p>
            <w:pPr>
              <w:pStyle w:val="Heading"/>
              <w:rPr>
                <w:rFonts w:ascii="Times New Roman" w:hAnsi="Times New Roman" w:cs="Times New Roman"/>
                <w:b w:val="false"/>
                <w:bCs/>
              </w:rPr>
            </w:pPr>
            <w:r>
              <w:rPr>
                <w:rFonts w:cs="Times New Roman" w:ascii="Times New Roman" w:hAnsi="Times New Roman"/>
                <w:b w:val="false"/>
                <w:bCs/>
              </w:rPr>
              <w:t>Bob Virgo</w:t>
            </w:r>
          </w:p>
          <w:p>
            <w:pPr>
              <w:pStyle w:val="Normal"/>
              <w:jc w:val="both"/>
              <w:rPr>
                <w:bCs/>
                <w:sz w:val="22"/>
              </w:rPr>
            </w:pPr>
            <w:r>
              <w:rPr>
                <w:bCs/>
                <w:sz w:val="22"/>
              </w:rPr>
              <w:t>Theresa Vos</w:t>
            </w:r>
          </w:p>
          <w:p>
            <w:pPr>
              <w:pStyle w:val="Normal"/>
              <w:jc w:val="both"/>
              <w:rPr>
                <w:bCs/>
                <w:sz w:val="22"/>
              </w:rPr>
            </w:pPr>
            <w:r>
              <w:rPr>
                <w:bCs/>
                <w:sz w:val="22"/>
              </w:rPr>
              <w:t>Lloyd Will</w:t>
            </w:r>
          </w:p>
        </w:tc>
      </w:tr>
    </w:tbl>
    <w:p>
      <w:pPr>
        <w:pStyle w:val="Normal"/>
        <w:tabs>
          <w:tab w:val="clear" w:pos="720"/>
          <w:tab w:val="left" w:pos="450" w:leader="none"/>
        </w:tabs>
        <w:jc w:val="both"/>
        <w:rPr>
          <w:sz w:val="22"/>
        </w:rPr>
      </w:pPr>
      <w:r>
        <w:rPr>
          <w:sz w:val="22"/>
        </w:rPr>
      </w:r>
    </w:p>
    <w:p>
      <w:pPr>
        <w:pStyle w:val="Normal"/>
        <w:tabs>
          <w:tab w:val="clear" w:pos="720"/>
          <w:tab w:val="left" w:pos="450" w:leader="none"/>
        </w:tabs>
        <w:jc w:val="both"/>
        <w:rPr>
          <w:sz w:val="22"/>
        </w:rPr>
      </w:pPr>
      <w:r>
        <w:rPr>
          <w:sz w:val="22"/>
        </w:rPr>
        <w:t>cc:</w:t>
        <w:tab/>
        <w:t>Dave Duran</w:t>
      </w:r>
    </w:p>
    <w:p>
      <w:pPr>
        <w:pStyle w:val="Normal"/>
        <w:tabs>
          <w:tab w:val="clear" w:pos="720"/>
          <w:tab w:val="left" w:pos="450" w:leader="none"/>
        </w:tabs>
        <w:ind w:firstLine="450" w:end="0"/>
        <w:jc w:val="both"/>
        <w:rPr>
          <w:sz w:val="22"/>
        </w:rPr>
      </w:pPr>
      <w:r>
        <w:rPr>
          <w:sz w:val="22"/>
        </w:rPr>
        <w:t>Stuart Zisman</w:t>
      </w:r>
    </w:p>
    <w:p>
      <w:pPr>
        <w:pStyle w:val="Normal"/>
        <w:tabs>
          <w:tab w:val="clear" w:pos="720"/>
          <w:tab w:val="left" w:pos="450" w:leader="none"/>
        </w:tabs>
        <w:ind w:firstLine="450" w:end="0"/>
        <w:jc w:val="both"/>
        <w:rPr>
          <w:sz w:val="22"/>
        </w:rPr>
      </w:pPr>
      <w:r>
        <w:rPr>
          <w:sz w:val="22"/>
        </w:rPr>
        <w:t>Jay Sonnenberg</w:t>
      </w:r>
    </w:p>
    <w:p>
      <w:pPr>
        <w:pStyle w:val="Normal"/>
        <w:tabs>
          <w:tab w:val="clear" w:pos="720"/>
          <w:tab w:val="left" w:pos="450" w:leader="none"/>
        </w:tabs>
        <w:ind w:firstLine="450" w:end="0"/>
        <w:jc w:val="both"/>
        <w:rPr>
          <w:sz w:val="22"/>
        </w:rPr>
      </w:pPr>
      <w:r>
        <w:rPr>
          <w:sz w:val="22"/>
        </w:rPr>
        <w:t>Clark Thompson</w:t>
      </w:r>
    </w:p>
    <w:sectPr>
      <w:footerReference w:type="default" r:id="rId3"/>
      <w:footerReference w:type="first" r:id="rId4"/>
      <w:type w:val="nextPage"/>
      <w:pgSz w:w="12240" w:h="15840"/>
      <w:pgMar w:left="1440" w:right="1440" w:gutter="0" w:header="0" w:top="72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/mnt/main-storage/datasets/enron-docs/doc/Interim_Covenants_Memo5_22_011.doc</w:t>
    </w:r>
    <w:r>
      <w:rPr>
        <w:rStyle w:val="PageNumber"/>
        <w:sz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72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i/>
      <w:color w:val="000000"/>
      <w:sz w:val="20"/>
    </w:rPr>
  </w:style>
  <w:style w:type="paragraph" w:styleId="Heading2">
    <w:name w:val="heading 2"/>
    <w:basedOn w:val="Normal"/>
    <w:next w:val="Normal"/>
    <w:qFormat/>
    <w:pPr>
      <w:keepNext w:val="true"/>
      <w:numPr>
        <w:ilvl w:val="1"/>
        <w:numId w:val="1"/>
      </w:numPr>
      <w:jc w:val="both"/>
      <w:outlineLvl w:val="1"/>
    </w:pPr>
    <w:rPr>
      <w:b/>
      <w:i/>
      <w:sz w:val="20"/>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rFonts w:ascii="Symbol" w:hAnsi="Symbol" w:cs="Symbol"/>
    </w:rPr>
  </w:style>
  <w:style w:type="character" w:styleId="WW8Num4z0">
    <w:name w:val="WW8Num4z0"/>
    <w:qFormat/>
    <w:rPr>
      <w:u w:val="none"/>
    </w:rPr>
  </w:style>
  <w:style w:type="character" w:styleId="WW8Num5z0">
    <w:name w:val="WW8Num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360" w:end="0"/>
    </w:pPr>
    <w:rPr>
      <w:szCs w:val="24"/>
    </w:rPr>
  </w:style>
  <w:style w:type="paragraph" w:styleId="BodyTextIndent2">
    <w:name w:val="Body Text Indent 2"/>
    <w:basedOn w:val="Normal"/>
    <w:qFormat/>
    <w:pPr>
      <w:autoSpaceDE w:val="false"/>
      <w:ind w:hanging="0" w:start="360" w:end="0"/>
    </w:pPr>
    <w:rPr>
      <w:color w:val="000000"/>
    </w:rPr>
  </w:style>
  <w:style w:type="paragraph" w:styleId="BodyTextIndent3">
    <w:name w:val="Body Text Indent 3"/>
    <w:basedOn w:val="Normal"/>
    <w:qFormat/>
    <w:pPr>
      <w:spacing w:before="0" w:after="120"/>
      <w:ind w:firstLine="36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2001-05-23T13:01:00Z</dcterms:created>
  <dc:creator>ECT</dc:creator>
  <dc:description/>
  <dc:language>en-CA</dc:language>
  <cp:lastModifiedBy>rmeadows</cp:lastModifiedBy>
  <cp:lastPrinted>2001-05-23T08:29:00Z</cp:lastPrinted>
  <dcterms:modified xsi:type="dcterms:W3CDTF">2001-05-23T13:01:00Z</dcterms:modified>
  <cp:revision>2</cp:revision>
  <dc:subject/>
  <dc:title> </dc:title>
</cp:coreProperties>
</file>