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Interim Agreement between MDEA</w:t>
      </w:r>
    </w:p>
    <w:p>
      <w:pPr>
        <w:pStyle w:val="Heading3"/>
        <w:ind w:hanging="0" w:start="0"/>
        <w:rPr/>
      </w:pPr>
      <w:r>
        <w:rPr/>
        <w:t>Profit Sharing &amp; Operations for May ‘01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>Term:</w:t>
      </w:r>
      <w:r>
        <w:rPr/>
        <w:t xml:space="preserve"> </w:t>
        <w:tab/>
        <w:tab/>
        <w:t>May 1, 2001 through May 31, 2001</w:t>
      </w:r>
    </w:p>
    <w:p>
      <w:pPr>
        <w:pStyle w:val="Normal"/>
        <w:ind w:hanging="1440" w:start="1440" w:end="0"/>
        <w:rPr/>
      </w:pPr>
      <w:r>
        <w:rPr>
          <w:b/>
          <w:bCs/>
        </w:rPr>
        <w:t>Services:</w:t>
      </w:r>
      <w:r>
        <w:rPr/>
        <w:tab/>
        <w:t>EPMI will provide services to forecast load, schedule transactions and optimize MDEA assets including purchasing energy from the market to displace higher-cost units, and marketing excess capacity after load obligation has been met.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Operations and Market Purchases by Enron sinking at MDEA</w:t>
      </w:r>
    </w:p>
    <w:p>
      <w:pPr>
        <w:pStyle w:val="Heading2"/>
        <w:ind w:hanging="0" w:start="0"/>
        <w:rPr/>
      </w:pPr>
      <w:r>
        <w:rPr/>
        <w:t>Peak Energy(HE 8-22 CDT)</w:t>
      </w:r>
    </w:p>
    <w:p>
      <w:pPr>
        <w:pStyle w:val="Normal"/>
        <w:rPr/>
      </w:pPr>
      <w:r>
        <w:rPr/>
        <w:t>Each day (for next day power flow), EPMI and MDEA will agree on the avoided cost for potential purchases with the intent on displacing higher-cost units to meet MDEA load…Any benefit between the market purchase cost and the units’ cost will be split 60% MDEA and 40% EPMI for On-Peak Energy ONLY (HE 7-22 CDT).  EPMI will record the summary of transactions and total savings, and email or fax this document to MDEA each weekday, and on Monday for Saturday &amp; Sundays’ transactions.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For market purchases that do NOT provide any benefit or savings relative to the cost of MDEA assets generation, the transaction is a “wash,” resulting in no payment to Enron or MDEA.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i/>
          <w:i/>
          <w:iCs/>
        </w:rPr>
      </w:pPr>
      <w:r>
        <w:rPr>
          <w:b/>
          <w:bCs/>
          <w:i/>
          <w:iCs/>
        </w:rPr>
        <w:t>Off-Peak Energy (HE1-6, 23-24 CDT &amp;(24 hrs on Saturdays, Sundays and NERC Holidays)</w:t>
      </w:r>
    </w:p>
    <w:p>
      <w:pPr>
        <w:pStyle w:val="Normal"/>
        <w:rPr/>
      </w:pPr>
      <w:r>
        <w:rPr/>
        <w:t>MDEA will pay Enron $1.00/Mwh for Off-Peak Energy.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Market Sales by MDEA</w:t>
      </w:r>
    </w:p>
    <w:p>
      <w:pPr>
        <w:pStyle w:val="Normal"/>
        <w:rPr/>
      </w:pPr>
      <w:r>
        <w:rPr/>
        <w:t>In the event that MDEA has excess energy above their load obligation, Enron will simply show MDEA a bid to purchase this energy.  Should MDEA accept Enron’s bid for energy, EPMI will take delivery at the MDEA busbar.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2001-04-27T10:28:00Z</dcterms:created>
  <dc:creator>jmiller</dc:creator>
  <dc:description/>
  <dc:language>en-CA</dc:language>
  <cp:lastModifiedBy>jmiller</cp:lastModifiedBy>
  <dcterms:modified xsi:type="dcterms:W3CDTF">2001-04-27T11:02:00Z</dcterms:modified>
  <cp:revision>2</cp:revision>
  <dc:subject/>
  <dc:title>Interim Agreement between MDEA</dc:title>
</cp:coreProperties>
</file>