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INTERCONNECTION AND TRANSMISSION AGREEMENT</w:t>
      </w:r>
    </w:p>
    <w:p>
      <w:pPr>
        <w:pStyle w:val="BodyTextFirstIndent"/>
        <w:rPr/>
      </w:pPr>
      <w:r>
        <w:rPr/>
        <w:t>This Interconnection and Transmission Agreement, executed _______________, 2001, (the “Agreement”) is by and between FORT PIERCE REPOWERING PROJECT LLC, a Delaware limited liability company (“FPRP”), and FORT PIERCE UTILITIES AUTHORITY, a part of the City of Fort Pierce, Florida, a Florida municipality (“FPUA”).  FPRP and FPUA are referred to jointly from time to time hereinafter as the “parties”.</w:t>
      </w:r>
    </w:p>
    <w:p>
      <w:pPr>
        <w:pStyle w:val="Heading"/>
        <w:rPr/>
      </w:pPr>
      <w:r>
        <w:rPr/>
        <w:t>RECITALS</w:t>
      </w:r>
    </w:p>
    <w:p>
      <w:pPr>
        <w:pStyle w:val="BodyTextFirstIndent"/>
        <w:rPr/>
      </w:pPr>
      <w:r>
        <w:rPr/>
        <w:t>1.</w:t>
        <w:tab/>
        <w:t>FPRP is developing a power generation facility (the “Facility”) adjacent to FPUA’s H.D. King power plant (the “King Plant”) in Fort Pierce, Florida.</w:t>
      </w:r>
    </w:p>
    <w:p>
      <w:pPr>
        <w:pStyle w:val="BodyTextFirstIndent"/>
        <w:rPr/>
      </w:pPr>
      <w:r>
        <w:rPr/>
        <w:t>2.</w:t>
        <w:tab/>
        <w:t>FPRP intends to sell the power it produces at the Facility to third parties.</w:t>
      </w:r>
    </w:p>
    <w:p>
      <w:pPr>
        <w:pStyle w:val="BodyTextFirstIndent"/>
        <w:rPr/>
      </w:pPr>
      <w:r>
        <w:rPr/>
        <w:t>3.</w:t>
        <w:tab/>
        <w:t>FPUA has a transmission system that connects to the transmission system of Florida Power &amp; Light Company (“FP&amp;L”) and the transmission system of the City of Vero Beach, Florida (“Vero”).</w:t>
      </w:r>
    </w:p>
    <w:p>
      <w:pPr>
        <w:pStyle w:val="BodyTextFirstIndent"/>
        <w:rPr/>
      </w:pPr>
      <w:r>
        <w:rPr/>
        <w:t>4.</w:t>
        <w:tab/>
        <w:t>FPRP desires to interconnect the Facility with FPUA’s transmission system and to receive transmission service from FPUA to transmit power produced at the Facility to FP&amp;L.</w:t>
      </w:r>
    </w:p>
    <w:p>
      <w:pPr>
        <w:pStyle w:val="BodyTextFirstIndent"/>
        <w:rPr/>
      </w:pPr>
      <w:r>
        <w:rPr/>
        <w:t>5.</w:t>
        <w:tab/>
        <w:t>FPUA desires to provide the requested interconnection and transmission service, but has determined that modifications and additions to FPUA’s System will be required to provide the interconnection and transmission service.</w:t>
      </w:r>
    </w:p>
    <w:p>
      <w:pPr>
        <w:pStyle w:val="BodyTextFirstIndent"/>
        <w:rPr/>
      </w:pPr>
      <w:r>
        <w:rPr/>
        <w:t>NOW THEREFORE, in consideration of the mutual promises and agreements herein contained, FPRP and FPUA hereby agree as follows:</w:t>
      </w:r>
    </w:p>
    <w:p>
      <w:pPr>
        <w:pStyle w:val="Heading1"/>
        <w:ind w:hanging="0" w:start="0"/>
        <w:rPr/>
      </w:pPr>
      <w:r>
        <w:rPr/>
        <w:t>:  DEFINITIONS</w:t>
      </w:r>
    </w:p>
    <w:p>
      <w:pPr>
        <w:pStyle w:val="Heading2"/>
        <w:ind w:hanging="0" w:start="0"/>
        <w:rPr/>
      </w:pPr>
      <w:r>
        <w:rPr/>
        <w:t>The following terms shall have the following meanings under this Agreement and the attachments hereto:</w:t>
      </w:r>
    </w:p>
    <w:p>
      <w:pPr>
        <w:pStyle w:val="BodyTextFirstIndent"/>
        <w:rPr/>
      </w:pPr>
      <w:r>
        <w:rPr/>
        <w:t>“</w:t>
      </w:r>
      <w:r>
        <w:rPr>
          <w:u w:val="single"/>
        </w:rPr>
        <w:t>Effective Date</w:t>
      </w:r>
      <w:r>
        <w:rPr/>
        <w:t>” means the date after which FPRP has delivered FPUA a written notice informing FPUA that this Agreement is effective; provided that such notice may not be delivered after October 1, 2001.</w:t>
      </w:r>
    </w:p>
    <w:p>
      <w:pPr>
        <w:pStyle w:val="BodyTextFirstIndent"/>
        <w:rPr/>
      </w:pPr>
      <w:r>
        <w:rPr/>
        <w:t>“</w:t>
      </w:r>
      <w:r>
        <w:rPr>
          <w:u w:val="single"/>
        </w:rPr>
        <w:t>Expiration Date</w:t>
      </w:r>
      <w:r>
        <w:rPr/>
        <w:t>” means the twenty-fifth anniversary of the earlier of June 1, 2003 or the date that FPRP notifies FPUA that final completion of the Facility has occurred unless extended by FPRP for an additional five years by notice given by FPRP to FPUA on or prior to sixty days before said twenty-fifth anniversary.</w:t>
      </w:r>
    </w:p>
    <w:p>
      <w:pPr>
        <w:pStyle w:val="BodyTextFirstIndent"/>
        <w:rPr/>
      </w:pPr>
      <w:r>
        <w:rPr/>
        <w:t>“</w:t>
      </w:r>
      <w:r>
        <w:rPr>
          <w:u w:val="single"/>
        </w:rPr>
        <w:t>Facilities Study</w:t>
      </w:r>
      <w:r>
        <w:rPr/>
        <w:t xml:space="preserve">” means an engineering study to be conducted by the Independent Engineer if the Upgrades Agreement has not been executed on or before June 15, 2001 to determine the modifications and additions to FPUA’s System that are necessary to enable FPUA to provide the interconnection and transmission service required to be provided by FPUA under this Agreement.  FPUA and FPRP shall each furnish the Independent Engineer promptly any information he requests so that the Facilities Study may be completed on or before </w:t>
      </w:r>
      <w:r>
        <w:rPr>
          <w:b/>
          <w:bCs/>
        </w:rPr>
        <w:t>[July 15, 2001]</w:t>
      </w:r>
      <w:r>
        <w:rPr/>
        <w:t>.</w:t>
      </w:r>
    </w:p>
    <w:p>
      <w:pPr>
        <w:pStyle w:val="BodyTextFirstIndent"/>
        <w:rPr/>
      </w:pPr>
      <w:r>
        <w:rPr/>
        <w:t>“</w:t>
      </w:r>
      <w:r>
        <w:rPr>
          <w:u w:val="single"/>
        </w:rPr>
        <w:t>Facility Connection Requirements</w:t>
      </w:r>
      <w:r>
        <w:rPr/>
        <w:t>” means FPUA’s Facility Connection Requirements dated August 1999, a copy of which is attached hereto as Exhibit C.</w:t>
      </w:r>
    </w:p>
    <w:p>
      <w:pPr>
        <w:pStyle w:val="BodyTextFirstIndent"/>
        <w:rPr/>
      </w:pPr>
      <w:r>
        <w:rPr/>
        <w:t>“</w:t>
      </w:r>
      <w:r>
        <w:rPr>
          <w:u w:val="single"/>
        </w:rPr>
        <w:t>FERC</w:t>
      </w:r>
      <w:r>
        <w:rPr/>
        <w:t>” means Federal Energy Regulatory Commission or its successor.</w:t>
      </w:r>
    </w:p>
    <w:p>
      <w:pPr>
        <w:pStyle w:val="BodyTextFirstIndent"/>
        <w:rPr/>
      </w:pPr>
      <w:r>
        <w:rPr/>
        <w:t>“</w:t>
      </w:r>
      <w:r>
        <w:rPr>
          <w:u w:val="single"/>
        </w:rPr>
        <w:t>Financing Agreements</w:t>
      </w:r>
      <w:r>
        <w:rPr/>
        <w:t>” means all of the agreements between FPRP and the Lenders concerning the financing or refinancing of the Project or any part thereof.</w:t>
      </w:r>
    </w:p>
    <w:p>
      <w:pPr>
        <w:pStyle w:val="BodyTextFirstIndent"/>
        <w:rPr/>
      </w:pPr>
      <w:r>
        <w:rPr/>
        <w:t>“</w:t>
      </w:r>
      <w:r>
        <w:rPr>
          <w:u w:val="single"/>
        </w:rPr>
        <w:t>FMPA</w:t>
      </w:r>
      <w:r>
        <w:rPr/>
        <w:t>” means the Florida Municipal Power Agency.</w:t>
      </w:r>
    </w:p>
    <w:p>
      <w:pPr>
        <w:pStyle w:val="BodyTextFirstIndent"/>
        <w:rPr/>
      </w:pPr>
      <w:r>
        <w:rPr/>
        <w:t>“</w:t>
      </w:r>
      <w:r>
        <w:rPr>
          <w:u w:val="single"/>
        </w:rPr>
        <w:t>FPUA’s System</w:t>
      </w:r>
      <w:r>
        <w:rPr/>
        <w:t>” means the transmission system owned by FPUA including without limitation the Transmission Upgrades and FPUA’s undivided interest in the transmission line to the FP&amp;L interconnection at the Emerson Substation.</w:t>
      </w:r>
    </w:p>
    <w:p>
      <w:pPr>
        <w:pStyle w:val="BodyTextFirstIndent"/>
        <w:rPr/>
      </w:pPr>
      <w:r>
        <w:rPr/>
        <w:t>“</w:t>
      </w:r>
      <w:r>
        <w:rPr>
          <w:u w:val="single"/>
        </w:rPr>
        <w:t>FRCC</w:t>
      </w:r>
      <w:r>
        <w:rPr/>
        <w:t>” means Florida Reliability Coordinating Council or its successor.</w:t>
      </w:r>
    </w:p>
    <w:p>
      <w:pPr>
        <w:pStyle w:val="BodyTextFirstIndent"/>
        <w:rPr/>
      </w:pPr>
      <w:r>
        <w:rPr/>
        <w:t>“</w:t>
      </w:r>
      <w:r>
        <w:rPr>
          <w:u w:val="single"/>
        </w:rPr>
        <w:t>Good Utility Practice</w:t>
      </w:r>
      <w:r>
        <w:rPr/>
        <w:t>” means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pPr>
        <w:pStyle w:val="BodyTextFirstIndent"/>
        <w:rPr/>
      </w:pPr>
      <w:r>
        <w:rPr/>
        <w:t>“</w:t>
      </w:r>
      <w:r>
        <w:rPr>
          <w:u w:val="single"/>
        </w:rPr>
        <w:t>Independent Engineer</w:t>
      </w:r>
      <w:r>
        <w:rPr/>
        <w:t>” means ___________________________.</w:t>
      </w:r>
    </w:p>
    <w:p>
      <w:pPr>
        <w:pStyle w:val="BodyTextFirstIndent"/>
        <w:rPr/>
      </w:pPr>
      <w:r>
        <w:rPr/>
        <w:t>“</w:t>
      </w:r>
      <w:r>
        <w:rPr>
          <w:u w:val="single"/>
        </w:rPr>
        <w:t>Initial Date of Delivery</w:t>
      </w:r>
      <w:r>
        <w:rPr/>
        <w:t>” is the first day of the calendar month in which energy or energy and capacity is first delivered to FPUA from the Facility.</w:t>
      </w:r>
    </w:p>
    <w:p>
      <w:pPr>
        <w:pStyle w:val="BodyTextFirstIndent"/>
        <w:rPr/>
      </w:pPr>
      <w:r>
        <w:rPr/>
        <w:t>“</w:t>
      </w:r>
      <w:r>
        <w:rPr>
          <w:u w:val="single"/>
        </w:rPr>
        <w:t>Interconnection Facilities</w:t>
      </w:r>
      <w:r>
        <w:rPr/>
        <w:t>” is defined in Section 3.1 of the Interconnection and Transmission Agreement.</w:t>
      </w:r>
    </w:p>
    <w:p>
      <w:pPr>
        <w:pStyle w:val="BodyTextFirstIndent"/>
        <w:rPr/>
      </w:pPr>
      <w:r>
        <w:rPr/>
        <w:t>“</w:t>
      </w:r>
      <w:r>
        <w:rPr>
          <w:u w:val="single"/>
        </w:rPr>
        <w:t>Lenders</w:t>
      </w:r>
      <w:r>
        <w:rPr/>
        <w:t>” means the banks or other financial institutions from time to time issuing or participating in the construction or term financing of the Project or any part of it or providing any other form of financing including lease or debt financing, obtained by FPRP with respect to the Project or any part of it.</w:t>
      </w:r>
    </w:p>
    <w:p>
      <w:pPr>
        <w:pStyle w:val="BodyTextFirstIndent"/>
        <w:rPr/>
      </w:pPr>
      <w:r>
        <w:rPr/>
        <w:t>“</w:t>
      </w:r>
      <w:r>
        <w:rPr>
          <w:u w:val="single"/>
        </w:rPr>
        <w:t>NERC</w:t>
      </w:r>
      <w:r>
        <w:rPr/>
        <w:t>” means North American Electricity Reliability Council or its successor.</w:t>
      </w:r>
    </w:p>
    <w:p>
      <w:pPr>
        <w:pStyle w:val="BodyTextFirstIndent"/>
        <w:rPr/>
      </w:pPr>
      <w:r>
        <w:rPr/>
        <w:t xml:space="preserve"> “</w:t>
      </w:r>
      <w:r>
        <w:rPr>
          <w:u w:val="single"/>
        </w:rPr>
        <w:t>Project</w:t>
      </w:r>
      <w:r>
        <w:rPr/>
        <w:t>” means the development, design, engineering, financing, building, permitting, testing, interconnecting, owning, operating, repairing and maintaining the Project Facilities and all activities incidental thereto.</w:t>
      </w:r>
    </w:p>
    <w:p>
      <w:pPr>
        <w:pStyle w:val="BodyTextFirstIndent"/>
        <w:rPr>
          <w:b/>
          <w:bCs/>
        </w:rPr>
      </w:pPr>
      <w:r>
        <w:rPr>
          <w:b/>
          <w:bCs/>
        </w:rPr>
        <w:t>“</w:t>
      </w:r>
      <w:r>
        <w:rPr>
          <w:u w:val="single"/>
        </w:rPr>
        <w:t>RTO</w:t>
      </w:r>
      <w:r>
        <w:rPr>
          <w:b/>
          <w:bCs/>
        </w:rPr>
        <w:t xml:space="preserve">” </w:t>
      </w:r>
      <w:r>
        <w:rPr/>
        <w:t>means a voluntary organization of transmission owners, transmission users and other entities approved by the Federal Energy Regulatory Commission to efficiently coordinate transmission planning (and expansion), operation and use on a regional (and interregional basis) and any successor entity.</w:t>
      </w:r>
    </w:p>
    <w:p>
      <w:pPr>
        <w:pStyle w:val="BodyTextFirstIndent"/>
        <w:rPr/>
      </w:pPr>
      <w:r>
        <w:rPr/>
        <w:t>“</w:t>
      </w:r>
      <w:r>
        <w:rPr>
          <w:u w:val="single"/>
        </w:rPr>
        <w:t>System Emergency</w:t>
      </w:r>
      <w:r>
        <w:rPr/>
        <w:t>” means any abnormal system condition that requires automatic or immediate manual action to prevent or limit loss of transmission facilities or generation supply that could adversely affect the reliability of FPUA’s System or the systems to which FPUA’s System is directly or indirectly connected; provided, however, that the inability of FPUA to meet its load requirements because of insufficient generation resources shall not constitute a System Emergency.</w:t>
      </w:r>
    </w:p>
    <w:p>
      <w:pPr>
        <w:pStyle w:val="BodyTextFirstIndent"/>
        <w:rPr/>
      </w:pPr>
      <w:r>
        <w:rPr/>
        <w:t>“</w:t>
      </w:r>
      <w:r>
        <w:rPr>
          <w:u w:val="single"/>
        </w:rPr>
        <w:t>Transmission Delivery Point</w:t>
      </w:r>
      <w:r>
        <w:rPr/>
        <w:t>” means the interconnection point of FPUA’s System (or if FPUA transfers its transmission system to the Florida RTO, the portion of the Florida RTO’s system transferred to it by FPUA) with FP&amp;L’s system.</w:t>
      </w:r>
    </w:p>
    <w:p>
      <w:pPr>
        <w:pStyle w:val="BodyTextFirstIndent"/>
        <w:rPr/>
      </w:pPr>
      <w:r>
        <w:rPr/>
        <w:t>“</w:t>
      </w:r>
      <w:r>
        <w:rPr>
          <w:u w:val="single"/>
        </w:rPr>
        <w:t>Transmission Receipt Point</w:t>
      </w:r>
      <w:r>
        <w:rPr/>
        <w:t>” means the point of interconnection of FPUA’s System (or if FPUA transfers its transmission system to the Florida RTO, the portion of the Florida RTO’s system transferred to it by FPUA) and the Facility.</w:t>
      </w:r>
    </w:p>
    <w:p>
      <w:pPr>
        <w:pStyle w:val="BodyTextFirstIndent"/>
        <w:rPr/>
      </w:pPr>
      <w:r>
        <w:rPr/>
        <w:t>“</w:t>
      </w:r>
      <w:r>
        <w:rPr>
          <w:u w:val="single"/>
        </w:rPr>
        <w:t>Transmission Upgrades</w:t>
      </w:r>
      <w:r>
        <w:rPr/>
        <w:t>” means the modifications and additions to FPUA’s System, including without limitation equipment, systems and rights-of-way that are necessary to enable FPUA to transmit the electricity produced at the Facility and at the King Plant for FPRP and FMPA, respectively, to the Transmission Delivery Point.  Such upgrades shall be either: (a) the upgrades described in the Upgrades Agreement; or (b) if the Upgrades Agreement has not been executed by FPUA and FPRP on or prior to June 15, 2001, then the upgrades described in the Facilities Study. In addition to equipment and systems engineering, procurement and construction, FPRP shall be responsible for easement and right-of-way acquisition to accommodate the equipment upgrades. FPRP shall acquire these rights-of-way and easements on behalf of FPUA. If FPRP determines it is unable to obtain any such rights-of-way or easements on commercially reasonable terms or without undue cost or delays and provides FPUA notice of same, FPUA agrees, at FPRP’s sole cost and expense, to use its condemnation powers to acquire such easements and rights-of-way (including, if requested by FPRP, use of FPUA’s quick take authority) with all diligence and dispatch in form, substance and at a cost satisfactory to FPRP.</w:t>
      </w:r>
    </w:p>
    <w:p>
      <w:pPr>
        <w:pStyle w:val="BodyTextFirstIndent"/>
        <w:rPr/>
      </w:pPr>
      <w:r>
        <w:rPr/>
        <w:t>“</w:t>
      </w:r>
      <w:r>
        <w:rPr>
          <w:u w:val="single"/>
        </w:rPr>
        <w:t>Upgrades Agreement</w:t>
      </w:r>
      <w:r>
        <w:rPr/>
        <w:t>” means the agreement between FPRP and FPUA which describes the Transmission Upgrades and the Interconnection Facilities.</w:t>
      </w:r>
    </w:p>
    <w:p>
      <w:pPr>
        <w:pStyle w:val="Heading1"/>
        <w:ind w:hanging="0" w:start="0"/>
        <w:rPr/>
      </w:pPr>
      <w:r>
        <w:rPr/>
        <w:t>:  TERM OF AGREEMENT; TERMINATION</w:t>
      </w:r>
    </w:p>
    <w:p>
      <w:pPr>
        <w:pStyle w:val="Heading2"/>
        <w:ind w:hanging="0" w:start="0"/>
        <w:rPr/>
      </w:pPr>
      <w:r>
        <w:rPr/>
        <w:t>This Agreement shall become effective as of the Effective Date, and except as otherwise specified in this Article II, it shall continue in effect until the Expiration Date.</w:t>
      </w:r>
    </w:p>
    <w:p>
      <w:pPr>
        <w:pStyle w:val="Heading2"/>
        <w:ind w:hanging="0" w:start="0"/>
        <w:rPr/>
      </w:pPr>
      <w:r>
        <w:rPr/>
        <w:t>By commencing to take transmission service under this Agreement on the Initial Date of Delivery, FPRP agrees to take and pay for, and FPUA, by commencing to furnish such transmission service, agrees to furnish the transmission service subject to the terms and conditions of this Agreement.</w:t>
      </w:r>
    </w:p>
    <w:p>
      <w:pPr>
        <w:pStyle w:val="Heading2"/>
        <w:ind w:hanging="0" w:start="0"/>
        <w:rPr/>
      </w:pPr>
      <w:r>
        <w:rPr/>
        <w:t>Except as limited in Article IX below, either party may terminate this Agreement upon the default of the other party.</w:t>
      </w:r>
    </w:p>
    <w:p>
      <w:pPr>
        <w:pStyle w:val="Heading2"/>
        <w:ind w:hanging="0" w:start="0"/>
        <w:rPr/>
      </w:pPr>
      <w:r>
        <w:rPr/>
        <w:t>Notwithstanding anything in this Agreement to the contrary, FPRP shall have the option to terminate this Agreement effective upon delivery of thirty (30) days’ prior written notice of FPRP’s election to FPUA.</w:t>
      </w:r>
    </w:p>
    <w:p>
      <w:pPr>
        <w:pStyle w:val="Heading2"/>
        <w:ind w:hanging="0" w:start="0"/>
        <w:rPr/>
      </w:pPr>
      <w:r>
        <w:rPr/>
        <w:t>In the event that (i) FPUA transfers ownership or operational control of the Transmission Upgrades to an RTO and (ii) a superceding Interconnection and Transmission Agreement is agreed to by such RTO and FPRP, then FPUA shall have the option to terminate this Agreement.  FPUA shall have the obligation to support FPRP in any FERC or court proceeding to enforce the terms of this agreement or a successor agreement against an RTO.</w:t>
      </w:r>
    </w:p>
    <w:p>
      <w:pPr>
        <w:pStyle w:val="Heading1"/>
        <w:ind w:hanging="0" w:start="0"/>
        <w:rPr/>
      </w:pPr>
      <w:r>
        <w:rPr/>
        <w:t>:  INTERCONNECTION FACILITIES AND OPERATIONS</w:t>
      </w:r>
    </w:p>
    <w:p>
      <w:pPr>
        <w:pStyle w:val="Heading2"/>
        <w:ind w:hanging="0" w:start="0"/>
        <w:rPr/>
      </w:pPr>
      <w:r>
        <w:rPr/>
        <w:t xml:space="preserve">FPRP shall at its sole expense design, procure, construct, and install the Facility and all equipment needed to interconnect the Facility with FPUA’s System (the “Interconnection Facilities”), including the Interconnection Facilities to be owned by FPUA described in the Upgrades Agreement or if the Upgrades Agreement has not been executed on or prior to June 15, 2001 the Facilities Study. The Interconnection Facilities shall satisfy all requirements of applicable safety and/or engineering codes, including the Facility Connection Requirements, and further, shall satisfy all applicable requirements of any duly-constituted regulatory authority having jurisdiction.  </w:t>
      </w:r>
      <w:r>
        <w:rPr>
          <w:b/>
          <w:bCs/>
        </w:rPr>
        <w:t>[Under review by FPUA.]</w:t>
      </w:r>
    </w:p>
    <w:p>
      <w:pPr>
        <w:pStyle w:val="Heading3"/>
        <w:rPr/>
      </w:pPr>
      <w:r>
        <w:rPr/>
        <w:t>FPRP shall submit or cause to be submitted to FPUA all specifications for the Interconnection Facilities, including System Protection Facilities, for review at least ninety (90) days prior to interconnecting such Interconnection Facilities with FPUA’s System in order to ensure that such interconnection is consistent with operational control, reliability and/or safety standards or requirements of FPUA.</w:t>
      </w:r>
    </w:p>
    <w:p>
      <w:pPr>
        <w:pStyle w:val="Heading3"/>
        <w:rPr/>
      </w:pPr>
      <w:r>
        <w:rPr/>
        <w:t>FPUA’s review of FPRP’s specifications shall be construed neither as confirming nor as endorsing the design, nor as any warranty as to fitness, safety, durability or reliability of the Interconnection Facilities.  FPUA shall not, by reasons of such review or failure to review, be responsible for strength, details of design, adequacy of capacity of FPRP’s Interconnection Facilities, nor shall FPUA’s acceptance be deemed to be an endorsement of any facility or equipment.</w:t>
      </w:r>
    </w:p>
    <w:p>
      <w:pPr>
        <w:pStyle w:val="Heading2"/>
        <w:ind w:hanging="0" w:start="0"/>
        <w:rPr/>
      </w:pPr>
      <w:r>
        <w:rPr/>
        <w:t>FPRP agrees to make changes to its Interconnection Facilities as may be reasonably required to meet the reasonable changing requirements of FPUA.  FPRP agrees to pay for changes to the Interconnection Facilities owned by FPUA as may be reasonable required to meet the reasonable changing requirements of FPUA.</w:t>
      </w:r>
    </w:p>
    <w:p>
      <w:pPr>
        <w:pStyle w:val="Heading2"/>
        <w:ind w:hanging="0" w:start="0"/>
        <w:rPr/>
      </w:pPr>
      <w:r>
        <w:rPr>
          <w:b/>
          <w:bCs/>
        </w:rPr>
        <w:t xml:space="preserve">[This section is still under review by ENRON engineering] </w:t>
      </w:r>
      <w:r>
        <w:rPr/>
        <w:t>The Facility power factor design limitation minimum requirement shall be a reactive power capability sufficient to maintain a composite power delivery at the Point of Interconnection at a power factor between 0.97 leading (when the Facility is consuming reactive power from FPUA’s System) and 0.95 lagging (when the Facility is supplying reactive power to FPUA’s System).  FPUA may adjust these reactive power capability requirements to comply with the requirements that may be established by FP&amp;L or a Florida RTO.  Facility equipment shall be selected so as to not unduly restrict the continuous reactive capability of the generator.  IEEE Standard C57.116 IEEE Guide for Transformers Directly Connected to Generators shall be followed when specifying the step-up transformer.  The step-up transformer shall have taps that cover the range of transmission system voltages as specified by FPUA, with less than or equal to 2.5% difference between adjacent taps.  The Facility generator shall be capable of continuous operation at the voltage and frequency specified in the Facility Connection Requirements.  FPRP shall demonstrate to FPUA that the Facility meets the requirements of this Section 3.3 prior to the commencement of operations.  In the event that the Facility does not meet these standards, FPUA may require the installation of static and/or dynamic reactive power compensating devices.  The cost of such devices shall be the responsibility of FPRP.</w:t>
      </w:r>
    </w:p>
    <w:p>
      <w:pPr>
        <w:pStyle w:val="BodyTextFirstIndent"/>
        <w:rPr/>
      </w:pPr>
      <w:r>
        <w:rPr/>
        <w:t xml:space="preserve">In the event that under normal FPUA System operating conditions the Facility is unable to consistently maintain a reactive power capability sufficient to maintain a composite power delivery at the Points of Interconnection at a power factor between 0.97 leading and 0.95 lagging (or such other standard as may be necessary to comply with the requirements of FP&amp;L or a Florida RTO), FPRP shall take appropriate other steps to configure the Facility to meet such standards, including, as necessary, the installation of static and/or dynamic reactive power compensating devices.  The cost of such devices shall be the responsibility of FPRP.  </w:t>
      </w:r>
    </w:p>
    <w:p>
      <w:pPr>
        <w:pStyle w:val="Heading2"/>
        <w:ind w:hanging="0" w:start="0"/>
        <w:rPr/>
      </w:pPr>
      <w:r>
        <w:rPr/>
        <w:t>The Facility will supply reactive power to, and absorb reactive power from FPUA’s System in accordance with Good Utility Practice during periods that the Facility is connected to and operating in parallel with the FPUA System.  FPRP shall respond to requests from FPUA to increase or decrease the Facility’s reactive power output in a manner consistent with FPRP’s obligation to operate the Facility: (1) in a safe and reliable manner; (2) in accordance with Good Utility Practice; (3) in accordance with applicable NERC, FRCC and Florida RTO manuals, standards and policies; and (4) in accordance with the provisions of this Agreement.  The Facility shall generate such reactive power in accordance with the voltage schedule, reactive schedule or power factor schedule, whichever is applicable, prescribed by FPUA, but not in excess of the amount available from the Facility’s equipment in operation.  Under normal operating conditions, FPRP shall operate the Facility to maintain a voltage schedule at the Points of Interconnection as prescribed by FPUA within the Facility's power factor design limitations.  In the event that the schedule prescribed by FPUA cannot or is not maintained, FPUA may direct the Facility to be operated at its maximum available reactive capability within the design limitations of the equipment in operation at the time.  FPRP shall promptly comply with such requests made by FPUA.  In addition, FPRP shall promptly take other steps as necessary to allow the Facility to maintain its schedule.  The excitation system shall normally be operated in the automatic mode.  Operation in the manual mode for extended periods is permitted only with prior approval of FPUA.  FPRP shall have a maintenance and testing program for excitation systems in compliance with applicable NERC, FRCC and Florida RTO manuals, standards and policies and Good Utility Practice.  FPRP shall have a testing program to verify the gross and net reactive power capability of the Facility.  Such program shall be in compliance with applicable NERC, FRCC and Florida RTO manuals, standards and policies, and results of such tests shall be provided to FPUA upon request.</w:t>
      </w:r>
    </w:p>
    <w:p>
      <w:pPr>
        <w:pStyle w:val="Heading2"/>
        <w:keepNext w:val="true"/>
        <w:ind w:hanging="0" w:start="0"/>
        <w:rPr/>
      </w:pPr>
      <w:r>
        <w:rPr/>
        <w:t>System Emergency</w:t>
      </w:r>
    </w:p>
    <w:p>
      <w:pPr>
        <w:pStyle w:val="Heading3"/>
        <w:rPr/>
      </w:pPr>
      <w:r>
        <w:rPr/>
        <w:t>Each party agrees to comply with NERC, FRCC and Florida RTO System Emergency procedures and FPRP and FPUA emergency procedures, as applicable, with respect to a System Emergency.</w:t>
      </w:r>
    </w:p>
    <w:p>
      <w:pPr>
        <w:pStyle w:val="Heading3"/>
        <w:rPr/>
      </w:pPr>
      <w:r>
        <w:rPr/>
        <w:t>FPUA shall provide FPRP with oral notification that is prompt under the circumstances of a System Emergency that may reasonably be expected to affect FPRP’s operation of the Facility, to the extent FPUA is aware of a System Emergency.  FPRP shall provide FPUA with oral notification that is prompt under the circumstances of a System Emergency which may reasonably be expected to affect FPUA’s System, to the extent FPRP is aware of a System Emergency.  To the extent the party becoming aware of a System Emergency  is aware of the facts of the System Emergency, such notification shall describe the System Emergency, the System Emergency. to the extent of the damage or deficiency, its anticipated duration, and the corrective action taken and/or to be taken, and shall be followed as soon as practicable with written notice.</w:t>
      </w:r>
    </w:p>
    <w:p>
      <w:pPr>
        <w:pStyle w:val="Heading3"/>
        <w:rPr/>
      </w:pPr>
      <w:r>
        <w:rPr/>
        <w:t>In the event of a System Emergency, the party becoming aware of the System Emergency may, in accordance with Good Utility Practice and using its reasonable judgment, take such action as is reasonable and necessary to prevent, avoid or mitigate injury, danger and loss.  In the event FPRP has identified a System Emergency, FPRP shall obtain the consent of FPUA personnel prior to manually performing any switching operations unless, in FPRP’s reasonable judgment, immediate action is required.</w:t>
      </w:r>
    </w:p>
    <w:p>
      <w:pPr>
        <w:pStyle w:val="Heading3"/>
        <w:rPr/>
      </w:pPr>
      <w:r>
        <w:rPr/>
        <w:t>FPUA may, consistent with Good Utility Practice, take whatever actions or inactions with regard to FPUA’s System it deems necessary during a System Emergency in order to:  (i) preserve public health and safety; (ii) preserve the reliability of FPUA’s System; (iii) limit or prevent damage; and (iv) expedite restoration of service.  FPUA shall use reasonable efforts to minimize the effect of such actions or inactions on the Facility.</w:t>
      </w:r>
    </w:p>
    <w:p>
      <w:pPr>
        <w:pStyle w:val="Heading3"/>
        <w:rPr/>
      </w:pPr>
      <w:r>
        <w:rPr/>
        <w:t>FPRP may, consistent with Good Utility Practice, take whatever actions or inactions with regard to the Facility it deems necessary during a System Emergency in order to:  (i) preserve public health and safety; (ii) preserve the reliability of the Facility; (iii) limit or prevent damage; and (iv) expedite restoration of service,  FPRP shall use reasonable efforts to minimize the effect of such actions or inactions on FPUA’s System.</w:t>
      </w:r>
    </w:p>
    <w:p>
      <w:pPr>
        <w:pStyle w:val="Heading3"/>
        <w:rPr/>
      </w:pPr>
      <w:r>
        <w:rPr/>
        <w:t>When FPUA declares a System Emergency on the FPUA System or on an adjacent transmission system, FPUA shall have the authority to direct FPRP to increase or decrease real power production (measured in MW) and/or reactive power production (measured in MVAR), within the design and operational limitations of the Facility equipment in operation at the time, in order to maintain FPUA System security.  In the event of a declaration of a System Emergency, a determination: (i) that FPUA’s System is in jeopardy, and (ii) that there is a need to increase or decrease reactive power production, even if real power production is adversely affected, will be made solely by FPUA.  The Facility operator (if a party other than FPUA) will honor FPUA’s orders and directives concerning Facility real power and/or reactive power output within the design limitations of the Facility’s equipment in operation at the time, such that the security of FPUA’s System is maintained.  FPUA shall restore the FPUA System conditions to normal as quickly as possible to alleviate any such System Emergency.  FPUA will take all reasonable steps to equitably allocate among all generating units and other reactive power resources the responsibility to provide reactive power support to FPUA’s System.</w:t>
      </w:r>
    </w:p>
    <w:p>
      <w:pPr>
        <w:pStyle w:val="BodyTextFirstIndent"/>
        <w:rPr/>
      </w:pPr>
      <w:r>
        <w:rPr/>
        <w:t>The Facility may be called upon by FPUA during a System Emergency to mitigate such emergency by, but not limited to, requesting the Facility to start up, shut down, increase or decrease the output of the Facility.</w:t>
      </w:r>
    </w:p>
    <w:p>
      <w:pPr>
        <w:pStyle w:val="BodyTextFirstIndent"/>
        <w:rPr/>
      </w:pPr>
      <w:r>
        <w:rPr/>
        <w:t>FPRP will be compensated in accordance with Section 3.6 for its provision of reactive power to mitigate a System Emergency in response to a request by FPUA.  During an Emergency, FPRP shall be compensated for any excess energy (MWh) delivered in excess of its transmission service schedule in response to FPUA’s request, based on the reasonable costs incurred by FPRP to produce that excess energy.  FPUA shall reimburse FPRP for any reasonable costs incurred by FPRP in response to a request by FPUA to start up the Facility to mitigate a System Emergency.  Without limiting Article VIII, below, FPRP will not be compensated for any incidental or consequential loss or damage associated with responding to a request by FPUA to mitigate a System Emergency, including, but not limited to, loss of profits or revenue on work not performed, for loss of use of or under-utilization of the other FPRP’s facilities, or loss of use of revenues or loss of anticipated profits.</w:t>
      </w:r>
    </w:p>
    <w:p>
      <w:pPr>
        <w:pStyle w:val="Heading3"/>
        <w:rPr/>
      </w:pPr>
      <w:r>
        <w:rPr/>
        <w:t>Each party shall keep and maintain records of actions taken during a System Emergency that may reasonably be expected to impact the other party’s facilities and make such records available for third party independent audit upon the request and expense of the party affected by such action.  Any such request for an audit will be no later than twenty-four (24) months following the action taken.</w:t>
      </w:r>
    </w:p>
    <w:p>
      <w:pPr>
        <w:pStyle w:val="Heading2"/>
        <w:ind w:hanging="0" w:start="0"/>
        <w:rPr/>
      </w:pPr>
      <w:r>
        <w:rPr/>
        <w:t>In the event FPRP supplies reactive power to FPUA’s System, FPUA will pass through to FPRP amounts FPUA receives or is allocated for the provision of such reactive power, from tariff or elsewhere.  At such time as FERC or another regulatory agency with jurisdiction over the sale or provision of reactive power at market-based rates accepts a tariff, rate schedule or market mechanism for reactive power services or otherwise permits FPRP to charge FPUA and/or other users for reactive power services provided by FPRP, or in the event of any other change in law or regulation that permits FPRP to assess market-based charges or otherwise seek reimbursement for its provision of reactive power services, FPRP shall be entitled to compensation for reactive power services at market-based rates from its customer using the reactive power services, which may include FPUA, in accordance with the terms and conditions of such tariff, rate schedule, market mechanism, or other legal or regulatory scheme.  In such event, the compensation provisions of this Section 3.6 shall no longer apply to the parties.</w:t>
      </w:r>
    </w:p>
    <w:p>
      <w:pPr>
        <w:pStyle w:val="Heading2"/>
        <w:ind w:hanging="0" w:start="0"/>
        <w:rPr/>
      </w:pPr>
      <w:r>
        <w:rPr/>
        <w:t>FPRP agrees to require its Facility operator to immediately contact FPUA’s System dispatcher in the event hazardous or unsafe conditions associated with the parties’ parallel operations are discovered.  If such conditions are detected by FPUA, then FPUA will likewise immediately contact the operator of the Facility.  Each party agrees to immediately take whatever appropriate corrective action is necessary to correct the hazardous or unsafe conditions.</w:t>
      </w:r>
    </w:p>
    <w:p>
      <w:pPr>
        <w:pStyle w:val="BodyTextFirstIndent"/>
        <w:rPr/>
      </w:pPr>
      <w:r>
        <w:rPr/>
        <w:t>To the extent FPUA reasonably determines the same to be necessary to ensure the safe operation of the Facility or to protect the integrity of FPUA’s system, FPRP agrees to reduce power generation or take other appropriate actions.</w:t>
      </w:r>
    </w:p>
    <w:p>
      <w:pPr>
        <w:pStyle w:val="Heading2"/>
        <w:ind w:hanging="0" w:start="0"/>
        <w:rPr/>
      </w:pPr>
      <w:r>
        <w:rPr/>
        <w:t>In order to help ensure the continuous, safe, reliable, and compatible operation of the Facility with FPUA’s System, FPRP hereby grants to FPUA during the term of this Agreement the reasonable right of ingress and egress, consistent with the safe operation of the Facility, over property owned or controlled by FPRP to the extent FPUA deems such ingress and egress necessary in order to examine, test, calibrate, coordinate, operate, maintain or repair any interconnection equipment involved in the parallel operation of the Facility and FPUA’s System, including FPUA’s metering equipment.</w:t>
      </w:r>
    </w:p>
    <w:p>
      <w:pPr>
        <w:pStyle w:val="Heading1"/>
        <w:ind w:hanging="0" w:start="0"/>
        <w:rPr/>
      </w:pPr>
      <w:r>
        <w:rPr/>
        <w:t>:  TRANSMISSION</w:t>
      </w:r>
    </w:p>
    <w:p>
      <w:pPr>
        <w:pStyle w:val="Heading2"/>
        <w:ind w:hanging="0" w:start="0"/>
        <w:rPr/>
      </w:pPr>
      <w:r>
        <w:rPr/>
        <w:t xml:space="preserve">Subject to FPRP’s completion, at FPRP’s cost, of the Transmission Upgrades and to FPRP’s transfer of the Transmission Upgrades to FPUA, FPRP may make available to FPUA at the Transmission Receipt Point up to </w:t>
      </w:r>
      <w:r>
        <w:rPr>
          <w:b/>
          <w:bCs/>
        </w:rPr>
        <w:t>[210,000] [under review by FPUA]</w:t>
      </w:r>
      <w:r>
        <w:rPr/>
        <w:t xml:space="preserve"> kilowatts of energy or energy and capacity, and FPUA will deliver the energy or energy and capacity received at the Transmission Receipt Point, less an allowance of 2 percent of contracted capacity kilowatts for transmission losses incurred enroute between the Transmission Receipt Point and the Transmission Delivery Point, to the Transmission Delivery Point.</w:t>
      </w:r>
    </w:p>
    <w:p>
      <w:pPr>
        <w:pStyle w:val="Heading2"/>
        <w:ind w:hanging="0" w:start="0"/>
        <w:rPr/>
      </w:pPr>
      <w:r>
        <w:rPr/>
        <w:t>FPRP shall give FPUA written notice, at least thirty (30) days in advance, of the first day which FPRP anticipates that transmission services shall begin.</w:t>
      </w:r>
    </w:p>
    <w:p>
      <w:pPr>
        <w:pStyle w:val="Heading2"/>
        <w:ind w:hanging="0" w:start="0"/>
        <w:rPr/>
      </w:pPr>
      <w:r>
        <w:rPr/>
        <w:t>FPUA shall provide the transmission service furnished under this Agreement and minimize the duration and frequency of any interruptions in such transmission service and maintain that portion of FPUA’s System involved in fulfilling FPUA’s obligations under this Agreement in accordance with Good Utility Practice.  FPUA shall give FPRP advance notice, as early as practicable under the circumstances of any maintenance on FPUA’s System which might limit or interrupt the transmission service provided for hereunder.</w:t>
      </w:r>
    </w:p>
    <w:p>
      <w:pPr>
        <w:pStyle w:val="Heading2"/>
        <w:ind w:hanging="0" w:start="0"/>
        <w:rPr/>
      </w:pPr>
      <w:r>
        <w:rPr/>
        <w:t>It is understood and agreed that the obligation of FPUA to provide transmission service shall be subject to (a) the completion of the Transmission Upgrades by FPRP at FPRP’s sole cost; (b) transfer of the Transmission Upgrades; and (c) FPUA’s ability to transmit and deliver consistent with Good Utility Practices and consistent with the operation of its system in a System Emergency.</w:t>
      </w:r>
    </w:p>
    <w:p>
      <w:pPr>
        <w:pStyle w:val="Heading2"/>
        <w:ind w:hanging="0" w:start="0"/>
        <w:rPr/>
      </w:pPr>
      <w:r>
        <w:rPr/>
        <w:t>FPUA shall not be obligated to transmit any energy or energy and capacity which it may receive prior to the date specified in the notice required in Section 4.4 from FPRP for the initial delivery of such energy or energy and capacity.</w:t>
      </w:r>
    </w:p>
    <w:p>
      <w:pPr>
        <w:pStyle w:val="Heading2"/>
        <w:ind w:hanging="0" w:start="0"/>
        <w:rPr/>
      </w:pPr>
      <w:r>
        <w:rPr/>
        <w:t>FPRP may request a modification of the Transmission Receipt Points and Transmission Delivery Points under this Agreement.  Any such request to modify Transmission Receipt Points and Transmission Delivery Points on a firm basis shall be treated as a new request for service, except that FPRP shall not be obligated to pay any additional deposit if the capacity reservation does not exceed the amount reserved in the existing Agreement.  While such new request is pending, FPRP shall retain its priority for service at the existing firm Transmission Receipt Points and Transmission Delivery Points specified in its Service Agreement.</w:t>
      </w:r>
    </w:p>
    <w:p>
      <w:pPr>
        <w:pStyle w:val="Heading2"/>
        <w:ind w:hanging="0" w:start="0"/>
        <w:rPr/>
      </w:pPr>
      <w:r>
        <w:rPr/>
        <w:t>FPRP may also request and FPUA shall provide transmission service on a non-firm basis over Transmission Receipt Points and Transmission Delivery Points other than those specified in this Agreement (“Secondary Receipt and Delivery Points”), in amounts not to exceed its firm capacity reservation, without incurring an additional charge or executing a new Agreement, subject to the following conditions.</w:t>
      </w:r>
    </w:p>
    <w:p>
      <w:pPr>
        <w:pStyle w:val="Heading3"/>
        <w:rPr/>
      </w:pPr>
      <w:r>
        <w:rPr/>
        <w:t>Service provided over Secondary Receipt and Delivery Points will be non</w:t>
        <w:noBreakHyphen/>
        <w:t>firm only, on an as</w:t>
        <w:noBreakHyphen/>
        <w:t>available basis and will not displace any firm or non</w:t>
        <w:noBreakHyphen/>
        <w:t>firm service reserved or scheduled by third</w:t>
        <w:noBreakHyphen/>
        <w:t>parties.</w:t>
      </w:r>
    </w:p>
    <w:p>
      <w:pPr>
        <w:pStyle w:val="Heading3"/>
        <w:rPr/>
      </w:pPr>
      <w:r>
        <w:rPr/>
        <w:t>The sum of all firm and non</w:t>
        <w:noBreakHyphen/>
        <w:t>firm point</w:t>
        <w:noBreakHyphen/>
        <w:t>to</w:t>
        <w:noBreakHyphen/>
        <w:t>point transmission service provided to the FPRP at any time pursuant to this section shall not exceed the capacity reserved in this Agreement.</w:t>
      </w:r>
    </w:p>
    <w:p>
      <w:pPr>
        <w:pStyle w:val="Heading3"/>
        <w:rPr/>
      </w:pPr>
      <w:r>
        <w:rPr/>
        <w:t>FPRP shall retain its right to schedule firm point-to-point transmission service at the Transmission Receipt Points and Transmission Delivery Points in the capacity amount reserved herein.</w:t>
      </w:r>
    </w:p>
    <w:p>
      <w:pPr>
        <w:pStyle w:val="Heading3"/>
        <w:rPr/>
      </w:pPr>
      <w:r>
        <w:rPr/>
        <w:t>Service over Secondary Receipt and Delivery Points on a non-firm basis shall not require the execution of a new transmission agreement.  However, the requirements of this Agreement shall apply to transmission service on a non-firm basis over Secondary Receipt and Delivery Points.</w:t>
      </w:r>
    </w:p>
    <w:p>
      <w:pPr>
        <w:pStyle w:val="Heading1"/>
        <w:ind w:hanging="0" w:start="0"/>
        <w:rPr/>
      </w:pPr>
      <w:r>
        <w:rPr/>
        <w:t>:  METERING</w:t>
      </w:r>
    </w:p>
    <w:p>
      <w:pPr>
        <w:pStyle w:val="Heading2"/>
        <w:ind w:hanging="0" w:start="0"/>
        <w:rPr/>
      </w:pPr>
      <w:r>
        <w:rPr/>
        <w:t>The measurement of quantity of energy or energy and capacity flow under this Agreement at the Transmission Receipt Points and at the Transmission Delivery Point shall be determined in accordance with procedures approved by FPUA and FPRP.</w:t>
      </w:r>
    </w:p>
    <w:p>
      <w:pPr>
        <w:pStyle w:val="Heading2"/>
        <w:ind w:hanging="0" w:start="0"/>
        <w:rPr>
          <w:b/>
          <w:bCs/>
        </w:rPr>
      </w:pPr>
      <w:r>
        <w:rPr>
          <w:b/>
          <w:bCs/>
        </w:rPr>
        <w:t>[Unless otherwise agreed, FPRP shall be responsible for installing and maintaining compatible metering and communications equipment to accurately account for the capacity and energy being transmitted under this Agreement and to communicate the information to FPUA.  FPRP shall be solely responsible for the costs of such metering and communications equipment, and such equipment shall remain the property of FPRP.  The parties shall establish mutually agreed upon procedures for meter reading, calibration and adjustments, based on practices consistently adhered to by FPUA.]  [UNDER REVIEW BY FPRP]</w:t>
      </w:r>
    </w:p>
    <w:p>
      <w:pPr>
        <w:pStyle w:val="Heading1"/>
        <w:ind w:hanging="0" w:start="0"/>
        <w:rPr/>
      </w:pPr>
      <w:r>
        <w:rPr/>
        <w:t>:  CHARGES AND PAYMENT FOR INTERCONNECTION AND TRANSMISSION SERVICE</w:t>
      </w:r>
    </w:p>
    <w:p>
      <w:pPr>
        <w:pStyle w:val="Heading2"/>
        <w:ind w:hanging="0" w:start="0"/>
        <w:rPr/>
      </w:pPr>
      <w:r>
        <w:rPr/>
        <w:t>Commencing on the Initial Delivery Date, FPRP shall pay FPUA a monthly charge equal to $1.07 KW/month times the higher of the capacity reserved by FPRP or FPRP’s actual peak for the month.  The monthly charge shall be changed on each fifth anniversary of the Initial Delivery Date to reflect changes in FPUA’s cost to provide services under this Agreement.</w:t>
      </w:r>
    </w:p>
    <w:p>
      <w:pPr>
        <w:pStyle w:val="BodyTextFirstIndent"/>
        <w:rPr/>
      </w:pPr>
      <w:r>
        <w:rPr/>
        <w:t xml:space="preserve">FPUA shall credit FPRP’s monthly charge for the services under this Agreement, in an amount equal to the costs incurred by FPRP for the Transmission Upgrades and Interconnection Facilities  until such time as such costs (together with a return on such cost at a rate of seven and one-half percent (7.5%) per annum from the date such cost is incurred until credited as aforesaid) have been fully offset, after which time such offset or credit shall no longer apply.  In any given month, the amount of the credit shall not exceed FPRP’s monthly charge for the services under this Agreement.  </w:t>
      </w:r>
      <w:r>
        <w:rPr>
          <w:b/>
          <w:bCs/>
        </w:rPr>
        <w:t>[Under review by FPUA]</w:t>
      </w:r>
    </w:p>
    <w:p>
      <w:pPr>
        <w:pStyle w:val="BodyTextFirstIndent"/>
        <w:rPr/>
      </w:pPr>
      <w:r>
        <w:rPr/>
        <w:t>Upon request of FPUA, FPRP shall provide FPUA with documentation establishing FPRP’s cost incurred for the Transmission Upgrades.</w:t>
      </w:r>
    </w:p>
    <w:p>
      <w:pPr>
        <w:pStyle w:val="Heading2"/>
        <w:ind w:hanging="0" w:start="0"/>
        <w:rPr/>
      </w:pPr>
      <w:r>
        <w:rPr/>
        <w:t xml:space="preserve">By written notice from FPRP to FPUA from-time-to-time on or after the Initial Date of Delivery, FPRP may decrease the amount of reserved transmission capacity required to be provided by FPUA under this Agreement.  Such change in quantity shall become effective for rate making and billing purposes on the first day of the first calendar month following receipt of such notice by FPUA.  </w:t>
      </w:r>
    </w:p>
    <w:p>
      <w:pPr>
        <w:pStyle w:val="Heading1"/>
        <w:ind w:hanging="0" w:start="0"/>
        <w:rPr/>
      </w:pPr>
      <w:r>
        <w:rPr/>
        <w:t>:  PERMITS</w:t>
      </w:r>
    </w:p>
    <w:p>
      <w:pPr>
        <w:pStyle w:val="Heading2"/>
        <w:ind w:hanging="0" w:start="0"/>
        <w:rPr/>
      </w:pPr>
      <w:r>
        <w:rPr/>
        <w:t>FPRP hereby agrees to seek to obtain any and all governmental permits, certifications or other authority FPRP is required to obtain as a prerequisite to engaging in the activities provided for in this Agreement.  FPUA hereby agrees, at FPRP’s expense, to seek to obtain any and all governmental permits, certifications or other authority FPUA is required to obtain as a prerequisite to engaging in the activities provided for in this Agreement.</w:t>
      </w:r>
    </w:p>
    <w:p>
      <w:pPr>
        <w:pStyle w:val="Heading1"/>
        <w:ind w:hanging="0" w:start="0"/>
        <w:rPr/>
      </w:pPr>
      <w:r>
        <w:rPr/>
        <w:t>:  LIABILITY LIMITATION</w:t>
      </w:r>
    </w:p>
    <w:p>
      <w:pPr>
        <w:pStyle w:val="Heading2"/>
        <w:ind w:hanging="0" w:start="0"/>
        <w:rPr/>
      </w:pPr>
      <w:r>
        <w:rPr/>
        <w:t xml:space="preserve">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SUBJECT TO FPRP’S RIGHT TO SPECIFIC PERFORMANCE OF FPUA’S OBLIGATIONS HEREUNDER, IF NO REMEDY OR MEASURE OF DAMAGES IS EXPRESSLY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Pr>
          <w:b/>
          <w:bCs/>
        </w:rPr>
        <w:t>[Under Review by FPUA]</w:t>
      </w:r>
    </w:p>
    <w:p>
      <w:pPr>
        <w:pStyle w:val="Heading2"/>
        <w:ind w:hanging="0" w:start="0"/>
        <w:rPr/>
      </w:pPr>
      <w:r>
        <w:rPr/>
        <w:t>Each party agrees that it has a duty to mitigate damages and covenants that it will use commercially reasonable efforts to minimize any damages it may incur as a result of the other party’s performance or nonperformance of this Agreement.</w:t>
      </w:r>
    </w:p>
    <w:p>
      <w:pPr>
        <w:pStyle w:val="Heading2"/>
        <w:ind w:hanging="0" w:start="0"/>
        <w:rPr/>
      </w:pPr>
      <w:r>
        <w:rPr/>
        <w:t>Disclaimer of Warranties.  EXCEPT AS EXPRESSLY SET FORTH IN THIS AGREEMENT, FPRP AND FPUA EACH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pPr>
      <w:r>
        <w:rPr/>
        <w:t>:  ASSIGNMENT</w:t>
      </w:r>
    </w:p>
    <w:p>
      <w:pPr>
        <w:pStyle w:val="Heading2"/>
        <w:ind w:hanging="0" w:start="0"/>
        <w:rPr/>
      </w:pPr>
      <w:r>
        <w:rPr/>
        <w:t>Assignment by FPUA and FPRP.  Except as otherwise provided in this Article IX, the rights and obligations of each Party under this Agreement shall not be assignable by any Party without the express written consent of the other Parties, which consent shall not be unreasonably delayed, conditioned or withheld</w:t>
      </w:r>
    </w:p>
    <w:p>
      <w:pPr>
        <w:pStyle w:val="Heading2"/>
        <w:ind w:hanging="0" w:start="0"/>
        <w:rPr/>
      </w:pPr>
      <w:r>
        <w:rPr/>
        <w:t xml:space="preserve">FPRP may assign this  Agreement, any of its rights or obligations hereunder or all or substantially all of its membership interests without FPUA’s consent (i) as collateral security to any lender providing construction or long-term financing for the Project, (ii) to any person, including any lessor or trust, in connection with any lease, transfer or other off-balance sheet or other financing arrangement for the Project, (iii) to any affiliate of FPRP or Enron Corp. or any entity in which FPRP or Enron Corp. or any affiliate of FPRP or Enron Corp. holds a ten percent (10%) or greater equity interest, and (iv) subject to FPUA’s rights under </w:t>
      </w:r>
      <w:r>
        <w:rPr>
          <w:u w:val="single"/>
        </w:rPr>
        <w:t>Section 9.2(c)</w:t>
      </w:r>
      <w:r>
        <w:rPr/>
        <w:t>, thirty (30) days after FPRP’s Notice to FPUA, to a Qualified Purchaser.  FPUA agrees to execute such documents as FPRP shall reasonably request to confirm any assignments described in this Article IX.</w:t>
      </w:r>
    </w:p>
    <w:p>
      <w:pPr>
        <w:pStyle w:val="Heading3"/>
        <w:rPr/>
      </w:pPr>
      <w:r>
        <w:rPr/>
        <w:t>Notwithstanding the foregoing, any lender participating in or providing financing or financing structures, including without limitation, structures related to leasing arrangements and project financing in respect of the Project, may transfer or assign its rights associated with the Project upon liquidation or foreclosure in satisfaction of FPRP’s obligations under such financing structure.</w:t>
      </w:r>
    </w:p>
    <w:p>
      <w:pPr>
        <w:pStyle w:val="Heading3"/>
        <w:rPr/>
      </w:pPr>
      <w:r>
        <w:rPr/>
        <w:t xml:space="preserve">When duly assigned in accordance with this </w:t>
      </w:r>
      <w:r>
        <w:rPr>
          <w:u w:val="single"/>
        </w:rPr>
        <w:t>Section 9.2</w:t>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shall be assigned to the assignee as if such assignee were an original party to this Agreement), (ii) the assignor shall be irrevocably relieved of and forever discharged from all liability under this Agreement so long as the assignee executes an assumption of such liabilities, and (iii) FPUA shall look only to such assignee for the performance of the obligations so assigned.</w:t>
      </w:r>
    </w:p>
    <w:p>
      <w:pPr>
        <w:pStyle w:val="Heading3"/>
        <w:rPr/>
      </w:pPr>
      <w:r>
        <w:rPr/>
        <w:t>If, at any time during the term of this Agreement, FPRP shall receive a bona fide offer to purchase or a proposed purchase contract which is acceptable to FPRP (the “</w:t>
      </w:r>
      <w:r>
        <w:rPr>
          <w:u w:val="single"/>
        </w:rPr>
        <w:t>Qualified Purchaser Offer</w:t>
      </w:r>
      <w:r>
        <w:rPr/>
        <w:t>”) with regard to all or any portion of the Project or the Facility, FPRP shall serve upon FPUA a true copy of such Qualified Purchaser Offer.  The service by FPRP upon FPUA of a copy of a Qualified Purchaser Offer  shall constitute an offer to sell to FPUA the portion of the Project or the Facility described in the Qualified Purchaser Offer.  FPUA shall have sixty (60) days after such copy of the Qualified Purchaser Offer is given to FPUA within which to serve upon FPRP a notice (the “</w:t>
      </w:r>
      <w:r>
        <w:rPr>
          <w:u w:val="single"/>
        </w:rPr>
        <w:t>Qualified Purchaser Purchase Notice</w:t>
      </w:r>
      <w:r>
        <w:rPr/>
        <w:t>”) setting forth FPUA’s agreement to purchase such portion of the FPRP Project Facilities upon the terms and conditions contained in said Qualified Purchaser Offer.  The Qualified Purchaser Purchase Notice shall constitute FPUA’s acceptance of, and binding agreement to purchase the portion of the FPRP Project Facilities described in and in accordance with the terms of the Qualified Purchaser Offer.  If FPUA shall fail to properly serve such Qualified Purchaser Purchase Notice within such sixty (60) day period, or if FPUA shall properly serve such Qualified Purchaser Purchase Notice but shall (except as a result of FPRP’s fault) fail to close the purchase of such portion of the FPRP Project Facilities within the time period provided in such Qualified Purchaser Offer (or, absent a closing date set forth in such Qualified Purchaser Offer, within ninety (90) days following the date on which the Qualified Purchaser Purchase Notice was given to FPRP), then in either event FPRP shall be free at any time thereafter to sell a portion of the Project or the Facility described in the Qualified Purchaser Offer to the Qualified Purchaser who presented the Qualified Purchaser Offer without offering FPUA the opportunity to purchase such portion of the Project or the Facility, provided the consideration to be paid by such Qualified Purchaser shall not be less than the purchase price set forth in the Qualified Purchaser Offer and further provided the other terms of such sale shall not differ in any material respect from the terms set forth in the Qualified Purchaser Offer.</w:t>
      </w:r>
    </w:p>
    <w:p>
      <w:pPr>
        <w:pStyle w:val="Heading2"/>
        <w:ind w:hanging="0" w:start="0"/>
        <w:rPr/>
      </w:pPr>
      <w:r>
        <w:rPr/>
        <w:t xml:space="preserve">Lenders.  Without limiting the generality of </w:t>
      </w:r>
      <w:r>
        <w:rPr>
          <w:u w:val="single"/>
        </w:rPr>
        <w:t>Section 9.2</w:t>
      </w:r>
      <w:r>
        <w:rPr/>
        <w:t>, FPUA recognizes that FPRP may seek to obtain financing, including on an off-balance sheet or other basis, for the Project and hereby agrees to (i) cooperate reasonably with FPRP’s efforts to secure such financing, (ii) provide FPRP and the Lenders on a timely basis with such information regarding FPUA as may be reasonably requested by FPRP or such Lenders, and (iii) provide FPRP and the Lenders on a timely basis with such consents, opinions, resolutions and related documents from FPUA and any other Persons, as are reasonably requested by the Lenders and are customary in connection with the closing of a financing for facilities such as the Project; provided, however, with respect to FPUA’s obligations to provide consents, opinions, resolutions and related documents from any other person, FPUA shall only be required to use its best efforts to obtain such consents, opinion, resolutions or related documents.  Accordingly, FPRP, and every successor and assign of FPRP, is hereby given the right, without FPUA’s consent, to sell, assign, mortgage, pledge, encumber or in any manner transfer its rights and obligations under this Agreement to any Lender providing construction or long-term financing for the Project.  If FPRP and/or any successor or assign shall sell, assign, mortgage, pledge, encumber or in any manner transfer its rights to a Lender under this Agreement, FPRP shall provide to FPUA written notice thereof, specifying such Lender’s name and address, FPUA agrees that the following provisions shall apply to FPUA, and shall supersede any inconsistent provisions contained in any other section of this Agreement, as long as the obligations of FPRP under the Financing Agreements shall remain unsatisfied or until written notice of satisfaction is given by such Lender to FPUA:</w:t>
      </w:r>
    </w:p>
    <w:p>
      <w:pPr>
        <w:pStyle w:val="Heading3"/>
        <w:rPr/>
      </w:pPr>
      <w:r>
        <w:rPr/>
        <w:t xml:space="preserve">FPUA shall, upon providing FPRP with notice of default or notice of termination or other material notice provided for under this Agreement, simultaneously provide a copy of such notice to the Lenders; provided, however, FPUA shall not be obligated to deliver notices to more than three (3) Lenders.  No notice of default or notice of termination or other material notice to FPRP under this Agreement shall be deemed to have been duly given unless and until a copy thereof has been so served upon each Lender.  Each Lender shall thereupon have the same right as FPRP, but not the obligation, to remedy or to cause to be remedied or to commence to remedy the defaults which are the subject matter of such notice, in addition to the other rights granted to Lender in this </w:t>
      </w:r>
      <w:r>
        <w:rPr>
          <w:u w:val="single"/>
        </w:rPr>
        <w:t>Section 9.3</w:t>
      </w:r>
      <w:r>
        <w:rPr/>
        <w:t>.  FPUA shall accept such performance by or on behalf of Lender as if the performance had been done by FPRP.</w:t>
      </w:r>
    </w:p>
    <w:p>
      <w:pPr>
        <w:pStyle w:val="Heading3"/>
        <w:rPr/>
      </w:pPr>
      <w:r>
        <w:rPr/>
        <w:t>If any event of default with respect to FPRP shall occur with respect to this Agreement, FPUA shall have no right to terminate this Agreement or exercise any remedies under this Agreement unless FPUA shall first give to each Lender a notice of default (the “</w:t>
      </w:r>
      <w:r>
        <w:rPr>
          <w:u w:val="single"/>
        </w:rPr>
        <w:t>Lender Notice of Default</w:t>
      </w:r>
      <w:r>
        <w:rPr/>
        <w:t>”), which shall contain a statement of all existing events of default under this Agreement as of the date of the notice (any event of default as of such date not contained in the notice being deemed to be waived by FPUA).  If within thirty (30) days after receipt of such Lender Notice of Default, Lender shall have cured any stated monetary event of default and/or if within ninety (90) days after receipt of such Lender Notice of Default, Lender shall have cured or commenced the curing of any stated nonmonetary event of default and shall thereafter prosecute the same to completion with all reasonable diligence, then in such event FPUA shall not be entitled to terminate this Agreement or exercise any such remedy in each case in respect of such events of default enumerated in such notice and both the notice of default given to FPRP and the Lender Notice of Default given to Lender shall be null and void.</w:t>
      </w:r>
    </w:p>
    <w:p>
      <w:pPr>
        <w:pStyle w:val="Heading3"/>
        <w:rPr/>
      </w:pPr>
      <w:r>
        <w:rPr/>
        <w:t>The Lenders shall not be deemed to be assignees or transferees of this Agreement so as to require the Lenders to assume the performance of any of the terms, covenants and conditions on the part of FPRP to be performed thereunder.  The liability of the Lenders, their successors and assigns, shall be limited in all respects to their interest in this Agreement.</w:t>
      </w:r>
    </w:p>
    <w:p>
      <w:pPr>
        <w:pStyle w:val="Heading3"/>
        <w:rPr/>
      </w:pPr>
      <w:r>
        <w:rPr/>
        <w:t xml:space="preserve">Any notice or other communication which FPUA shall desire or is required to give to or serve upon the Lenders shall be in writing and addressed to each Lender (not to exceed three (3) Lenders) at the address set forth in the last notice delivered to FPUA from such Lender identifying such Lender’s interest in this Agreement, or at such other address as shall be designated by each Lender by notice in writing given to FPUA.  Any notice or other communication which the Lender shall desire or is required to give to or serve upon FPUA shall be in writing and addressed at the address for FPUA set forth in this Agreement.  Each such notice and communication provided for under this </w:t>
      </w:r>
      <w:r>
        <w:rPr>
          <w:u w:val="single"/>
        </w:rPr>
        <w:t>Article IX</w:t>
      </w:r>
      <w:r>
        <w:rPr/>
        <w:t xml:space="preserve"> otherwise shall comply with the requirements of notice as provided for in </w:t>
      </w:r>
      <w:r>
        <w:rPr>
          <w:u w:val="single"/>
        </w:rPr>
        <w:t>Article XI</w:t>
      </w:r>
      <w:r>
        <w:rPr/>
        <w:t>.</w:t>
      </w:r>
    </w:p>
    <w:p>
      <w:pPr>
        <w:pStyle w:val="Heading3"/>
        <w:rPr/>
      </w:pPr>
      <w:r>
        <w:rPr/>
        <w:t>In the event any Lender shall request reasonable modifications to this Agreement, FPUA agrees that it shall not unreasonably withhold, delay or condition its consent thereto, provided that such modifications do not change the amount, manner or time of any payments due to FPUA hereunder.</w:t>
      </w:r>
    </w:p>
    <w:p>
      <w:pPr>
        <w:pStyle w:val="Heading3"/>
        <w:rPr/>
      </w:pPr>
      <w:r>
        <w:rPr/>
        <w:t xml:space="preserve">The provisions of this </w:t>
      </w:r>
      <w:r>
        <w:rPr>
          <w:u w:val="single"/>
        </w:rPr>
        <w:t>Article IX</w:t>
      </w:r>
      <w:r>
        <w:rPr/>
        <w:t xml:space="preserve"> in favor of the Lenders shall inure to the benefit of the Lenders and their successors, assigns and designees, and also any other purchaser or transferee of this Agreement pursuant to any foreclosure or bankruptcy proceedings, or assignment in lieu thereof.</w:t>
      </w:r>
    </w:p>
    <w:p>
      <w:pPr>
        <w:pStyle w:val="Heading3"/>
        <w:rPr/>
      </w:pPr>
      <w:r>
        <w:rPr/>
        <w:t>FPUA will not modify, amend or accept a surrender this Agreement without the prior written consent of the Lenders. Any such modification, amendment or surrender without the written consent of the Lenders of which FPUA has been given notice shall be void and of no force or effect.  Notwithstanding any provision in this Agreement to the contrary, FPUA’s right to terminate this Agreement shall be limited by the provisions of this Article IX.</w:t>
      </w:r>
    </w:p>
    <w:p>
      <w:pPr>
        <w:pStyle w:val="Heading2"/>
        <w:ind w:hanging="0" w:start="0"/>
        <w:rPr/>
      </w:pPr>
      <w:r>
        <w:fldChar w:fldCharType="begin"/>
      </w:r>
      <w:r>
        <w:rPr/>
        <w:instrText xml:space="preserve"> LISTNUM  </w:instrText>
      </w:r>
      <w:r>
        <w:rPr/>
      </w:r>
      <w:r>
        <w:rPr/>
        <w:fldChar w:fldCharType="separate"/>
      </w:r>
      <w:r>
        <w:rPr/>
      </w:r>
      <w:r>
        <w:rPr/>
      </w:r>
      <w:r>
        <w:rPr/>
        <w:fldChar w:fldCharType="end"/>
      </w:r>
      <w:r>
        <w:rPr/>
        <w:t xml:space="preserve">  FPUA may elect to become a participant in a Florida RTO and transfer ownership or control of FPUA’s System or portions thereof, including the Transmission Upgrades and Interconnection Facilities owned by FPUA to the RTO.</w:t>
      </w:r>
    </w:p>
    <w:p>
      <w:pPr>
        <w:pStyle w:val="Heading3"/>
        <w:rPr/>
      </w:pPr>
      <w:r>
        <w:rPr/>
        <w:t>In the event of a transfer pursuant to Section 9.4(a), FPRP shall be reimbursed the costs incurred by it for the Transmission Upgrades and Interconnection Facilities (together with interest thereon as described in Section 6.1) by at FPRP’s option (i) a credit (in the manner specified in Secion 6.1) against the transmission services thereafter provided by the Florida RTO or (ii) by a transfer to FPRP by FPUA of any reimbursement payment, which is acceptable to FPRP, received by FPUA with respect to the transfer of the Transmission Upgrades and Interconnection Facilities promptly following the transfer or (iii) a combination of (i) and (ii).</w:t>
      </w:r>
    </w:p>
    <w:p>
      <w:pPr>
        <w:pStyle w:val="Heading1"/>
        <w:ind w:hanging="0" w:start="0"/>
        <w:rPr/>
      </w:pPr>
      <w:r>
        <w:rPr/>
        <w:t>:  FORCE MAJEURE AND INDEMNIFICATION</w:t>
      </w:r>
    </w:p>
    <w:p>
      <w:pPr>
        <w:pStyle w:val="Heading2"/>
        <w:ind w:hanging="0" w:start="0"/>
        <w:rPr/>
      </w:pPr>
      <w:r>
        <w:rPr/>
        <w:t xml:space="preserve">Force Majeure: An event of Force Majeure means any act of God, labor disturbance, act of the public enemy, war, insurrection, riot, fire, storm or flood, explosion, breakage or accident to machinery or equipment, any curtailment, order, regulation or restriction imposed by governmental military or lawfully established civilian authorities, or any other cause beyond a party’s control.  A Force Majeure event does not include an act of negligence or intentional wrongdoing.  Neither FPUA nor FPRP will be considered in default as to any obligation under this Agreement if prevented from fulfilling the obligation due to an event of Force Majeure.  However, a party whose performance under this Agreement is hindered by an event of Force Majeure shall make all reasonable efforts to perform its obligations under this Agreement.  Nothing in this Agreement shall require a party to settle any strike, work stoppage or other labor difficulty.  </w:t>
      </w:r>
      <w:r>
        <w:rPr>
          <w:b/>
          <w:bCs/>
        </w:rPr>
        <w:t>[Under review by FPRP]</w:t>
      </w:r>
    </w:p>
    <w:p>
      <w:pPr>
        <w:pStyle w:val="Heading2"/>
        <w:ind w:hanging="0" w:start="0"/>
        <w:rPr/>
      </w:pPr>
      <w:r>
        <w:rPr/>
        <w:t>Indemnification:  FPRP shall at all times indemnify, defend, and save FPUA harmless from, any and all damages, losses, claims, including claims and actions relating to injury to or death of any person or damage to property, demands, suits, recoveries, costs and expenses, court costs, attorney fees, and all other obligations by or to third parties, arising out of or resulting from FPUA’s performance of its transmission service obligations under this Agreement on behalf of FPRP, except in cases of negligence or intentional wrongdoing by FPUA.</w:t>
      </w:r>
    </w:p>
    <w:p>
      <w:pPr>
        <w:pStyle w:val="Heading1"/>
        <w:ind w:hanging="0" w:start="0"/>
        <w:rPr/>
      </w:pPr>
      <w:r>
        <w:rPr/>
        <w:t>:  NOTICES</w:t>
      </w:r>
    </w:p>
    <w:p>
      <w:pPr>
        <w:pStyle w:val="BodyTextFirstIndent"/>
        <w:rPr/>
      </w:pPr>
      <w:r>
        <w:rPr/>
        <w:t>Any notice required or permitted to be given hereunder (each a “Notice”) shall be in writing and shall be (i) personally delivered, (ii) deposited in the United States mail, prepaid and registered addressed to the parties to be notified with return receipt requested (airmail if international), (iii) transmitted by internationally-recognized courier service, or (iv) transmitted by facsimile.  For purposes of notice, the addresses of the parties shall be as follows:</w:t>
      </w:r>
    </w:p>
    <w:p>
      <w:pPr>
        <w:pStyle w:val="Notices1"/>
        <w:keepLines/>
        <w:rPr/>
      </w:pPr>
      <w:r>
        <w:rPr/>
        <w:t>(a)</w:t>
        <w:tab/>
        <w:t>In the case of FPUA:</w:t>
        <w:br/>
        <w:br/>
        <w:t>Fort Pierce Utilities Authority</w:t>
        <w:br/>
        <w:t>c/o H.D. King Power Plant</w:t>
        <w:br/>
        <w:t>311 North Indian River Drive</w:t>
        <w:br/>
        <w:t>Fort Pierce, Florida 34950</w:t>
        <w:br/>
        <w:t>Attn:</w:t>
        <w:br/>
        <w:t>Fax No.:</w:t>
      </w:r>
    </w:p>
    <w:p>
      <w:pPr>
        <w:pStyle w:val="Notices1"/>
        <w:keepLines/>
        <w:rPr/>
      </w:pPr>
      <w:r>
        <w:rPr/>
        <w:t>(b)</w:t>
        <w:tab/>
        <w:t>In the case of FPRP:</w:t>
        <w:br/>
        <w:br/>
        <w:t>Enron North America Corp., as</w:t>
        <w:br/>
        <w:t>Agent for Fort Pierce</w:t>
        <w:br/>
        <w:t>Repowering Project LLC</w:t>
        <w:br/>
        <w:t>1400 Smith Street</w:t>
        <w:br/>
        <w:t>Houston, Texas  77002-7361</w:t>
        <w:br/>
        <w:t>Attn:</w:t>
        <w:br/>
        <w:t>Fax No. (713)</w:t>
      </w:r>
    </w:p>
    <w:p>
      <w:pPr>
        <w:pStyle w:val="BodyText"/>
        <w:rPr/>
      </w:pPr>
      <w:r>
        <w:rPr/>
        <w:t>All notices and other communications shall be deemed to have been duly given on (i) the date of receipt if delivered personally, (ii) seven (7) days after the date of posting if transmitted by mail, (iii) the day after delivery to the courier if transmitted by courier, or (iv) the date of transmission with confirmation if transmitted by facsimile, whichever shall first occur, except that in all cases notice given to any Lender must be received by such Lender to be effective.  Notwithstanding any other provision herein to the contrary, FPUA’s obligation to notify the Lenders shall be limited to notifying no more than three (3) Lenders.  Notice in any other manner shall be effective only if and when received by the Party to be notified.  Any Party may change its address for purposes hereof by notice to the other Party.</w:t>
      </w:r>
    </w:p>
    <w:p>
      <w:pPr>
        <w:pStyle w:val="Heading1"/>
        <w:ind w:hanging="0" w:start="0"/>
        <w:rPr/>
      </w:pPr>
      <w:r>
        <w:rPr/>
        <w:t>:  OTHER PROVISIONS</w:t>
      </w:r>
    </w:p>
    <w:p>
      <w:pPr>
        <w:pStyle w:val="Heading2"/>
        <w:ind w:hanging="0" w:start="0"/>
        <w:rPr/>
      </w:pPr>
      <w:r>
        <w:rPr/>
        <w:t xml:space="preserve">Billing.  </w:t>
      </w:r>
      <w:r>
        <w:rPr>
          <w:b/>
          <w:bCs/>
        </w:rPr>
        <w:t>[Under Review by FPUA]</w:t>
      </w:r>
    </w:p>
    <w:p>
      <w:pPr>
        <w:pStyle w:val="Heading3"/>
        <w:rPr/>
      </w:pPr>
      <w:r>
        <w:rPr/>
        <w:t>Each Party shall invoice the other Party on or before the tenth (10th) day of each month for the net amount payable by the other Party in accordance with this Agreement through and as of the last day of the preceding month.  Each invoice shall be accompanied by sufficient information to enable the other Party to determine the accuracy of the invoice.</w:t>
      </w:r>
    </w:p>
    <w:p>
      <w:pPr>
        <w:pStyle w:val="Heading3"/>
        <w:rPr/>
      </w:pPr>
      <w:r>
        <w:rPr/>
        <w:t>Each Party shall pay to the other Party the payment amount set forth on each invoice within fifteen (15) Business Days following receipt of such invoice.  All payments required hereunder from each Party shall be made by wire transfer to such bank account as may be designated in writing from time to time by each Party, or in such other manner as is mutually acceptable to the parties.</w:t>
      </w:r>
    </w:p>
    <w:p>
      <w:pPr>
        <w:pStyle w:val="Heading3"/>
        <w:rPr/>
      </w:pPr>
      <w:r>
        <w:rPr/>
        <w:t>If any invoice presented to either Party is not paid when due, interest on all such amounts properly invoiced but not paid when due shall accrue from the due date until the date payment is received at the rate per annum equal to the Interest Rate.  Notwithstanding a bona fide question or dispute as to the propriety of any charges invoiced, each Party shall pay the entire amount of the invoice without any deductions or set-offs.  Neither Party may for the first time question an invoice of the other Party eighteen (18) months or more from the date of receipt of such invoice.  If an invoice is questioned, and it is determined that it is not accurate, the Party which overpaid such invoice shall be entitled to a prompt refund of any overpayment and the other Party shall be entitled to prompt payment of any underpayment.  FPRP shall have the right in lieu of making any such payment to credit the amount of such overpayment to FPUA’s obligations then outstanding or to be outstanding on the next invoice.  Any overpayment or underpayment shall bear interest calculated in accordance with the methodology specified for interest on refunds in the FERC’s regulations at 18 C.F.R. § 35.19a(a)(2)(iii).  Interest on delinquent amounts shall be calculated from the due date of the bill to the date of payment; and interest on overpayments shall be calculated from the date of such overpayment to the date of the refund of such overpayment.  When payments or refunds are made by mail, bills shall be considered as having been paid on the date of receipt.</w:t>
      </w:r>
    </w:p>
    <w:p>
      <w:pPr>
        <w:pStyle w:val="Heading3"/>
        <w:rPr/>
      </w:pPr>
      <w:r>
        <w:rPr/>
        <w:t>Either Party shall have the right, at its own expense, from time to time, to examine and audit, or to have an outside accounting firm of its choice examine and audit, such of the other Party’s relevant financial and other records as are necessary for verifications of payments due under this Agreement.  Records created by a Party under this Agreement shall be retained by such Party in accordance with its record retention policy.</w:t>
      </w:r>
    </w:p>
    <w:p>
      <w:pPr>
        <w:pStyle w:val="Heading3"/>
        <w:rPr/>
      </w:pPr>
      <w:r>
        <w:rPr/>
        <w:t>The parties may discharge mutual debts and payment obligations due and owing to each other on the same date through netting, pursuant to all transactions contemplated by the project documents to which they are a party, in which case all amounts owed by each Party to the other Party hereunder to which they are a party shall be netted so that only the excess amount remaining due shall be paid by the Party who owes it.</w:t>
      </w:r>
    </w:p>
    <w:p>
      <w:pPr>
        <w:pStyle w:val="Heading2"/>
        <w:ind w:hanging="0" w:start="0"/>
        <w:rPr/>
      </w:pPr>
      <w:r>
        <w:rPr/>
        <w:t>Entirety.  This Agreement and the Exhibits and Schedules hereto constitute the entire agreement between the parties with respect to the subject matter hereof and supersedes any and all prior or contemporaneous agreements or representations affecting the same subject matter.  Any amendment of this Agreement shall be in writing and signed by FPRP and FPUA and any waiver of, or consent to, or departure from, any representation, warranty, covenant or other term of this Agreement shall be in writing and signed by the affected Party thereto.</w:t>
      </w:r>
    </w:p>
    <w:p>
      <w:pPr>
        <w:pStyle w:val="Heading2"/>
        <w:ind w:hanging="0" w:start="0"/>
        <w:rPr/>
      </w:pPr>
      <w:r>
        <w:rPr/>
        <w:t>Governing Law.  THIS AGREEMENT SHALL BE GOVERNED BY AND CONSTRUED IN ACCORDANCE WITH THE LAWS OF THE STATE OF FLORIDA, WITHOUT GIVING EFFECT TO ANY CHOICE OF LAW RULES THEREOF WHICH MAY DIRECT THE APPLICATION OF THE LAWS OF ANOTHER JURISDICTION.</w:t>
      </w:r>
    </w:p>
    <w:p>
      <w:pPr>
        <w:pStyle w:val="Heading2"/>
        <w:ind w:hanging="0" w:start="0"/>
        <w:rPr/>
      </w:pPr>
      <w:r>
        <w:rPr/>
        <w:t>Non-Waiver.  No waiver by any Party hereto of any one or more defaults by the other Party in the performance of any of the provisions of this Agreement shall be construed as a waiver of any other default or defaults whether of a like kind or different nature.</w:t>
      </w:r>
    </w:p>
    <w:p>
      <w:pPr>
        <w:pStyle w:val="Heading2"/>
        <w:ind w:hanging="0" w:start="0"/>
        <w:rPr/>
      </w:pPr>
      <w:r>
        <w:rPr/>
        <w:t>Severability.  Except as otherwise stated herein, any provision or article declared or rendered unlawful by a court of law or regulatory agency with jurisdiction over the parties, or deemed unlawful because of a statutory change or change in law, will not otherwise affect the lawful obligations that arise under this Agreement and the Parties shall negotiate an equitable adjustment to the provisions of this Agreement, as applicable, with a view to effecting, to the extent possible, the original purpose and intent of this Agreement, and the validity and enforceability of the remaining provisions shall not be affected thereby.</w:t>
      </w:r>
    </w:p>
    <w:p>
      <w:pPr>
        <w:pStyle w:val="Heading2"/>
        <w:ind w:hanging="0" w:start="0"/>
        <w:rPr/>
      </w:pPr>
      <w:r>
        <w:rPr/>
        <w:t>Headings, Exhibits.  The headings used for the sections and articles herein are for convenience and reference purposes only and shall in no way affect the meaning or interpretation of the provisions of this Agreement.  Any and all Exhibits and Schedules referred to in this Agreement are, by such reference, incorporated herein and made a part hereof for all purposes.</w:t>
      </w:r>
    </w:p>
    <w:p>
      <w:pPr>
        <w:pStyle w:val="Heading2"/>
        <w:ind w:hanging="0" w:start="0"/>
        <w:rPr/>
      </w:pPr>
      <w:r>
        <w:rPr/>
        <w:t>No Third Party Beneficiaries.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hanging="0" w:start="0"/>
        <w:rPr/>
      </w:pPr>
      <w:r>
        <w:rPr/>
        <w:t>Counterparts.  This Agreement may be executed in several counterparts, each of which is an original and all of which constitute one and the same instrument.</w:t>
      </w:r>
    </w:p>
    <w:p>
      <w:pPr>
        <w:pStyle w:val="Heading2"/>
        <w:ind w:hanging="0" w:start="0"/>
        <w:rPr/>
      </w:pPr>
      <w:r>
        <w:rPr/>
        <w:t>Dispute Resolution.</w:t>
      </w:r>
    </w:p>
    <w:p>
      <w:pPr>
        <w:pStyle w:val="Heading3"/>
        <w:rPr/>
      </w:pPr>
      <w:r>
        <w:rPr>
          <w:u w:val="single"/>
        </w:rPr>
        <w:t>Internal Dispute Resolution Procedures</w:t>
      </w:r>
      <w:r>
        <w:rPr/>
        <w:t>:  Any dispute between FPRP and FPUA involving transmission service under this Agreement shall be referred to a designated senior representative of FPUA and a senior representative of FPRP for resolution on an informal basis as promptly as practicable.  In the event the designated representatives are unable to resolve the dispute within thirty (30) days [or such other period as the parties may agree upon] by mutual agreement, such dispute may be submitted to arbitration and resolved in accordance with the arbitration procedures set forth below.</w:t>
      </w:r>
    </w:p>
    <w:p>
      <w:pPr>
        <w:pStyle w:val="Heading3"/>
        <w:rPr/>
      </w:pPr>
      <w:r>
        <w:rPr>
          <w:u w:val="single"/>
        </w:rPr>
        <w:t>External Arbitration Procedures</w:t>
      </w:r>
      <w:r>
        <w:rPr/>
        <w:t>:  Any arbitration initiated under this Agreement shall be conducted before a single neutral arbitrator appointed by the parties.  If the parties fail to agree upon a single arbitrator within ten (10) days of the referral of the dispute to arbitration, each Party shall choose one arbitrator who shall sit on a three-member arbitration panel.  The two arbitrators so chosen shall within twenty (20) days select a third arbitrator to chair the arbitration panel.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generally conduct the arbitration in accordance with the Commercial Arbitration Rules of the American Arbitration Association and any applicable Commission regulations or Regional Transmission Group rules.</w:t>
      </w:r>
    </w:p>
    <w:p>
      <w:pPr>
        <w:pStyle w:val="Heading3"/>
        <w:rPr/>
      </w:pPr>
      <w:r>
        <w:rPr>
          <w:u w:val="single"/>
        </w:rPr>
        <w:t>Arbitration Decisions</w:t>
      </w:r>
      <w:r>
        <w:rPr/>
        <w:t>:  Unless otherwise agreed, the arbitrator(s) shall render a decision within ninety (90) days of appointment and shall notify the parties in writing of such decision and the reasons therefor.  The arbitrator(s) shall be authorized only to interpret and apply the provisions of the Interconnection and Transmission Agreement and shall have no power to modify or change any of the Agreement.  The decision of the arbitrator(s) shall be final and binding upon the parties, and judgment on the award may be entered in any court having jurisdiction.  The decision of the arbitrator(s) may be appealed solely on the grounds that the conduct of the arbitrator(s), or the decision itself, violated the standards set forth in the Federal Arbitration Act and/or the Administrative Dispute Resolution Act.  The final decision of the arbitrator must also be filed with the Commission if it affects jurisdictional rates, terms and conditions of service or facilities.</w:t>
      </w:r>
    </w:p>
    <w:p>
      <w:pPr>
        <w:pStyle w:val="Heading3"/>
        <w:rPr/>
      </w:pPr>
      <w:r>
        <w:rPr>
          <w:u w:val="single"/>
        </w:rPr>
        <w:t>Costs</w:t>
      </w:r>
      <w:r>
        <w:rPr/>
        <w:t>:  Each party shall be responsible for its own costs incurred during the arbitration process and for the following costs, if applicable:  (i) the cost of the arbitrator chosen by the Party to  sit on the three member panel and one half of the  cost of the third arbitrator chosen; or (ii) one half the cost of the single arbitrator jointly chosen by the Parties.</w:t>
      </w:r>
    </w:p>
    <w:p>
      <w:pPr>
        <w:pStyle w:val="Heading3"/>
        <w:rPr/>
      </w:pPr>
      <w:r>
        <w:rPr>
          <w:u w:val="single"/>
        </w:rPr>
        <w:t>Rights Under The Federal Power Act</w:t>
      </w:r>
      <w:r>
        <w:rPr/>
        <w:t>:  Nothing in this section shall restrict the rights of any party to file a Complaint with the Commission under relevant provisions of the Federal Power Act.</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2"/>
        <w:ind w:hanging="0" w:start="0"/>
        <w:rPr/>
      </w:pPr>
      <w:r>
        <w:rPr/>
        <w:t xml:space="preserve">FPUA hereby irrevocably agrees that, to the extent that it or any of its assets now has or may hereafter acquire any right of immunity as against FPRP or its successors and assigns, whether characterized as sovereign immunity or otherwise, from any legal proceedings, whether in the United States of America or elsewhere, arising out of this Agreement or the subject matter hereof or any of the transactions contemplated hereby or by the this Agreement brought by FPRP or its successors or assigns, including, without limitation, immunity from service of process, immunity from jurisdiction or judgment of any court or tribunal, immunity from execution of a judgment, and immunity of any of such person’s assets from attachment in aid of execution upon a judgment, it hereby expressly and irrevocably waives and agrees not to assert any such immunity and such waiver shall be irrevocable and not subject to withdrawal in any jurisdiction.  </w:t>
      </w:r>
      <w:r>
        <w:rPr>
          <w:b/>
          <w:bCs/>
        </w:rPr>
        <w:t>[Under Review by FPRP]</w:t>
      </w:r>
    </w:p>
    <w:p>
      <w:pPr>
        <w:pStyle w:val="BodyTextFirstIndent"/>
        <w:rPr/>
      </w:pPr>
      <w:r>
        <w:rPr/>
        <w:t>IN WITNESS WHEREOF, the Parties have executed multiple originals of this Agreement as of the date first written above.</w:t>
      </w:r>
    </w:p>
    <w:p>
      <w:pPr>
        <w:pStyle w:val="Signature"/>
        <w:rPr/>
      </w:pPr>
      <w:r>
        <w:rPr>
          <w:b/>
          <w:bCs/>
        </w:rPr>
        <w:t>FORT PIERCE REPOWERING PROJECT LLC</w:t>
      </w:r>
      <w:r>
        <w:rPr/>
        <w:br/>
        <w:br/>
        <w:t>By:</w:t>
        <w:tab/>
        <w:t xml:space="preserve">Wilmington Trust Company, not in its </w:t>
        <w:tab/>
        <w:t>individual capacity but solely as Manager</w:t>
        <w:br/>
        <w:br/>
        <w:br/>
        <w:t xml:space="preserve">By:  </w:t>
      </w:r>
      <w:r>
        <w:rPr>
          <w:u w:val="single"/>
        </w:rPr>
        <w:tab/>
        <w:tab/>
        <w:tab/>
        <w:tab/>
        <w:tab/>
        <w:tab/>
        <w:tab/>
      </w:r>
      <w:r>
        <w:rPr/>
        <w:br/>
        <w:t xml:space="preserve">Name:  </w:t>
      </w:r>
      <w:r>
        <w:rPr>
          <w:u w:val="single"/>
        </w:rPr>
        <w:tab/>
        <w:tab/>
        <w:tab/>
        <w:tab/>
        <w:tab/>
        <w:tab/>
      </w:r>
      <w:r>
        <w:rPr/>
        <w:br/>
        <w:t xml:space="preserve">Title:  </w:t>
      </w:r>
      <w:r>
        <w:rPr>
          <w:u w:val="single"/>
        </w:rPr>
        <w:tab/>
        <w:tab/>
        <w:tab/>
        <w:tab/>
        <w:tab/>
        <w:tab/>
        <w:tab/>
      </w:r>
    </w:p>
    <w:p>
      <w:pPr>
        <w:pStyle w:val="Signature"/>
        <w:rPr/>
      </w:pPr>
      <w:r>
        <w:rPr/>
      </w:r>
    </w:p>
    <w:p>
      <w:pPr>
        <w:pStyle w:val="Signature"/>
        <w:rPr/>
      </w:pPr>
      <w:r>
        <w:rPr>
          <w:b/>
          <w:bCs/>
        </w:rPr>
        <w:t>FORT PIERCE UTILITIES AUTHORITY,</w:t>
      </w:r>
      <w:r>
        <w:rPr/>
        <w:br/>
      </w:r>
      <w:r>
        <w:rPr>
          <w:b/>
          <w:bCs/>
        </w:rPr>
        <w:t>a part of the City of Fort Pierce, Florida</w:t>
      </w:r>
      <w:r>
        <w:rPr/>
        <w:br/>
        <w:br/>
        <w:br/>
        <w:t xml:space="preserve">By:  </w:t>
      </w:r>
      <w:r>
        <w:rPr>
          <w:u w:val="single"/>
        </w:rPr>
        <w:tab/>
        <w:tab/>
        <w:tab/>
        <w:tab/>
        <w:tab/>
        <w:tab/>
        <w:tab/>
      </w:r>
      <w:r>
        <w:rPr/>
        <w:br/>
        <w:t>Name:</w:t>
        <w:tab/>
        <w:t>Thomas D. Siplin</w:t>
        <w:br/>
        <w:t>Title:</w:t>
        <w:tab/>
        <w:t>Chairman</w:t>
        <w:br/>
        <w:br/>
        <w:br/>
        <w:t xml:space="preserve">By:  </w:t>
      </w:r>
      <w:r>
        <w:rPr>
          <w:u w:val="single"/>
        </w:rPr>
        <w:tab/>
        <w:tab/>
        <w:tab/>
        <w:tab/>
        <w:tab/>
        <w:tab/>
        <w:tab/>
      </w:r>
      <w:r>
        <w:rPr/>
        <w:br/>
        <w:t>Name:</w:t>
        <w:tab/>
        <w:t>Cleon Middleton</w:t>
        <w:br/>
        <w:t>Title:</w:t>
        <w:tab/>
        <w:t>Secretary</w:t>
      </w:r>
    </w:p>
    <w:p>
      <w:pPr>
        <w:pStyle w:val="Signature"/>
        <w:rPr/>
      </w:pPr>
      <w:r>
        <w:rPr/>
      </w:r>
    </w:p>
    <w:p>
      <w:pPr>
        <w:pStyle w:val="Signature"/>
        <w:rPr/>
      </w:pPr>
      <w:r>
        <w:rPr/>
      </w:r>
    </w:p>
    <w:p>
      <w:pPr>
        <w:pStyle w:val="Signature"/>
        <w:rPr/>
      </w:pPr>
      <w:r>
        <w:rPr/>
      </w:r>
    </w:p>
    <w:p>
      <w:pPr>
        <w:pStyle w:val="BodyTextLeft"/>
        <w:rPr>
          <w:b/>
          <w:bCs/>
        </w:rPr>
      </w:pPr>
      <w:r>
        <w:rPr>
          <w:b/>
          <w:bCs/>
        </w:rPr>
        <w:t>APPROVED AS TO FORM AND CORRECTNESS</w:t>
        <w:br/>
        <w:br/>
        <w:b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t xml:space="preserve">By:  </w:t>
      </w:r>
      <w:r>
        <w:rPr>
          <w:u w:val="single"/>
        </w:rPr>
        <w:tab/>
        <w:tab/>
        <w:tab/>
        <w:tab/>
        <w:tab/>
        <w:tab/>
        <w:tab/>
      </w:r>
      <w:r>
        <w:rPr/>
        <w:br/>
        <w:tab/>
        <w:t>Fort Pierce Utilities Authority Attorney</w:t>
      </w:r>
    </w:p>
    <w:p>
      <w:pPr>
        <w:pStyle w:val="Heading"/>
        <w:rPr/>
      </w:pPr>
      <w:r>
        <w:rPr/>
        <w:t>EXHIBIT A</w:t>
      </w:r>
    </w:p>
    <w:p>
      <w:pPr>
        <w:pStyle w:val="BodyText"/>
        <w:rPr/>
      </w:pPr>
      <w:r>
        <w:rPr/>
        <w:t>1.</w:t>
        <w:tab/>
      </w:r>
      <w:r>
        <w:rPr>
          <w:u w:val="single"/>
        </w:rPr>
        <w:t>Interconnection Plan</w:t>
      </w:r>
      <w:r>
        <w:rPr/>
        <w:t>.  FPRP shall submit or cause to be submitted to FPUA the Planning Information described in the Facility Connection Requirements.</w:t>
      </w:r>
    </w:p>
    <w:p>
      <w:pPr>
        <w:pStyle w:val="BodyText"/>
        <w:rPr/>
      </w:pPr>
      <w:r>
        <w:rPr/>
        <w:t xml:space="preserve">2. </w:t>
        <w:tab/>
      </w:r>
      <w:r>
        <w:rPr>
          <w:u w:val="single"/>
        </w:rPr>
        <w:t>Specifications</w:t>
      </w:r>
      <w:r>
        <w:rPr/>
        <w:t>. The Interconnection Facilities shall meet the minimum specifications for interconnection set out in the Facility Connection Requirements.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Normal"/>
        <w:rPr/>
      </w:pPr>
      <w:r>
        <w:rPr/>
      </w:r>
    </w:p>
    <w:p>
      <w:pPr>
        <w:pStyle w:val="Heading"/>
        <w:rPr/>
      </w:pPr>
      <w:r>
        <w:rPr/>
        <w:t>EXHIBIT B</w:t>
      </w:r>
    </w:p>
    <w:p>
      <w:pPr>
        <w:pStyle w:val="Heading"/>
        <w:rPr/>
      </w:pPr>
      <w:r>
        <w:rPr/>
        <w:t>Transmission Upgrades</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pStyle w:val="TitleRegular"/>
        <w:rPr/>
      </w:pPr>
      <w:r>
        <w:rPr/>
        <w:t>[Transmission Upgrades description to be attached]</w:t>
      </w:r>
    </w:p>
    <w:p>
      <w:pPr>
        <w:pStyle w:val="Heading"/>
        <w:rPr/>
      </w:pPr>
      <w:r>
        <w:rPr/>
        <w:t>Exhibit C</w:t>
      </w:r>
    </w:p>
    <w:p>
      <w:pPr>
        <w:pStyle w:val="Heading"/>
        <w:rPr/>
      </w:pPr>
      <w:r>
        <w:rPr/>
        <w:t>[Attach copy of the FPUA Facility Connection Requirements dated August 1999]</w:t>
      </w:r>
    </w:p>
    <w:p>
      <w:pPr>
        <w:pStyle w:val="Normal"/>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align>bottom</wp:align>
              </wp:positionV>
              <wp:extent cx="7188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7188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align>bottom</wp:align>
              </wp:positionV>
              <wp:extent cx="7188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20">
              <wp:simplePos x="0" y="0"/>
              <wp:positionH relativeFrom="page">
                <wp:posOffset>915035</wp:posOffset>
              </wp:positionH>
              <wp:positionV relativeFrom="page">
                <wp:align>bottom</wp:align>
              </wp:positionV>
              <wp:extent cx="7188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align>bottom</wp:align>
              </wp:positionV>
              <wp:extent cx="7188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22">
              <wp:simplePos x="0" y="0"/>
              <wp:positionH relativeFrom="page">
                <wp:posOffset>915035</wp:posOffset>
              </wp:positionH>
              <wp:positionV relativeFrom="page">
                <wp:align>bottom</wp:align>
              </wp:positionV>
              <wp:extent cx="718820" cy="365760"/>
              <wp:effectExtent l="0" t="0" r="0" b="0"/>
              <wp:wrapSquare wrapText="bothSides"/>
              <wp:docPr id="6" name="Frame10"/>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HOU:616419.11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5/10/01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5/08/01 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1.%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120" w:after="240"/>
      <w:jc w:val="center"/>
      <w:outlineLvl w:val="0"/>
    </w:pPr>
    <w:rPr>
      <w:b/>
      <w:u w:val="single"/>
    </w:rPr>
  </w:style>
  <w:style w:type="paragraph" w:styleId="Heading2">
    <w:name w:val="heading 2"/>
    <w:basedOn w:val="Normal"/>
    <w:next w:val="BodyTextFirstIndent"/>
    <w:qFormat/>
    <w:pPr>
      <w:numPr>
        <w:ilvl w:val="1"/>
        <w:numId w:val="1"/>
      </w:numPr>
      <w:tabs>
        <w:tab w:val="clear" w:pos="720"/>
      </w:tabs>
      <w:spacing w:before="0" w:after="240"/>
      <w:jc w:val="both"/>
      <w:outlineLvl w:val="1"/>
    </w:pPr>
    <w:rPr/>
  </w:style>
  <w:style w:type="paragraph" w:styleId="Heading3">
    <w:name w:val="heading 3"/>
    <w:basedOn w:val="Normal"/>
    <w:next w:val="BodyTextIndent"/>
    <w:qFormat/>
    <w:pPr>
      <w:numPr>
        <w:ilvl w:val="2"/>
        <w:numId w:val="1"/>
      </w:numPr>
      <w:tabs>
        <w:tab w:val="clear" w:pos="720"/>
      </w:tabs>
      <w:spacing w:before="0" w:after="240"/>
      <w:ind w:hanging="0" w:start="0" w:end="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tabs>
        <w:tab w:val="clear" w:pos="720"/>
      </w:tabs>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tabs>
        <w:tab w:val="clear" w:pos="720"/>
      </w:tabs>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2z2">
    <w:name w:val="WW8Num12z2"/>
    <w:qFormat/>
    <w:rPr>
      <w:u w:val="none"/>
    </w:rPr>
  </w:style>
  <w:style w:type="character" w:styleId="WW8Num12z8">
    <w:name w:val="WW8Num12z8"/>
    <w:qFormat/>
    <w:rPr>
      <w:rFonts w:ascii="Symbol" w:hAnsi="Symbol" w:cs="Symbol"/>
      <w:color w:val="000000"/>
      <w:sz w:val="28"/>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Times New Roman" w:hAnsi="Times New Roman" w:cs="Times New Roman"/>
      <w:b w:val="false"/>
      <w:i w:val="false"/>
      <w:sz w:val="22"/>
      <w:u w:val="none"/>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style>
  <w:style w:type="character" w:styleId="WW8Num15z8">
    <w:name w:val="WW8Num15z8"/>
    <w:qFormat/>
    <w:rPr>
      <w:rFonts w:ascii="Symbol" w:hAnsi="Symbol" w:cs="Symbol"/>
      <w:color w:val="000000"/>
      <w:sz w:val="28"/>
    </w:rPr>
  </w:style>
  <w:style w:type="character" w:styleId="WW8Num17z0">
    <w:name w:val="WW8Num17z0"/>
    <w:qFormat/>
    <w:rPr>
      <w:b/>
      <w:color w:val="000000"/>
    </w:rPr>
  </w:style>
  <w:style w:type="character" w:styleId="DefaultParagraphFont">
    <w:name w:val="Default Paragraph Font"/>
    <w:qFormat/>
    <w:rPr/>
  </w:style>
  <w:style w:type="character" w:styleId="ParaNum">
    <w:name w:val="ParaNum"/>
    <w:basedOn w:val="DefaultParagraphFont"/>
    <w:qFormat/>
    <w:rPr/>
  </w:style>
  <w:style w:type="character" w:styleId="DocID">
    <w:name w:val="DocID"/>
    <w:basedOn w:val="DefaultParagraphFont"/>
    <w:qFormat/>
    <w:rPr>
      <w:sz w:val="12"/>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underline">
    <w:name w:val="underline"/>
    <w:basedOn w:val="DefaultParagraphFont"/>
    <w:qFormat/>
    <w:rPr>
      <w:u w:val="single"/>
    </w:rPr>
  </w:style>
  <w:style w:type="character" w:styleId="allcaps">
    <w:name w:val="all caps"/>
    <w:basedOn w:val="Strong"/>
    <w:qFormat/>
    <w:rPr>
      <w:b w:val="false"/>
      <w:bCs w:val="false"/>
      <w:caps/>
      <w:color w:val="000000"/>
      <w:u w:val="none"/>
    </w:rPr>
  </w:style>
  <w:style w:type="paragraph" w:styleId="Heading">
    <w:name w:val="Heading"/>
    <w:basedOn w:val="Normal"/>
    <w:next w:val="BodyTextFirstIndent"/>
    <w:qFormat/>
    <w:pPr>
      <w:spacing w:before="0" w:after="240"/>
      <w:jc w:val="center"/>
    </w:pPr>
    <w:rPr>
      <w:rFonts w:ascii="Times New Roman Bold" w:hAnsi="Times New Roman Bold" w:cs="Arial"/>
      <w:b/>
      <w:bCs/>
      <w:szCs w:val="32"/>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720" w:start="0" w:end="0"/>
      <w:jc w:val="both"/>
    </w:pPr>
    <w:rPr/>
  </w:style>
  <w:style w:type="paragraph" w:styleId="BodyTextIndent">
    <w:name w:val="Body Text Indent"/>
    <w:basedOn w:val="Normal"/>
    <w:pPr>
      <w:spacing w:before="0" w:after="240"/>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1"/>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Para2">
    <w:name w:val="Para2"/>
    <w:basedOn w:val="Normal"/>
    <w:next w:val="Heading2"/>
    <w:qFormat/>
    <w:pPr>
      <w:spacing w:before="0" w:after="240"/>
      <w:ind w:firstLine="720" w:start="0" w:end="0"/>
      <w:jc w:val="both"/>
    </w:pPr>
    <w:rPr/>
  </w:style>
  <w:style w:type="paragraph" w:styleId="notices">
    <w:name w:val="notices"/>
    <w:basedOn w:val="Normal"/>
    <w:qFormat/>
    <w:pPr>
      <w:tabs>
        <w:tab w:val="clear" w:pos="720"/>
        <w:tab w:val="left" w:pos="4320" w:leader="none"/>
      </w:tabs>
      <w:suppressAutoHyphens w:val="true"/>
      <w:ind w:hanging="0" w:start="720" w:end="0"/>
      <w:jc w:val="both"/>
    </w:pPr>
    <w:rPr/>
  </w:style>
  <w:style w:type="paragraph" w:styleId="sigline">
    <w:name w:val="sigline"/>
    <w:basedOn w:val="Normal"/>
    <w:qFormat/>
    <w:pPr>
      <w:tabs>
        <w:tab w:val="clear" w:pos="720"/>
        <w:tab w:val="right" w:pos="4824" w:leader="none"/>
      </w:tabs>
      <w:jc w:val="both"/>
    </w:pPr>
    <w:rPr/>
  </w:style>
  <w:style w:type="paragraph" w:styleId="Notices1">
    <w:name w:val="Notices1"/>
    <w:basedOn w:val="Normal"/>
    <w:qFormat/>
    <w:pPr>
      <w:spacing w:before="0" w:after="240"/>
      <w:ind w:hanging="720" w:start="2880" w:end="0"/>
    </w:pPr>
    <w:rPr/>
  </w:style>
  <w:style w:type="paragraph" w:styleId="BodyTextLeft">
    <w:name w:val="Body Text Left"/>
    <w:basedOn w:val="BodyText"/>
    <w:qFormat/>
    <w:pPr>
      <w:jc w:val="start"/>
    </w:pPr>
    <w:rPr/>
  </w:style>
  <w:style w:type="paragraph" w:styleId="TitleRegular">
    <w:name w:val="Title Regular"/>
    <w:basedOn w:val="Normal"/>
    <w:qFormat/>
    <w:pPr>
      <w:jc w:val="cente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2001-05-10T23:43:00Z</dcterms:created>
  <dc:creator>A&amp;K</dc:creator>
  <dc:description/>
  <dc:language>en-CA</dc:language>
  <cp:lastModifiedBy>A&amp;K</cp:lastModifiedBy>
  <cp:lastPrinted>2001-05-09T00:10:00Z</cp:lastPrinted>
  <dcterms:modified xsi:type="dcterms:W3CDTF">2001-05-11T00:01:00Z</dcterms:modified>
  <cp:revision>4</cp:revision>
  <dc:subject/>
  <dc:title>TRANSMISSION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HOU:616419.11 </vt:lpwstr>
  </property>
</Properties>
</file>