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p>
      <w:pPr>
        <w:pStyle w:val="Normal"/>
        <w:jc w:val="center"/>
        <w:rPr/>
      </w:pPr>
      <w:r>
        <w:rPr/>
      </w:r>
    </w:p>
    <w:p>
      <w:pPr>
        <w:pStyle w:val="Normal"/>
        <w:jc w:val="center"/>
        <w:rPr/>
      </w:pPr>
      <w:r>
        <w:rPr/>
        <w:t>May 18, 2001</w:t>
      </w:r>
    </w:p>
    <w:p>
      <w:pPr>
        <w:pStyle w:val="Normal"/>
        <w:rPr/>
      </w:pPr>
      <w:r>
        <w:rPr/>
      </w:r>
    </w:p>
    <w:p>
      <w:pPr>
        <w:pStyle w:val="Normal"/>
        <w:rPr/>
      </w:pPr>
      <w:r>
        <w:rPr/>
      </w:r>
    </w:p>
    <w:p>
      <w:pPr>
        <w:pStyle w:val="Normal"/>
        <w:rPr/>
      </w:pPr>
      <w:r>
        <w:rPr/>
      </w:r>
    </w:p>
    <w:p>
      <w:pPr>
        <w:pStyle w:val="Normal"/>
        <w:rPr/>
      </w:pPr>
      <w:r>
        <w:rPr/>
      </w:r>
    </w:p>
    <w:p>
      <w:pPr>
        <w:pStyle w:val="TOAHeading"/>
        <w:spacing w:before="0" w:after="0"/>
        <w:rPr>
          <w:b w:val="false"/>
        </w:rPr>
      </w:pPr>
      <w:r>
        <w:rPr>
          <w:b w:val="false"/>
        </w:rPr>
        <w:t>InterGen North America LP</w:t>
      </w:r>
    </w:p>
    <w:p>
      <w:pPr>
        <w:pStyle w:val="Normal"/>
        <w:rPr/>
      </w:pPr>
      <w:r>
        <w:rPr/>
        <w:t>909 Fannin, Suite 2222</w:t>
      </w:r>
    </w:p>
    <w:p>
      <w:pPr>
        <w:pStyle w:val="From"/>
        <w:rPr/>
      </w:pPr>
      <w:r>
        <w:rPr/>
        <w:t>Houston, Texas 77010</w:t>
      </w:r>
    </w:p>
    <w:p>
      <w:pPr>
        <w:pStyle w:val="Normal"/>
        <w:rPr/>
      </w:pPr>
      <w:r>
        <w:rPr/>
      </w:r>
    </w:p>
    <w:p>
      <w:pPr>
        <w:pStyle w:val="Normal"/>
        <w:rPr/>
      </w:pPr>
      <w:r>
        <w:rPr/>
        <w:t>Attn:  Mr. John D. Jones, Vice President</w:t>
      </w:r>
    </w:p>
    <w:p>
      <w:pPr>
        <w:pStyle w:val="Normal"/>
        <w:rPr/>
      </w:pPr>
      <w:r>
        <w:rPr/>
      </w:r>
    </w:p>
    <w:p>
      <w:pPr>
        <w:pStyle w:val="Normal"/>
        <w:ind w:hanging="450" w:start="1170" w:end="0"/>
        <w:rPr/>
      </w:pPr>
      <w:r>
        <w:rPr/>
        <w:t>Re:  Confidentiality Agreement (“Agreement”) between Enron Power Marketing Inc. ("EPMI") and InterGen North America LP (“InterGen”)</w:t>
      </w:r>
    </w:p>
    <w:p>
      <w:pPr>
        <w:pStyle w:val="From"/>
        <w:rPr/>
      </w:pPr>
      <w:r>
        <w:rPr/>
      </w:r>
    </w:p>
    <w:p>
      <w:pPr>
        <w:pStyle w:val="Normal"/>
        <w:rPr/>
      </w:pPr>
      <w:r>
        <w:rPr/>
        <w:t>Ladies and Gentlemen:</w:t>
      </w:r>
    </w:p>
    <w:p>
      <w:pPr>
        <w:pStyle w:val="Normal"/>
        <w:rPr/>
      </w:pPr>
      <w:r>
        <w:rPr/>
      </w:r>
    </w:p>
    <w:p>
      <w:pPr>
        <w:pStyle w:val="BodyText"/>
        <w:rPr/>
      </w:pPr>
      <w:r>
        <w:rPr/>
        <w:t xml:space="preserve">In connection with discussions regarding a possible transaction involving </w:t>
      </w:r>
      <w:r>
        <w:rPr>
          <w:highlight w:val="yellow"/>
        </w:rPr>
        <w:t>energy management services to be provided by EPMI in relation to electric generation facilities owned by InterGen subsidiaries Redbud Energy LP and Magnolia Energy LP, located in Oklahoma and Mississippi</w:t>
      </w:r>
      <w:r>
        <w:rPr/>
        <w:t xml:space="preserve">, respectively (collectively, the "Proposed Transaction"), InterGen and EPMI are prepared to furnish one another with information, which is confidential, proprietary or generally not available to the public ("Confidential Information"). </w:t>
      </w:r>
      <w:r>
        <w:rPr>
          <w:highlight w:val="yellow"/>
        </w:rPr>
        <w:t>Such Confidential Information may include, but is not limited to</w:t>
      </w:r>
      <w:r>
        <w:rPr>
          <w:color w:val="000000"/>
          <w:sz w:val="22"/>
          <w:szCs w:val="22"/>
          <w:highlight w:val="yellow"/>
        </w:rPr>
        <w:t>,</w:t>
      </w:r>
      <w:r>
        <w:rPr>
          <w:color w:val="000000"/>
          <w:szCs w:val="22"/>
          <w:highlight w:val="yellow"/>
        </w:rPr>
        <w:t xml:space="preserve"> proprietary intellectual capital such as business strategies, transaction structures, pricing formulae, and other business methods.</w:t>
      </w:r>
      <w:r>
        <w:rPr/>
        <w:t xml:space="preserve"> InterGen and EPMI are sometimes referred to individually as a "Party" and collectively as the "Parties."  As a condition to furnishing Confidential Information, InterGen and EPMI each agree to the following:</w:t>
      </w:r>
    </w:p>
    <w:p>
      <w:pPr>
        <w:pStyle w:val="Normal"/>
        <w:jc w:val="both"/>
        <w:rPr/>
      </w:pPr>
      <w:r>
        <w:rPr/>
      </w:r>
    </w:p>
    <w:p>
      <w:pPr>
        <w:pStyle w:val="Heading3"/>
        <w:jc w:val="both"/>
        <w:rPr/>
      </w:pPr>
      <w:r>
        <w:rPr/>
        <w:fldChar w:fldCharType="begin"/>
      </w:r>
      <w:r>
        <w:rPr/>
        <w:instrText xml:space="preserve"> SEQ AutoNr \* ARABIC </w:instrText>
      </w:r>
      <w:r>
        <w:rPr/>
        <w:fldChar w:fldCharType="separate"/>
      </w:r>
      <w:r>
        <w:rPr/>
        <w:t>1</w:t>
      </w:r>
      <w:r>
        <w:rPr/>
        <w:fldChar w:fldCharType="end"/>
      </w:r>
      <w:r>
        <w:rPr/>
        <w:tab/>
        <w:t xml:space="preserve">A Party shall not disclose the other Party’s Confidential Information without the other Party’s prior written consent; </w:t>
      </w:r>
      <w:r>
        <w:rPr>
          <w:u w:val="single"/>
        </w:rPr>
        <w:t>provided</w:t>
      </w:r>
      <w:r>
        <w:rPr/>
        <w:t xml:space="preserve">, </w:t>
      </w:r>
      <w:r>
        <w:rPr>
          <w:u w:val="single"/>
        </w:rPr>
        <w:t>however</w:t>
      </w:r>
      <w:r>
        <w:rPr/>
        <w:t>, a Party may disclose: (a) the other Party’s Confidential Information to the Party’s directors, employees, advisors, lenders, representatives or affiliates, and their respective directors, employees, advisors, lenders, representatives or affiliates (collectively, "Representatives"), who agree to maintain the confidentiality of such Confidential Information in accordance with the terms hereof; and (b) any of the other Party’s Confidential Information that: (i) becomes generally available to the public; (ii) is already known to the Party at the time of disclosure by the other Party; (iii) is acquired from a third party not known to the receiving Party to be prohibited from making disclosure; or (iv) is required to be disclosed to comply with any applicable law, order, regulation or ruling.</w:t>
      </w:r>
    </w:p>
    <w:p>
      <w:pPr>
        <w:pStyle w:val="Heading3"/>
        <w:numPr>
          <w:ilvl w:val="0"/>
          <w:numId w:val="2"/>
        </w:numPr>
        <w:jc w:val="both"/>
        <w:rPr/>
      </w:pPr>
      <w:r>
        <w:rPr/>
        <w:t>A Party shall not use the other Party’s Confidential Information other than for the purpose of evaluating, negotiating and consummating the Proposed Transaction.  Upon a disclosing Party’s request, and in the sole discretion of the receiving Party, the receiving Party shall either (i) return all written Confidential Information to the disclosing Party, or (ii) destroy such Confidential Information, certifying in writing to the disclosing Party that it has done so.  Under both (i) and (ii) above, the Confidential Information shall include such Confidential Information that may be found in analyses, compilations, studies or other documents prepared by, or for, the receiving Party, and the receiving Party and its Representatives shall not retain any copies of such written Confidential Information.  Any oral Confidential Information furnished by the disclosing Party and any written Confidential Information furnished by the disclosing Party for which return is not requested will be held by the receiving Party and kept subject to the terms of this Agreement.</w:t>
      </w:r>
    </w:p>
    <w:p>
      <w:pPr>
        <w:pStyle w:val="Heading3"/>
        <w:numPr>
          <w:ilvl w:val="0"/>
          <w:numId w:val="2"/>
        </w:numPr>
        <w:jc w:val="both"/>
        <w:rPr/>
      </w:pPr>
      <w:r>
        <w:rPr/>
        <w:t>Notwithstanding anything contained in this Agreement, Confidential Information may be disclosed to any governmental, judicial or regulatory authority requiring such Confidential Information, provided that: (a) each Party shall promptly inform the other Party of the substance of any inquiries received by such Party from any governmental, judicial or regulatory authority in connection with attempts to gain access to Confidential Information concerning the Proposed Transaction; (b) prior to such disclosure, the Party who originally supplied the Confidential Information is given the earliest practicable notice of any disclosure requirement so that it may take whatever action it deems appropriate, at its sole expense, including intervention in any proceeding and the seeking of an injunction to prohibit such disclosure; (c) such Confidential Information is submitted under applicable provisions in the jurisdiction in which disclosure is sought for confidential treatment by such governmental, judicial or regulatory authority; and (d) the Party subject to the governmental, judicial or regulatory authority endeavors to protect the confidentiality of any Confidential Information to the extent reasonable under the circumstances and to use its good faith efforts to prevent the further disclosure of any Confidential Information provided to any governmental, judicial or regulatory authority.  If any court or other tribunal having jurisdiction orders that a Party is obligated to disclose any documents containing Confidential Information, then the Party shall first obtain from the other Party a “Public Disclosure Copy” in which the Confidential Information has been redacted at the other Party’s discretion to the extent that such redaction is permitted by the applicable court or tribunal requiring disclosure, as the case may be.</w:t>
      </w:r>
    </w:p>
    <w:p>
      <w:pPr>
        <w:pStyle w:val="Heading3"/>
        <w:numPr>
          <w:ilvl w:val="0"/>
          <w:numId w:val="2"/>
        </w:numPr>
        <w:jc w:val="both"/>
        <w:rPr/>
      </w:pPr>
      <w:r>
        <w:rPr/>
        <w:t>Although a Party furnishing information, including Confidential Information, has endeavored to include materials which the furnishing Party believes to be reliable and relevant for the receiving Party's evaluation, the furnishing Party makes no representation or warranty as to the accuracy or completeness of any such provided information.  Furthermore, neither the furnishing Party nor its Representatives shall have any liability to either the receiving Party or its Representatives resulting from the use of any such information by the receiving Party or its Representatives.</w:t>
      </w:r>
    </w:p>
    <w:p>
      <w:pPr>
        <w:pStyle w:val="Heading3"/>
        <w:numPr>
          <w:ilvl w:val="0"/>
          <w:numId w:val="3"/>
        </w:numPr>
        <w:jc w:val="both"/>
        <w:rPr/>
      </w:pPr>
      <w:r>
        <w:rPr/>
        <w:t>Each Party shall have the right to apply to a court to enjoin any breach of this agreement.  Any action for damages shall not be a sufficient remedy for any breach hereof and therefore, the non-breaching Party shall be entitled to specific performance or other equitable relief.  Such remedy shall not be deemed to be the exclusive remedy available to the non-breaching Party, but shall be in addition to all other available remedies. Anything herein to the contrary notwithstanding, in no event shall either Party be liable to the other for special, indirect, consequential, punitive or exemplary damages of any type, under whatever cause of action, including contract, tort (including negligence, joint or several, or strict liability) or indemnity, arising out of this Agreement.</w:t>
      </w:r>
    </w:p>
    <w:p>
      <w:pPr>
        <w:pStyle w:val="Heading3"/>
        <w:numPr>
          <w:ilvl w:val="0"/>
          <w:numId w:val="3"/>
        </w:numPr>
        <w:jc w:val="both"/>
        <w:rPr/>
      </w:pPr>
      <w:r>
        <w:rPr/>
        <w:t>A Party shall be liable for any breach of this Agreement by such Party or any of its Representatives.  Neither failure nor delay by the non-defaulting Party in exercising any of its rights, powers or privileges herein shall operate as a waiver nor shall any single or partial exercise preclude any other or further exercise of any right, power or privilege.</w:t>
      </w:r>
    </w:p>
    <w:p>
      <w:pPr>
        <w:pStyle w:val="Heading3"/>
        <w:numPr>
          <w:ilvl w:val="0"/>
          <w:numId w:val="3"/>
        </w:numPr>
        <w:jc w:val="both"/>
        <w:rPr/>
      </w:pPr>
      <w:r>
        <w:rPr/>
        <w:t>Neither this Agreement nor any communications of the Parties shall be deemed to create any obligation or liability for either Party to proceed with the Proposed Transaction unless and until the Parties so agree in writing.  This Agreement does not obligate either Party to deal exclusively with the other Party. Moreover, this Agreement does not prevent a Party or any of its affiliates from competing with the other Party or any of its affiliates, so long as such Party does not breach this Agreement.  The Parties agree that no joint venture, partnership, or other fiduciary relationship shall be deemed to exist or arise with respect to the Proposed Transaction.</w:t>
      </w:r>
    </w:p>
    <w:p>
      <w:pPr>
        <w:pStyle w:val="Heading3"/>
        <w:numPr>
          <w:ilvl w:val="0"/>
          <w:numId w:val="3"/>
        </w:numPr>
        <w:jc w:val="both"/>
        <w:rPr/>
      </w:pPr>
      <w:r>
        <w:rPr/>
        <w:t>This Agreement shall be binding upon and for the benefit of EPMI and InterGen and their respective Representatives, successors, and permitted assigns.  Neither EPMI nor InterGen may assign its rights or obligations hereunder without the prior written consent of the other Party; PROVIDED HOWEVER, either Party may assign this Agreement, without consent of the other Party, to any of its subsidiaries or affiliates without releasing such Party from its obligations hereunder.</w:t>
      </w:r>
    </w:p>
    <w:p>
      <w:pPr>
        <w:pStyle w:val="Heading3"/>
        <w:numPr>
          <w:ilvl w:val="0"/>
          <w:numId w:val="3"/>
        </w:numPr>
        <w:jc w:val="both"/>
        <w:rPr/>
      </w:pPr>
      <w:r>
        <w:rPr/>
        <w:t>THIS AGREEMENT SHALL BE GOVERNED BY AND CONSTRUED IN ACCORDANCE WITH THE LAWS OF THE STATE OF TEXAS WITHOUT REGARD TO CONFLICTS OF LAWS RULES OR PRINCIPLES.</w:t>
      </w:r>
    </w:p>
    <w:p>
      <w:pPr>
        <w:pStyle w:val="Heading3"/>
        <w:numPr>
          <w:ilvl w:val="0"/>
          <w:numId w:val="3"/>
        </w:numPr>
        <w:jc w:val="both"/>
        <w:rPr/>
      </w:pPr>
      <w:r>
        <w:rPr/>
        <w:t xml:space="preserve">This Agreement shall terminate on the date </w:t>
      </w:r>
      <w:r>
        <w:rPr>
          <w:highlight w:val="yellow"/>
        </w:rPr>
        <w:t>two (2) years</w:t>
      </w:r>
      <w:r>
        <w:rPr/>
        <w:t xml:space="preserve"> from the date of this letter.</w:t>
      </w:r>
    </w:p>
    <w:p>
      <w:pPr>
        <w:pStyle w:val="Justified"/>
        <w:keepNext w:val="true"/>
        <w:keepLines/>
        <w:ind w:firstLine="720" w:end="0"/>
        <w:jc w:val="both"/>
        <w:rPr/>
      </w:pPr>
      <w:r>
        <w:rPr/>
        <w:t>IN WITNESS WHEREOF, the Parties hereto have executed this agreement in duplicate originals to be effective as of the day and year first written above.</w:t>
      </w:r>
    </w:p>
    <w:p>
      <w:pPr>
        <w:pStyle w:val="Normal"/>
        <w:keepNext w:val="true"/>
        <w:keepLines/>
        <w:tabs>
          <w:tab w:val="clear" w:pos="720"/>
          <w:tab w:val="left" w:pos="4860" w:leader="none"/>
          <w:tab w:val="left" w:pos="9180" w:leader="none"/>
        </w:tabs>
        <w:spacing w:before="0" w:after="120"/>
        <w:rPr/>
      </w:pPr>
      <w:r>
        <w:rPr/>
        <w:tab/>
      </w:r>
    </w:p>
    <w:p>
      <w:pPr>
        <w:pStyle w:val="Normal"/>
        <w:keepNext w:val="true"/>
        <w:keepLines/>
        <w:tabs>
          <w:tab w:val="clear" w:pos="720"/>
          <w:tab w:val="left" w:pos="4860" w:leader="none"/>
          <w:tab w:val="left" w:pos="9180" w:leader="none"/>
        </w:tabs>
        <w:spacing w:before="0" w:after="120"/>
        <w:rPr/>
      </w:pPr>
      <w:r>
        <w:rPr/>
        <w:tab/>
        <w:t>Very truly yours,</w:t>
      </w:r>
    </w:p>
    <w:p>
      <w:pPr>
        <w:pStyle w:val="Normal"/>
        <w:keepNext w:val="true"/>
        <w:keepLines/>
        <w:tabs>
          <w:tab w:val="clear" w:pos="720"/>
          <w:tab w:val="left" w:pos="4860" w:leader="none"/>
          <w:tab w:val="left" w:pos="9180" w:leader="none"/>
        </w:tabs>
        <w:rPr/>
      </w:pPr>
      <w:r>
        <w:rPr/>
        <w:tab/>
      </w:r>
      <w:r>
        <w:rPr>
          <w:b/>
        </w:rPr>
        <w:t>ENRON POWER MARKETING INC.</w:t>
      </w:r>
    </w:p>
    <w:p>
      <w:pPr>
        <w:pStyle w:val="Normal"/>
        <w:keepNext w:val="true"/>
        <w:keepLines/>
        <w:tabs>
          <w:tab w:val="clear" w:pos="720"/>
          <w:tab w:val="left" w:pos="4860" w:leader="none"/>
          <w:tab w:val="left" w:pos="9180" w:leader="none"/>
        </w:tabs>
        <w:rPr>
          <w:b/>
        </w:rPr>
      </w:pPr>
      <w:r>
        <w:rPr>
          <w:b/>
        </w:rPr>
      </w:r>
    </w:p>
    <w:p>
      <w:pPr>
        <w:pStyle w:val="Normal"/>
        <w:keepNext w:val="true"/>
        <w:keepLines/>
        <w:tabs>
          <w:tab w:val="clear" w:pos="720"/>
          <w:tab w:val="left" w:pos="4860" w:leader="none"/>
          <w:tab w:val="left" w:pos="9180" w:leader="none"/>
        </w:tabs>
        <w:spacing w:before="0" w:after="120"/>
        <w:rPr/>
      </w:pPr>
      <w:r>
        <w:rPr/>
        <w:tab/>
        <w:t>By:</w:t>
      </w:r>
      <w:r>
        <w:rPr>
          <w:u w:val="single"/>
        </w:rPr>
        <w:tab/>
      </w:r>
    </w:p>
    <w:p>
      <w:pPr>
        <w:pStyle w:val="Normal"/>
        <w:keepNext w:val="true"/>
        <w:keepLines/>
        <w:tabs>
          <w:tab w:val="clear" w:pos="720"/>
          <w:tab w:val="left" w:pos="4860" w:leader="none"/>
          <w:tab w:val="left" w:pos="9180" w:leader="none"/>
        </w:tabs>
        <w:spacing w:before="0" w:after="120"/>
        <w:rPr/>
      </w:pPr>
      <w:r>
        <w:rPr/>
        <w:tab/>
        <w:t>Name:</w:t>
      </w:r>
      <w:r>
        <w:rPr>
          <w:u w:val="single"/>
        </w:rPr>
        <w:tab/>
      </w:r>
    </w:p>
    <w:p>
      <w:pPr>
        <w:pStyle w:val="Normal"/>
        <w:keepNext w:val="true"/>
        <w:keepLines/>
        <w:tabs>
          <w:tab w:val="clear" w:pos="720"/>
          <w:tab w:val="left" w:pos="4860" w:leader="none"/>
          <w:tab w:val="left" w:pos="9180" w:leader="none"/>
        </w:tabs>
        <w:rPr/>
      </w:pPr>
      <w:r>
        <w:rPr/>
        <w:tab/>
        <w:t>Title:</w:t>
      </w:r>
      <w:r>
        <w:rPr>
          <w:u w:val="single"/>
        </w:rPr>
        <w:tab/>
      </w:r>
    </w:p>
    <w:p>
      <w:pPr>
        <w:pStyle w:val="Normal"/>
        <w:keepNext w:val="true"/>
        <w:keepLines/>
        <w:tabs>
          <w:tab w:val="clear" w:pos="720"/>
          <w:tab w:val="left" w:pos="4860" w:leader="none"/>
        </w:tabs>
        <w:spacing w:before="0" w:after="120"/>
        <w:rPr/>
      </w:pPr>
      <w:r>
        <w:rPr/>
      </w:r>
    </w:p>
    <w:p>
      <w:pPr>
        <w:pStyle w:val="Normal"/>
        <w:keepNext w:val="true"/>
        <w:keepLines/>
        <w:tabs>
          <w:tab w:val="clear" w:pos="720"/>
          <w:tab w:val="left" w:pos="4860" w:leader="none"/>
        </w:tabs>
        <w:spacing w:before="0" w:after="120"/>
        <w:rPr/>
      </w:pPr>
      <w:r>
        <w:rPr/>
        <w:t>Agreed and accepted this ___ day of May, 2001.</w:t>
      </w:r>
    </w:p>
    <w:p>
      <w:pPr>
        <w:pStyle w:val="TOAHeading"/>
        <w:spacing w:before="0" w:after="0"/>
        <w:rPr>
          <w:bCs/>
          <w:caps/>
        </w:rPr>
      </w:pPr>
      <w:r>
        <w:rPr>
          <w:bCs/>
          <w:caps/>
        </w:rPr>
        <w:t>InterGen North America LP</w:t>
      </w:r>
    </w:p>
    <w:p>
      <w:pPr>
        <w:pStyle w:val="TOAHeading"/>
        <w:keepNext w:val="true"/>
        <w:keepLines/>
        <w:tabs>
          <w:tab w:val="left" w:pos="720" w:leader="none"/>
          <w:tab w:val="left" w:pos="1440" w:leader="none"/>
          <w:tab w:val="left" w:pos="2160" w:leader="none"/>
          <w:tab w:val="right" w:pos="9360" w:leader="none"/>
        </w:tabs>
        <w:spacing w:before="0" w:after="0"/>
        <w:rPr>
          <w:bCs/>
          <w:caps/>
        </w:rPr>
      </w:pPr>
      <w:r>
        <w:rPr>
          <w:bCs/>
          <w:caps/>
        </w:rPr>
      </w:r>
    </w:p>
    <w:p>
      <w:pPr>
        <w:pStyle w:val="Normal"/>
        <w:keepNext w:val="true"/>
        <w:keepLines/>
        <w:tabs>
          <w:tab w:val="left" w:pos="720" w:leader="none"/>
          <w:tab w:val="left" w:pos="1440" w:leader="none"/>
          <w:tab w:val="left" w:pos="2160" w:leader="none"/>
          <w:tab w:val="right" w:pos="9360" w:leader="none"/>
        </w:tabs>
        <w:rPr>
          <w:caps/>
        </w:rPr>
      </w:pPr>
      <w:r>
        <w:rPr>
          <w:caps/>
        </w:rPr>
      </w:r>
    </w:p>
    <w:p>
      <w:pPr>
        <w:pStyle w:val="Justified"/>
        <w:keepNext w:val="true"/>
        <w:keepLines/>
        <w:tabs>
          <w:tab w:val="left" w:pos="720" w:leader="none"/>
          <w:tab w:val="left" w:pos="1440" w:leader="none"/>
          <w:tab w:val="left" w:pos="2160" w:leader="none"/>
          <w:tab w:val="right" w:pos="9360" w:leader="none"/>
        </w:tabs>
        <w:spacing w:before="0" w:after="0"/>
        <w:rPr/>
      </w:pPr>
      <w:r>
        <w:rPr/>
      </w:r>
    </w:p>
    <w:p>
      <w:pPr>
        <w:pStyle w:val="Normal"/>
        <w:keepNext w:val="true"/>
        <w:keepLines/>
        <w:tabs>
          <w:tab w:val="clear" w:pos="720"/>
          <w:tab w:val="left" w:pos="4320" w:leader="none"/>
        </w:tabs>
        <w:spacing w:before="0" w:after="120"/>
        <w:rPr/>
      </w:pPr>
      <w:r>
        <w:rPr/>
        <w:t>By:</w:t>
      </w:r>
      <w:r>
        <w:rPr>
          <w:u w:val="single"/>
        </w:rPr>
        <w:tab/>
      </w:r>
    </w:p>
    <w:p>
      <w:pPr>
        <w:pStyle w:val="Normal"/>
        <w:keepNext w:val="true"/>
        <w:keepLines/>
        <w:tabs>
          <w:tab w:val="clear" w:pos="720"/>
          <w:tab w:val="left" w:pos="4320" w:leader="none"/>
        </w:tabs>
        <w:spacing w:before="0" w:after="120"/>
        <w:rPr/>
      </w:pPr>
      <w:r>
        <w:rPr/>
        <w:t>Name: ______________________________</w:t>
      </w:r>
    </w:p>
    <w:p>
      <w:pPr>
        <w:pStyle w:val="Normal"/>
        <w:tabs>
          <w:tab w:val="clear" w:pos="720"/>
          <w:tab w:val="left" w:pos="4320" w:leader="none"/>
        </w:tabs>
        <w:rPr/>
      </w:pPr>
      <w:r>
        <w:rPr/>
        <w:t>Title: _______________________________</w:t>
      </w:r>
    </w:p>
    <w:sectPr>
      <w:headerReference w:type="default" r:id="rId2"/>
      <w:headerReference w:type="first" r:id="rId3"/>
      <w:footerReference w:type="default" r:id="rId4"/>
      <w:footerReference w:type="first" r:id="rId5"/>
      <w:type w:val="nextPage"/>
      <w:pgSz w:w="12240" w:h="15840"/>
      <w:pgMar w:left="1152" w:right="1152" w:gutter="0" w:header="576" w:top="720" w:footer="1008" w:bottom="106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fldChar w:fldCharType="begin"/>
    </w:r>
    <w:r>
      <w:rPr>
        <w:sz w:val="14"/>
      </w:rPr>
      <w:instrText xml:space="preserve"> FILENAME </w:instrText>
    </w:r>
    <w:r>
      <w:rPr>
        <w:sz w:val="14"/>
      </w:rPr>
      <w:fldChar w:fldCharType="separate"/>
    </w:r>
    <w:r>
      <w:rPr>
        <w:sz w:val="14"/>
      </w:rPr>
      <w:t>InterGen_North_America_CA_may_18-0b7e5fe349b806287978454f49a97cc9a406e6d87945888b8b038b9eaf518cbd.doc</w:t>
    </w:r>
    <w:r>
      <w:rPr>
        <w:sz w:val="14"/>
      </w:rPr>
      <w:fldChar w:fldCharType="end"/>
    </w:r>
    <w:del w:id="1" w:author="ehearn" w:date="2000-03-31T16:05:00Z">
      <w:r>
        <w:rPr>
          <w:sz w:val="14"/>
        </w:rPr>
        <w:fldChar w:fldCharType="begin"/>
      </w:r>
      <w:r>
        <w:rPr>
          <w:sz w:val="14"/>
        </w:rPr>
        <w:delInstrText xml:space="preserve"> FILENAME </w:delInstrText>
      </w:r>
      <w:r>
        <w:rPr>
          <w:sz w:val="14"/>
        </w:rPr>
        <w:fldChar w:fldCharType="separate"/>
      </w:r>
      <w:r>
        <w:rPr>
          <w:sz w:val="14"/>
        </w:rPr>
        <w:delText>InterGen_North_America_CA_may_18-0b7e5fe349b806287978454f49a97cc9a406e6d87945888b8b038b9eaf518cbd.doc</w:delText>
      </w:r>
      <w:r>
        <w:rPr>
          <w:sz w:val="14"/>
        </w:rPr>
        <w:fldChar w:fldCharType="end"/>
      </w:r>
    </w:del>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r>
  </w:p>
  <w:p>
    <w:pPr>
      <w:pStyle w:val="Footer"/>
      <w:rPr>
        <w:sz w:val="14"/>
      </w:rPr>
    </w:pPr>
    <w:r>
      <w:rPr>
        <w:sz w:val="1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del w:id="0" w:author="ehearn" w:date="2000-03-31T16:04:00Z">
      <w:r>
        <w:rPr/>
        <w:delText>*</w:delText>
      </w:r>
    </w:del>
    <w:r>
      <w:rPr/>
      <w:t xml:space="preserve"> InterGen North America</w:t>
    </w:r>
  </w:p>
  <w:p>
    <w:pPr>
      <w:pStyle w:val="Header"/>
      <w:tabs>
        <w:tab w:val="clear" w:pos="4320"/>
        <w:tab w:val="clear" w:pos="8640"/>
        <w:tab w:val="right" w:pos="9900" w:leader="none"/>
      </w:tabs>
      <w:rPr>
        <w:sz w:val="20"/>
      </w:rPr>
    </w:pPr>
    <w:r>
      <w:rPr/>
      <w:t>Development Company LLC</w:t>
      <w:tab/>
    </w:r>
  </w:p>
  <w:p>
    <w:pPr>
      <w:pStyle w:val="Header"/>
      <w:tabs>
        <w:tab w:val="clear" w:pos="4320"/>
        <w:tab w:val="clear" w:pos="8640"/>
      </w:tabs>
      <w:rPr/>
    </w:pPr>
    <w:r>
      <w:rPr/>
      <w:fldChar w:fldCharType="begin"/>
    </w:r>
    <w:r>
      <w:rPr/>
      <w:instrText xml:space="preserve"> DATE \@"MMMM\ d', 'yyyy" </w:instrText>
    </w:r>
    <w:r>
      <w:rPr/>
      <w:fldChar w:fldCharType="separate"/>
    </w:r>
    <w:r>
      <w:rPr/>
      <w:t>September 28, 2025</w:t>
    </w:r>
    <w:r>
      <w:rPr/>
      <w:fldChar w:fldCharType="end"/>
    </w:r>
  </w:p>
  <w:p>
    <w:pPr>
      <w:pStyle w:val="Header"/>
      <w:tabs>
        <w:tab w:val="clear" w:pos="4320"/>
        <w:tab w:val="clear" w:pos="8640"/>
      </w:tabs>
      <w:rPr/>
    </w:pPr>
    <w:r>
      <w:rPr/>
      <w:t xml:space="preserve">Page  </w:t>
    </w:r>
    <w:r>
      <w:rPr/>
      <w:fldChar w:fldCharType="begin"/>
    </w:r>
    <w:r>
      <w:rPr/>
      <w:instrText xml:space="preserve"> PAGE </w:instrText>
    </w:r>
    <w:r>
      <w:rPr/>
      <w:fldChar w:fldCharType="separate"/>
    </w:r>
    <w:r>
      <w:rPr/>
      <w:t>3</w:t>
    </w:r>
    <w:r>
      <w:rPr/>
      <w:fldChar w:fldCharType="end"/>
    </w:r>
  </w:p>
  <w:p>
    <w:pPr>
      <w:pStyle w:val="Header"/>
      <w:tabs>
        <w:tab w:val="clear" w:pos="4320"/>
        <w:tab w:val="clear" w:pos="8640"/>
      </w:tabs>
      <w:rPr/>
    </w:pPr>
    <w:r>
      <w:rPr/>
    </w:r>
  </w:p>
  <w:p>
    <w:pPr>
      <w:pStyle w:val="Header"/>
      <w:tabs>
        <w:tab w:val="clear" w:pos="4320"/>
        <w:tab w:val="clear" w:pos="8640"/>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left" w:pos="7200" w:leader="none"/>
        <w:tab w:val="right" w:pos="9900" w:leader="none"/>
      </w:tabs>
      <w:jc w:val="center"/>
      <w:rPr>
        <w:b/>
        <w:sz w:val="28"/>
      </w:rPr>
    </w:pPr>
    <w:r>
      <w:rPr>
        <w:b/>
        <w:sz w:val="28"/>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720"/>
        </w:tabs>
        <w:ind w:start="720" w:hanging="360"/>
      </w:pPr>
      <w:rPr/>
    </w:lvl>
  </w:abstractNum>
  <w:abstractNum w:abstractNumId="3">
    <w:lvl w:ilvl="0">
      <w:start w:val="5"/>
      <w:numFmt w:val="decimal"/>
      <w:lvlText w:val="%1."/>
      <w:lvlJc w:val="start"/>
      <w:pPr>
        <w:tabs>
          <w:tab w:val="num" w:pos="720"/>
        </w:tabs>
        <w:ind w:start="72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BodyText"/>
    <w:qFormat/>
    <w:pPr>
      <w:numPr>
        <w:ilvl w:val="2"/>
        <w:numId w:val="1"/>
      </w:numPr>
      <w:spacing w:before="0" w:after="120"/>
      <w:ind w:hanging="720" w:start="720" w:end="0"/>
      <w:outlineLvl w:val="2"/>
    </w:pPr>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om">
    <w:name w:val="From"/>
    <w:basedOn w:val="Normal"/>
    <w:qFormat/>
    <w:pPr/>
    <w:rPr/>
  </w:style>
  <w:style w:type="paragraph" w:styleId="TOAHeading">
    <w:name w:val="TOA Heading"/>
    <w:basedOn w:val="Normal"/>
    <w:next w:val="Normal"/>
    <w:qFormat/>
    <w:pPr>
      <w:spacing w:before="120" w:after="0"/>
    </w:pPr>
    <w:rPr>
      <w:b/>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2001-05-18T16:04:00Z</dcterms:created>
  <dc:creator>ehearn</dc:creator>
  <dc:description>Preferred by Stuart Zisman</dc:description>
  <cp:keywords>InterGen North America</cp:keywords>
  <dc:language>en-CA</dc:language>
  <cp:lastModifiedBy>DPedigo</cp:lastModifiedBy>
  <cp:lastPrinted>2000-08-03T14:26:00Z</cp:lastPrinted>
  <dcterms:modified xsi:type="dcterms:W3CDTF">2001-05-18T16:10:00Z</dcterms:modified>
  <cp:revision>4</cp:revision>
  <dc:subject/>
  <dc:title>Confidentiality Agreement</dc:title>
</cp:coreProperties>
</file>