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pPr>
      <w:r>
        <w:rPr/>
        <w:tab/>
      </w:r>
      <w:r>
        <w:rPr>
          <w:u w:val="single"/>
        </w:rPr>
        <w:t>CA ENERGY DEVELOPMENT I LLC</w:t>
      </w:r>
    </w:p>
    <w:p>
      <w:pPr>
        <w:pStyle w:val="Normal"/>
        <w:jc w:val="both"/>
        <w:rPr/>
      </w:pPr>
      <w:r>
        <w:rPr/>
      </w:r>
    </w:p>
    <w:p>
      <w:pPr>
        <w:pStyle w:val="Normal"/>
        <w:tabs>
          <w:tab w:val="clear" w:pos="720"/>
          <w:tab w:val="center" w:pos="4680" w:leader="none"/>
        </w:tabs>
        <w:jc w:val="both"/>
        <w:rPr/>
      </w:pPr>
      <w:r>
        <w:rPr/>
        <w:tab/>
      </w:r>
      <w:r>
        <w:rPr>
          <w:u w:val="single"/>
        </w:rPr>
        <w:t>UNANIMOUS WRITTEN CONSENT OF MANAGEMENT BOARD</w:t>
      </w:r>
    </w:p>
    <w:p>
      <w:pPr>
        <w:pStyle w:val="Normal"/>
        <w:jc w:val="both"/>
        <w:rPr/>
      </w:pPr>
      <w:r>
        <w:rPr/>
      </w:r>
    </w:p>
    <w:p>
      <w:pPr>
        <w:pStyle w:val="Normal"/>
        <w:tabs>
          <w:tab w:val="clear" w:pos="720"/>
          <w:tab w:val="center" w:pos="4680" w:leader="none"/>
        </w:tabs>
        <w:jc w:val="both"/>
        <w:rPr/>
      </w:pPr>
      <w:r>
        <w:rPr/>
        <w:tab/>
        <w:t>(In Lieu of Special Meeting)</w:t>
      </w:r>
    </w:p>
    <w:p>
      <w:pPr>
        <w:pStyle w:val="Normal"/>
        <w:jc w:val="both"/>
        <w:rPr/>
      </w:pPr>
      <w:r>
        <w:rPr/>
      </w:r>
      <w:bookmarkStart w:id="0" w:name="QuickMark"/>
      <w:bookmarkStart w:id="1" w:name="QuickMark"/>
      <w:bookmarkEnd w:id="1"/>
    </w:p>
    <w:p>
      <w:pPr>
        <w:pStyle w:val="Normal"/>
        <w:jc w:val="both"/>
        <w:rPr/>
      </w:pPr>
      <w:r>
        <w:rPr/>
      </w:r>
    </w:p>
    <w:p>
      <w:pPr>
        <w:pStyle w:val="Normal"/>
        <w:spacing w:lineRule="auto" w:line="480"/>
        <w:ind w:firstLine="720" w:end="0"/>
        <w:jc w:val="both"/>
        <w:rPr/>
      </w:pPr>
      <w:r>
        <w:rPr/>
        <w:t>The undersigned, being all of the members (the “</w:t>
      </w:r>
      <w:r>
        <w:rPr>
          <w:u w:val="single"/>
        </w:rPr>
        <w:t>Directors</w:t>
      </w:r>
      <w:r>
        <w:rPr/>
        <w:t>”) of the Management Board of CA ENERGY DEVELOPMENT I LLC, a Delaware limited liability company (the “</w:t>
      </w:r>
      <w:r>
        <w:rPr>
          <w:u w:val="single"/>
        </w:rPr>
        <w:t>Company</w:t>
      </w:r>
      <w:r>
        <w:rPr/>
        <w:t>”), do hereby waive notice and the call of a meeting of Directors, and adopt and consent to the following actions pursuant to the provisions of Section 4.1(d) of the First Amended and Restated Limited Liability Company Agreement of the Company (the “</w:t>
      </w:r>
      <w:r>
        <w:rPr>
          <w:u w:val="single"/>
        </w:rPr>
        <w:t>LLC Agreement</w:t>
      </w:r>
      <w:r>
        <w:rPr/>
        <w:t>”):</w:t>
      </w:r>
    </w:p>
    <w:p>
      <w:pPr>
        <w:pStyle w:val="Normal"/>
        <w:ind w:firstLine="720" w:start="1440" w:end="1440"/>
        <w:jc w:val="both"/>
        <w:rPr/>
      </w:pPr>
      <w:r>
        <w:rPr/>
        <w:t xml:space="preserve">RESOLVED, that the persons named in </w:t>
      </w:r>
      <w:r>
        <w:rPr>
          <w:u w:val="single"/>
        </w:rPr>
        <w:t>Exhibit A</w:t>
      </w:r>
      <w:r>
        <w:rPr/>
        <w:t xml:space="preserve"> attached hereto and made a part hereof be, and each of them hereby is, elected to the office or offices set opposite their names in </w:t>
      </w:r>
      <w:r>
        <w:rPr>
          <w:u w:val="single"/>
        </w:rPr>
        <w:t>Exhibit A</w:t>
      </w:r>
      <w:r>
        <w:rPr/>
        <w:t xml:space="preserve"> hereto, to hold such office or offices until their respective successors shall have been duly appointed;</w:t>
      </w:r>
    </w:p>
    <w:p>
      <w:pPr>
        <w:pStyle w:val="Normal"/>
        <w:jc w:val="both"/>
        <w:rPr/>
      </w:pPr>
      <w:r>
        <w:rPr/>
      </w:r>
    </w:p>
    <w:p>
      <w:pPr>
        <w:pStyle w:val="Normal"/>
        <w:ind w:firstLine="720" w:start="1440" w:end="1440"/>
        <w:jc w:val="both"/>
        <w:rPr/>
      </w:pPr>
      <w:r>
        <w:rPr/>
        <w:t>RESOLVED, that the sale by the Company of all of the Company’s right, title and interest in, to and under the property described in Schedule 1 hereto (such property, the “</w:t>
      </w:r>
      <w:r>
        <w:rPr>
          <w:u w:val="single"/>
        </w:rPr>
        <w:t>Transferred Property</w:t>
      </w:r>
      <w:r>
        <w:rPr/>
        <w:t>”) to Sweetgum Energy LP, a Delaware limited partnership (“</w:t>
      </w:r>
      <w:r>
        <w:rPr>
          <w:u w:val="single"/>
        </w:rPr>
        <w:t>Buyer</w:t>
      </w:r>
      <w:r>
        <w:rPr/>
        <w:t>”), in consideration for Buyer’s (i) release and cancellation of that certain promissory note dated January 18, 2001, in the original principal amount of $16,100,000, made by the Company payable to Buyer and (ii) Buyer’s assumption of the Company’s liabilities and obligations under the Transferred Property, be and hereby is in all respects approved, adopted, ratified and affirmed;</w:t>
      </w:r>
    </w:p>
    <w:p>
      <w:pPr>
        <w:pStyle w:val="Normal"/>
        <w:jc w:val="both"/>
        <w:rPr/>
      </w:pPr>
      <w:r>
        <w:rPr/>
      </w:r>
    </w:p>
    <w:p>
      <w:pPr>
        <w:pStyle w:val="Normal"/>
        <w:ind w:firstLine="720" w:start="1440" w:end="1440"/>
        <w:jc w:val="both"/>
        <w:rPr/>
      </w:pPr>
      <w:r>
        <w:rPr/>
        <w:t>RESOLVED, that any officer of the Company be, and each of them hereby is, authorized, in the name and on behalf of the Company, to take such actions and to prepare (or caused to be prepared), execute and deliver a purchase agreement, a bill of sale and such other agreements, instruments and documents as such officer, in his or her discretion, deems advisable, to cause the Company to duly effect the intent of the foregoing resolutions (including such changes in the foregoing terms of sale as the officer executing any such bill of sale, agreement, instrument or document shall in his or her discretion approve), the taking of such actions and the preparation, execution and delivery of such bill of sale, agreements, instruments and documents to be conclusive evidence of the approval of this Management Board thereof and all matters relating thereto;</w:t>
      </w:r>
    </w:p>
    <w:p>
      <w:pPr>
        <w:pStyle w:val="Normal"/>
        <w:jc w:val="both"/>
        <w:rPr/>
      </w:pPr>
      <w:r>
        <w:rPr/>
      </w:r>
    </w:p>
    <w:p>
      <w:pPr>
        <w:pStyle w:val="Normal"/>
        <w:ind w:firstLine="720" w:start="1440" w:end="1440"/>
        <w:jc w:val="both"/>
        <w:rPr/>
      </w:pPr>
      <w:r>
        <w:rPr/>
        <w:t>RESOLVED, that any and all actions taken by or on behalf of the officers of the Company prior to the adoption of these resolutions, including (without limitation) the execution of a document on behalf of the Company as an officer of the Company prior to the time the person executing such document was elected by this Management Board as an officer of the Company, which are within the authority conferred hereby are hereby in all respects ratified, confirmed and approved.</w:t>
      </w:r>
    </w:p>
    <w:p>
      <w:pPr>
        <w:pStyle w:val="Normal"/>
        <w:jc w:val="both"/>
        <w:rPr/>
      </w:pPr>
      <w:r>
        <w:rPr/>
      </w:r>
    </w:p>
    <w:p>
      <w:pPr>
        <w:pStyle w:val="Normal"/>
        <w:ind w:firstLine="720" w:end="0"/>
        <w:jc w:val="both"/>
        <w:rPr/>
      </w:pPr>
      <w:r>
        <w:rPr/>
        <w:t>Dated as of the 1</w:t>
      </w:r>
      <w:r>
        <w:rPr>
          <w:vertAlign w:val="superscript"/>
        </w:rPr>
        <w:t>st</w:t>
      </w:r>
      <w:r>
        <w:rPr/>
        <w:t xml:space="preserve"> of February, 2001.</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John D. Jones</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Steve Weyel</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West Griffin</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Ben F. Jacoby</w:t>
      </w:r>
    </w:p>
    <w:p>
      <w:pPr>
        <w:pStyle w:val="Normal"/>
        <w:jc w:val="both"/>
        <w:rPr/>
      </w:pPr>
      <w:r>
        <w:rPr/>
      </w:r>
      <w:r>
        <w:br w:type="page"/>
      </w:r>
    </w:p>
    <w:p>
      <w:pPr>
        <w:pStyle w:val="BodyText"/>
        <w:jc w:val="center"/>
        <w:rPr>
          <w:b/>
          <w:u w:val="single"/>
        </w:rPr>
      </w:pPr>
      <w:r>
        <w:rPr>
          <w:b/>
          <w:u w:val="single"/>
        </w:rPr>
        <w:t>Schedule 1 to Management Board Consent</w:t>
      </w:r>
    </w:p>
    <w:p>
      <w:pPr>
        <w:pStyle w:val="BodyText"/>
        <w:rPr>
          <w:b/>
          <w:u w:val="single"/>
        </w:rPr>
      </w:pPr>
      <w:r>
        <w:rPr>
          <w:b/>
          <w:u w:val="single"/>
        </w:rPr>
      </w:r>
    </w:p>
    <w:p>
      <w:pPr>
        <w:pStyle w:val="BodyText"/>
        <w:rPr/>
      </w:pPr>
      <w:r>
        <w:rPr/>
        <w:t>The Transferred Property is composed of all of the Company’s right, title and interest in, to and under the following property and contracts:</w:t>
      </w:r>
    </w:p>
    <w:p>
      <w:pPr>
        <w:pStyle w:val="BodyText"/>
        <w:rPr/>
      </w:pPr>
      <w:r>
        <w:rPr/>
        <w:tab/>
        <w:t>A.</w:t>
        <w:tab/>
        <w:t>One (1) LM6000 Enhanced SPRINT Dual-fuel Combustion Turbine Generator Set (serial number 309604/17) and any associated equipment to be included with the turbine generator set under that certain Agreement dated January 18, 2001 (the “</w:t>
      </w:r>
      <w:r>
        <w:rPr>
          <w:u w:val="single"/>
        </w:rPr>
        <w:t>Facility Agreement</w:t>
      </w:r>
      <w:r>
        <w:rPr/>
        <w:t>”) between CA Energy Development I, LLC and GE Packaged Power, Inc. for the Purchase of One LM 6000 Enhanced SPRINT Gas Turbine Generator Set (such generator set and associated equipment, the “</w:t>
      </w:r>
      <w:r>
        <w:rPr>
          <w:u w:val="single"/>
        </w:rPr>
        <w:t>Assigned Equipment</w:t>
      </w:r>
      <w:r>
        <w:rPr/>
        <w:t xml:space="preserve">”).  </w:t>
      </w:r>
    </w:p>
    <w:p>
      <w:pPr>
        <w:pStyle w:val="BodyText"/>
        <w:rPr/>
      </w:pPr>
      <w:r>
        <w:rPr/>
        <w:tab/>
        <w:t>B.</w:t>
        <w:tab/>
        <w:t>All rights and obligations of the Company, including without limitation warranties, representations, and indemnities, under the Facility Agreement and/or under any other agreement, assignment, instrument, or document entered into, received, or delivered by the Company in connection with the Company’s acquisition of the Assigned Equipment or the Facility Agreement.</w:t>
      </w:r>
    </w:p>
    <w:p>
      <w:pPr>
        <w:pStyle w:val="BodyText"/>
        <w:rPr/>
      </w:pPr>
      <w:r>
        <w:rPr/>
        <w:tab/>
        <w:t>C.</w:t>
        <w:tab/>
        <w:t>All rights and obligations of the Company, including without limitation warranties, representations, and indemnities, under the Letter Agreement (as defined in the LLC Agreement) relating to the Assigned Equipment and/or the Facility Agreement; provided, however, that the Company does not release the Company’s rights to indemnity by ENA (as defined in the LLC Agreement) under the Letter Agreement, it being the Company’s and Buyer’s express intent that the Company, Buyer and Buyer’s successors and assigns shall each have and continue to have respective rights to indemnity by ENA under the Letter Agreement.</w:t>
      </w:r>
    </w:p>
    <w:p>
      <w:pPr>
        <w:pStyle w:val="BodyText"/>
        <w:spacing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rPr/>
          </w:pPr>
          <w:r>
            <w:rPr/>
            <w:fldChar w:fldCharType="begin"/>
          </w:r>
          <w:r>
            <w:rPr/>
            <w:instrText xml:space="preserve"> DOCPROPERTY "DocNumber"</w:instrText>
          </w:r>
          <w:r>
            <w:rPr/>
            <w:fldChar w:fldCharType="separate"/>
          </w:r>
          <w:r>
            <w:rPr/>
            <w:t>45021266.1</w:t>
          </w:r>
          <w:r>
            <w:rPr/>
            <w:fldChar w:fldCharType="end"/>
          </w:r>
        </w:p>
        <w:p>
          <w:pPr>
            <w:pStyle w:val="DocumentInformation"/>
            <w:rPr/>
          </w:pPr>
          <w:r>
            <w:rPr/>
          </w:r>
        </w:p>
      </w:tc>
      <w:tc>
        <w:tcPr>
          <w:tcW w:w="3192"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3192" w:type="dxa"/>
          <w:tcBorders/>
        </w:tcPr>
        <w:p>
          <w:pPr>
            <w:pStyle w:val="Footer"/>
            <w:snapToGrid w:val="false"/>
            <w:jc w:val="end"/>
            <w:rPr>
              <w:rStyle w:val="PageNumber"/>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umentInformation"/>
      <w:rPr/>
    </w:pPr>
    <w:r>
      <w:rPr/>
      <w:fldChar w:fldCharType="begin"/>
    </w:r>
    <w:r>
      <w:rPr/>
      <w:instrText xml:space="preserve"> DOCPROPERTY "DocNumber"</w:instrText>
    </w:r>
    <w:r>
      <w:rPr/>
      <w:fldChar w:fldCharType="separate"/>
    </w:r>
    <w:r>
      <w:rPr/>
      <w:t>45021266.1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CAED I – 4.1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2001-04-10T01:42:00Z</dcterms:created>
  <dc:creator>George Kutzschbach</dc:creator>
  <dc:description/>
  <dc:language>en-CA</dc:language>
  <cp:lastModifiedBy>George Kutzschbach</cp:lastModifiedBy>
  <dcterms:modified xsi:type="dcterms:W3CDTF">2001-04-11T11:23:00Z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
    <vt:lpwstr>GK00279</vt:lpwstr>
  </property>
  <property fmtid="{D5CDD505-2E9C-101B-9397-08002B2CF9AE}" pid="3" name="ClientID">
    <vt:lpwstr>060420</vt:lpwstr>
  </property>
  <property fmtid="{D5CDD505-2E9C-101B-9397-08002B2CF9AE}" pid="4" name="Database">
    <vt:lpwstr>Transactional</vt:lpwstr>
  </property>
  <property fmtid="{D5CDD505-2E9C-101B-9397-08002B2CF9AE}" pid="5" name="DocName">
    <vt:lpwstr>InterGen-CAED Management Board Resolutions</vt:lpwstr>
  </property>
  <property fmtid="{D5CDD505-2E9C-101B-9397-08002B2CF9AE}" pid="6" name="DocNumber">
    <vt:lpwstr>45021266.1</vt:lpwstr>
  </property>
  <property fmtid="{D5CDD505-2E9C-101B-9397-08002B2CF9AE}" pid="7" name="DocTypeID">
    <vt:lpwstr>VERCON</vt:lpwstr>
  </property>
  <property fmtid="{D5CDD505-2E9C-101B-9397-08002B2CF9AE}" pid="8" name="Location">
    <vt:lpwstr> </vt:lpwstr>
  </property>
  <property fmtid="{D5CDD505-2E9C-101B-9397-08002B2CF9AE}" pid="9" name="MatterID">
    <vt:lpwstr>10027082</vt:lpwstr>
  </property>
  <property fmtid="{D5CDD505-2E9C-101B-9397-08002B2CF9AE}" pid="10" name="TypistID">
    <vt:lpwstr>GK00279</vt:lpwstr>
  </property>
</Properties>
</file>