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auto" w:line="360"/>
        <w:jc w:val="center"/>
        <w:rPr>
          <w:rFonts w:ascii="Arial" w:hAnsi="Arial" w:cs="Arial"/>
          <w:b/>
          <w:sz w:val="22"/>
        </w:rPr>
      </w:pPr>
      <w:r>
        <w:rPr>
          <w:rFonts w:cs="Arial" w:ascii="Arial" w:hAnsi="Arial"/>
          <w:b/>
          <w:sz w:val="22"/>
        </w:rPr>
        <w:t>LICENSE AGREEMENT</w:t>
      </w:r>
    </w:p>
    <w:p>
      <w:pPr>
        <w:pStyle w:val="BodyText"/>
        <w:spacing w:lineRule="auto" w:line="360"/>
        <w:rPr/>
      </w:pPr>
      <w:r>
        <w:rPr>
          <w:rFonts w:cs="Arial" w:ascii="Arial" w:hAnsi="Arial"/>
          <w:sz w:val="20"/>
        </w:rPr>
        <w:tab/>
        <w:t>THIS LICENSE AGREEMENT (this “Agreement”) is entered into effective as of the 13</w:t>
      </w:r>
      <w:r>
        <w:rPr>
          <w:rFonts w:cs="Arial" w:ascii="Arial" w:hAnsi="Arial"/>
          <w:sz w:val="20"/>
          <w:vertAlign w:val="superscript"/>
        </w:rPr>
        <w:t>th</w:t>
      </w:r>
      <w:r>
        <w:rPr>
          <w:rFonts w:cs="Arial" w:ascii="Arial" w:hAnsi="Arial"/>
          <w:sz w:val="20"/>
        </w:rPr>
        <w:t xml:space="preserve"> day of December, 2000, by and between EnronOnline, LLC, a Delaware limited liability company, (hereinafter “Enron”) and Intelligence Press, a Virginia corporation, with offices at 22648 Glenn Drive, Suite 305, Sterling, Virginia 20164 (hereinafter “Intelligence Press”).</w:t>
      </w:r>
    </w:p>
    <w:p>
      <w:pPr>
        <w:pStyle w:val="BodyText"/>
        <w:spacing w:lineRule="auto" w:line="360"/>
        <w:rPr>
          <w:rFonts w:ascii="Arial" w:hAnsi="Arial" w:cs="Arial"/>
          <w:sz w:val="20"/>
        </w:rPr>
      </w:pPr>
      <w:r>
        <w:rPr>
          <w:rFonts w:cs="Arial" w:ascii="Arial" w:hAnsi="Arial"/>
          <w:sz w:val="20"/>
        </w:rPr>
        <w:t>1.</w:t>
        <w:tab/>
        <w:t>Definitions.  As used in this Agreement, the following terms shall have the indicated meanings:</w:t>
      </w:r>
    </w:p>
    <w:p>
      <w:pPr>
        <w:pStyle w:val="Normal"/>
        <w:numPr>
          <w:ilvl w:val="0"/>
          <w:numId w:val="5"/>
        </w:numPr>
        <w:spacing w:lineRule="auto" w:line="360"/>
        <w:jc w:val="both"/>
        <w:rPr>
          <w:rFonts w:ascii="Arial" w:hAnsi="Arial" w:cs="Arial"/>
          <w:sz w:val="20"/>
        </w:rPr>
      </w:pPr>
      <w:r>
        <w:rPr>
          <w:rFonts w:eastAsia="Arial" w:cs="Arial" w:ascii="Arial" w:hAnsi="Arial"/>
          <w:sz w:val="20"/>
        </w:rPr>
        <w:t xml:space="preserve"> </w:t>
      </w:r>
      <w:r>
        <w:rPr>
          <w:rFonts w:cs="Arial" w:ascii="Arial" w:hAnsi="Arial"/>
          <w:sz w:val="20"/>
        </w:rPr>
        <w:t>“</w:t>
      </w:r>
      <w:r>
        <w:rPr>
          <w:rFonts w:cs="Arial" w:ascii="Arial" w:hAnsi="Arial"/>
          <w:sz w:val="20"/>
          <w:u w:val="single"/>
        </w:rPr>
        <w:t>Enron Marks</w:t>
      </w:r>
      <w:r>
        <w:rPr>
          <w:rFonts w:cs="Arial" w:ascii="Arial" w:hAnsi="Arial"/>
          <w:sz w:val="20"/>
        </w:rPr>
        <w:t>” means any trade names, trademarks and service marks owned by Enron, including “EnronOnline,” that Enron may hereafter authorize Intelligence Press in writing to use pursuant to this Agreement.</w:t>
      </w:r>
    </w:p>
    <w:p>
      <w:pPr>
        <w:pStyle w:val="Normal"/>
        <w:numPr>
          <w:ilvl w:val="0"/>
          <w:numId w:val="5"/>
        </w:numPr>
        <w:spacing w:lineRule="auto" w:line="360"/>
        <w:jc w:val="both"/>
        <w:rPr>
          <w:rFonts w:ascii="Arial" w:hAnsi="Arial" w:cs="Arial"/>
          <w:sz w:val="20"/>
        </w:rPr>
      </w:pPr>
      <w:r>
        <w:rPr>
          <w:rFonts w:cs="Arial" w:ascii="Arial" w:hAnsi="Arial"/>
          <w:sz w:val="20"/>
        </w:rPr>
        <w:t>“</w:t>
      </w:r>
      <w:r>
        <w:rPr>
          <w:rFonts w:cs="Arial" w:ascii="Arial" w:hAnsi="Arial"/>
          <w:sz w:val="20"/>
          <w:u w:val="single"/>
        </w:rPr>
        <w:t>Enron Copyrights</w:t>
      </w:r>
      <w:r>
        <w:rPr>
          <w:rFonts w:cs="Arial" w:ascii="Arial" w:hAnsi="Arial"/>
          <w:sz w:val="20"/>
        </w:rPr>
        <w:t>” means the rights under United States or foreign copyright laws to use the materials regarding the EnronOnline Price Report owned by Enron.</w:t>
      </w:r>
    </w:p>
    <w:p>
      <w:pPr>
        <w:pStyle w:val="Normal"/>
        <w:numPr>
          <w:ilvl w:val="0"/>
          <w:numId w:val="5"/>
        </w:numPr>
        <w:spacing w:lineRule="auto" w:line="360"/>
        <w:jc w:val="both"/>
        <w:rPr>
          <w:rFonts w:ascii="Arial" w:hAnsi="Arial" w:cs="Arial"/>
          <w:sz w:val="20"/>
        </w:rPr>
      </w:pPr>
      <w:r>
        <w:rPr>
          <w:rFonts w:cs="Arial" w:ascii="Arial" w:hAnsi="Arial"/>
          <w:sz w:val="20"/>
        </w:rPr>
        <w:t>“</w:t>
      </w:r>
      <w:r>
        <w:rPr>
          <w:rFonts w:cs="Arial" w:ascii="Arial" w:hAnsi="Arial"/>
          <w:sz w:val="20"/>
          <w:u w:val="single"/>
        </w:rPr>
        <w:t>EnronOnline Price Reports</w:t>
      </w:r>
      <w:r>
        <w:rPr>
          <w:rFonts w:cs="Arial" w:ascii="Arial" w:hAnsi="Arial"/>
          <w:sz w:val="20"/>
        </w:rPr>
        <w:t xml:space="preserve">” means the price reports calculated by Enron according to </w:t>
      </w:r>
      <w:r>
        <w:rPr>
          <w:rFonts w:cs="Arial" w:ascii="Arial" w:hAnsi="Arial"/>
          <w:sz w:val="20"/>
          <w:u w:val="single"/>
        </w:rPr>
        <w:t>Exhibit A</w:t>
      </w:r>
      <w:r>
        <w:rPr>
          <w:rFonts w:cs="Arial" w:ascii="Arial" w:hAnsi="Arial"/>
          <w:sz w:val="20"/>
        </w:rPr>
        <w:t>.</w:t>
      </w:r>
    </w:p>
    <w:p>
      <w:pPr>
        <w:pStyle w:val="Normal"/>
        <w:numPr>
          <w:ilvl w:val="0"/>
          <w:numId w:val="5"/>
        </w:numPr>
        <w:spacing w:lineRule="auto" w:line="360"/>
        <w:jc w:val="both"/>
        <w:rPr>
          <w:rFonts w:ascii="Arial" w:hAnsi="Arial" w:cs="Arial"/>
          <w:sz w:val="20"/>
        </w:rPr>
      </w:pPr>
      <w:r>
        <w:rPr>
          <w:rFonts w:cs="Arial" w:ascii="Arial" w:hAnsi="Arial"/>
          <w:sz w:val="20"/>
        </w:rPr>
        <w:t>“</w:t>
      </w:r>
      <w:r>
        <w:rPr>
          <w:rFonts w:cs="Arial" w:ascii="Arial" w:hAnsi="Arial"/>
          <w:sz w:val="20"/>
          <w:u w:val="single"/>
        </w:rPr>
        <w:t>Intelligence Press Publications</w:t>
      </w:r>
      <w:r>
        <w:rPr>
          <w:rFonts w:cs="Arial" w:ascii="Arial" w:hAnsi="Arial"/>
          <w:sz w:val="20"/>
        </w:rPr>
        <w:t>” means the following publications of Intelligence Press: NGI and corresponding Internet domains.</w:t>
      </w:r>
    </w:p>
    <w:p>
      <w:pPr>
        <w:pStyle w:val="Normal"/>
        <w:numPr>
          <w:ilvl w:val="0"/>
          <w:numId w:val="5"/>
        </w:numPr>
        <w:spacing w:lineRule="auto" w:line="360"/>
        <w:jc w:val="both"/>
        <w:rPr>
          <w:rFonts w:ascii="Arial" w:hAnsi="Arial" w:cs="Arial"/>
          <w:sz w:val="20"/>
        </w:rPr>
      </w:pPr>
      <w:r>
        <w:rPr>
          <w:rFonts w:cs="Arial" w:ascii="Arial" w:hAnsi="Arial"/>
          <w:sz w:val="20"/>
        </w:rPr>
        <w:t>“</w:t>
      </w:r>
      <w:r>
        <w:rPr>
          <w:rFonts w:cs="Arial" w:ascii="Arial" w:hAnsi="Arial"/>
          <w:sz w:val="20"/>
          <w:u w:val="single"/>
        </w:rPr>
        <w:t>Index</w:t>
      </w:r>
      <w:r>
        <w:rPr>
          <w:rFonts w:cs="Arial" w:ascii="Arial" w:hAnsi="Arial"/>
          <w:sz w:val="20"/>
        </w:rPr>
        <w:t>” means the Electronic Platform Trading Index to be prepared by Intelligence Press based upon the EnronOnline Price Reports and published in the Intelligence Press Publications.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Term and Termination</w:t>
      </w:r>
      <w:r>
        <w:rPr>
          <w:rFonts w:cs="Arial" w:ascii="Arial" w:hAnsi="Arial"/>
          <w:sz w:val="20"/>
        </w:rPr>
        <w:t>.  This Agreement shall commence on the Effective Date and shall expire, unless extended or earlier terminated in accordance with the Agreement, on February 28, 2001 (the “</w:t>
      </w:r>
      <w:r>
        <w:rPr>
          <w:rFonts w:cs="Arial" w:ascii="Arial" w:hAnsi="Arial"/>
          <w:sz w:val="20"/>
          <w:u w:val="single"/>
        </w:rPr>
        <w:t>Term</w:t>
      </w:r>
      <w:r>
        <w:rPr>
          <w:rFonts w:cs="Arial" w:ascii="Arial" w:hAnsi="Arial"/>
          <w:sz w:val="20"/>
        </w:rPr>
        <w:t>”).  Either Party may terminate the Agreement if the other party breaches any material term of this Agreement and fails to cure such breach within fifteen (15) days after receipt of written notice of same.  Upon termination of this Agreement, Intelligence Press shall cease all use of the Enron Marks and the Enron Copyrights and cease further use of the EnronOnline Price Reports.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License</w:t>
      </w:r>
      <w:r>
        <w:rPr>
          <w:rFonts w:cs="Arial" w:ascii="Arial" w:hAnsi="Arial"/>
          <w:sz w:val="20"/>
        </w:rPr>
        <w:t>.  Enron grants to Intelligence Press a non-exclusive, royalty-free, worldwide license during the Term to publish the Enron Marks and to use the EnronOnline Price Reports in accordance with the terms of this Agreement.  Enron further grants to Intelligence Press a non-exclusive, royalty-free license during the Term to use certain volume data provided by Enron that is related to the EnronOnline Price Reports for Intelligence Press’s internal use in connection with the preparation of the Index only, and not for publication or any other purpose.  Intelligence Press acknowledges and agrees that it may use the EnronOnline Price Reports and the volume data as permitted under this Agreement and for no other purpose.</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Quality Control</w:t>
      </w:r>
      <w:r>
        <w:rPr>
          <w:rFonts w:cs="Arial" w:ascii="Arial" w:hAnsi="Arial"/>
          <w:sz w:val="20"/>
        </w:rPr>
        <w:t>.  Intelligence Press agrees that it will only use the Enron Marks in formats and uses approved by Enron and that it will not use the Enron Marks in association with any advertising or promotional materials except as approved in writing by Enron.  Intelligence Press agrees to apply such trademark markings to the Enron Marks as required by Enron and permitted by all applicable laws, rules and regulations in order to protect or preserve Enron’s rights in the Enron Marks.  Intelligence Press further agrees that it will not use the Enron Marks in such a manner so as to impair the validity or enforceability or in any way disparage or dilute the Enron Marks.</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Ownership</w:t>
      </w:r>
      <w:r>
        <w:rPr>
          <w:rFonts w:cs="Arial" w:ascii="Arial" w:hAnsi="Arial"/>
          <w:sz w:val="20"/>
        </w:rPr>
        <w:t>.  Enron shall own all right, title and interest, including all goodwill relating thereto, in and to the Enron Marks, and all trademark rights embodied therein shall at all times be solely vested in Enron.  Intelligence Press has no right, title, interest or claim of ownership in the Enron Marks or the Copyrights, except for the licenses granted in this Agreement.  All use of the Enron Marks shall inure to the benefit of Enron.  Intelligence Press agrees that it will not attack the title of Enron in and to the Enron Marks.  If Intelligence Press at any time becomes aware or receives notice of any unauthorized use or other infringement of the Enron Marks, then it shall promptly give written notice thereof to Enron setting forth all information in its possession regarding such infringement.  In the event that Enron institutes an action hereunder, then Intelligence Press shall cooperate fully with Enron, within reason and at Enron’s sole expense, in any legal action taken against any party alleged to be infringing.  Any amount awarded or paid as a result of such legal action shall be first allocated in reimbursement of any costs and expenses incurred in pursuing such action, with any remaining amounts to be paid to Enron.  Enron shall retain ownership of the EnronOnline Price Reports and shall retain full control over its calculation and distribution during and after the term of this agreement.</w:t>
      </w:r>
    </w:p>
    <w:p>
      <w:pPr>
        <w:pStyle w:val="Normal"/>
        <w:numPr>
          <w:ilvl w:val="0"/>
          <w:numId w:val="2"/>
        </w:numPr>
        <w:tabs>
          <w:tab w:val="left" w:pos="0" w:leader="none"/>
          <w:tab w:val="left" w:pos="720" w:leader="none"/>
        </w:tabs>
        <w:spacing w:lineRule="auto" w:line="360"/>
        <w:ind w:hanging="0" w:start="0" w:end="0"/>
        <w:jc w:val="both"/>
        <w:rPr>
          <w:rFonts w:ascii="Arial" w:hAnsi="Arial" w:cs="Arial"/>
          <w:sz w:val="20"/>
        </w:rPr>
      </w:pPr>
      <w:r>
        <w:rPr>
          <w:rFonts w:cs="Arial" w:ascii="Arial" w:hAnsi="Arial"/>
          <w:sz w:val="20"/>
          <w:u w:val="single"/>
        </w:rPr>
        <w:t>Publication of Feature Article</w:t>
      </w:r>
      <w:r>
        <w:rPr>
          <w:rFonts w:cs="Arial" w:ascii="Arial" w:hAnsi="Arial"/>
          <w:sz w:val="20"/>
        </w:rPr>
        <w:t>.  Prior to or upon the first publication of the Index, Intelligence Press shall publish a feature article announcing the introduction of the Index and briefly describing its applicability in the energy marketplace.  Enron shall have the right to review and provide comments on the article at least one (1) business day prior to the publication of such feature article.</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Delivery of Price Reports and Publication of Index</w:t>
      </w:r>
      <w:r>
        <w:rPr>
          <w:rFonts w:cs="Arial" w:ascii="Arial" w:hAnsi="Arial"/>
          <w:sz w:val="20"/>
        </w:rPr>
        <w:t>.  On at least a daily basis, Enron shall deliver to Intelligence Press in a pre-approved format the EnronOnline Price Reports for the products listed in Exhibit B as calculated by Enron or one or more of its affiliates or designees.  Prior to publishing the first Index, Intelligence Press shall provide a copy to Enron for its approval.  If Enron does not inform Intelligence Press in writing within one (1) business day from the date of receipt that the format or appearance of the Index is unacceptable, then such format and appearance shall be deemed approved by Enron.  During the Term, Intelligence Press agrees to publish the Index in a form substantially the same as the first form approved by Enron in each issue of the Intelligence Press Publications under the section entitled “Electronic Platform Trading Index.”  Intelligence Press will not charge third parties for the use of the Index, except to the extent that Intelligence Press charges for the subscriptions to Intelligence Press Publications.</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Calculation Methodology</w:t>
      </w:r>
      <w:r>
        <w:rPr>
          <w:rFonts w:cs="Arial" w:ascii="Arial" w:hAnsi="Arial"/>
          <w:sz w:val="20"/>
        </w:rPr>
        <w:t>.  Enron shall provide the calculation methodology for the EnronOnline Price Report to Intelligence Press, which in its current form is set forth in Exhibit A.  Intelligence Press agrees to post the calculation methodology on the internet-related Intelligence Press Publication, and the explanatory text displayed in printed versions of the Index will direct readers to that methodology.  In the event that Enron determines that any value of an EnronOnline Price Report provided to Intelligence Press is incorrect or that the calculation methodology for the EnronOnline Price Reports is incorrect or has been changed, then Enron shall provide such corrected value.  Such changes shall be evaluated by the managing editor, and publication of corrections will be at his/her discretion.</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No Warranties; Limitation of Liability</w:t>
      </w:r>
      <w:r>
        <w:rPr>
          <w:rFonts w:cs="Arial" w:ascii="Arial" w:hAnsi="Arial"/>
          <w:sz w:val="20"/>
        </w:rPr>
        <w:t xml:space="preserve">.  NEITHER ENRON NOR INTELLIGENCE PRESS CAN INSURE AGAINST OR BE HELD RESPONSIBLE FOR INACCURACIES IN THE ENRONONLINE PRICE REPORTS OR THE INDEX.  BOTH ENRON AND INTELLIGENCE PRESS MAKE NO REPRESENTATION OR WARRANTY AND HEREBY EXPRESSLY DISCLAIM ANY EXPRESS OR IMPLIED WARRANTIES, INCLUDING ANY IMPLIED WARRANTIES OF FITNESS FOR A PARTICULAR PURPOSE, MERCHANTABILITY, NONINFRINGEMENT OR OTHERWISE RELATING TO THE ENRONONLINE PRICE REPORTS AND THE INDEX.  NOTWITHSTANDING ANYTHING TO THE CONTRARY CONTAINED IN THIS AGREEMENT, IN NO EVENT SHALL EITHER PARTY BE LIABLE TO THE OTHER PARTY FOR ANY CONSEQUENTIAL, SPECIAL, OR INDIRECT DAMAGES THAT IT MAY SUFFER, NOR ANY PUNITIVE, TREBLE, EXEMPLARY OR SIMILAR DAMAGES AS A RESULT OF ITS ENTERING INTO THIS AGREEMENT.  </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Indemnification</w:t>
      </w:r>
      <w:r>
        <w:rPr>
          <w:rFonts w:cs="Arial" w:ascii="Arial" w:hAnsi="Arial"/>
          <w:sz w:val="20"/>
        </w:rPr>
        <w:t xml:space="preserve">.  Each party agrees that it shall defend, indemnify and hold harmless the other party and its affiliates from and against any and all third party claims, demands, and causes of action, including costs and reasonable attorneys’ fees, proximately caused by the indemnifying party’s breach of or default under any provision of this Agreement. </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Confidentiality</w:t>
      </w:r>
      <w:r>
        <w:rPr>
          <w:rFonts w:cs="Arial" w:ascii="Arial" w:hAnsi="Arial"/>
          <w:sz w:val="20"/>
        </w:rPr>
        <w:t>.  Intelligence Press and Enron agree that the terms of this Agreement and any communications hereunder or in connection herewith shall be confidential and shall not be disclosed without the other party’s prior written consent.</w:t>
      </w:r>
    </w:p>
    <w:p>
      <w:pPr>
        <w:pStyle w:val="Normal"/>
        <w:numPr>
          <w:ilvl w:val="0"/>
          <w:numId w:val="2"/>
        </w:numPr>
        <w:tabs>
          <w:tab w:val="left" w:pos="0" w:leader="none"/>
          <w:tab w:val="left" w:pos="720" w:leader="none"/>
          <w:tab w:val="left" w:pos="3870" w:leader="none"/>
        </w:tabs>
        <w:spacing w:lineRule="auto" w:line="360"/>
        <w:ind w:hanging="0" w:start="0" w:end="0"/>
        <w:jc w:val="both"/>
        <w:rPr>
          <w:rFonts w:ascii="Arial" w:hAnsi="Arial" w:cs="Arial"/>
          <w:sz w:val="20"/>
        </w:rPr>
      </w:pPr>
      <w:r>
        <w:rPr>
          <w:rFonts w:cs="Arial" w:ascii="Arial" w:hAnsi="Arial"/>
          <w:sz w:val="20"/>
          <w:u w:val="single"/>
        </w:rPr>
        <w:t>Notices</w:t>
      </w:r>
      <w:r>
        <w:rPr>
          <w:rFonts w:cs="Arial" w:ascii="Arial" w:hAnsi="Arial"/>
          <w:sz w:val="20"/>
        </w:rPr>
        <w:t>.  All notices, offers, consents, or other communications required or permitted to be given pursuant to this Agreement shall be in writing and may be given personally, by facsimile during normal business hours (with confirmation of such notice), by messenger or delivered by registered or certified U.S. mail with return receipt requested, and addressed to the address of the intended recipient at the following addresses:</w:t>
      </w:r>
    </w:p>
    <w:p>
      <w:pPr>
        <w:pStyle w:val="Normal"/>
        <w:ind w:start="720" w:end="0"/>
        <w:jc w:val="both"/>
        <w:rPr>
          <w:rFonts w:ascii="Arial" w:hAnsi="Arial" w:cs="Arial"/>
          <w:sz w:val="20"/>
        </w:rPr>
      </w:pPr>
      <w:r>
        <w:rPr>
          <w:rFonts w:cs="Arial" w:ascii="Arial" w:hAnsi="Arial"/>
          <w:sz w:val="20"/>
        </w:rPr>
        <w:t>If to Enron:</w:t>
        <w:tab/>
        <w:tab/>
        <w:t>EnronOnline, LLC</w:t>
      </w:r>
    </w:p>
    <w:p>
      <w:pPr>
        <w:pStyle w:val="Normal"/>
        <w:ind w:start="720" w:end="0"/>
        <w:jc w:val="both"/>
        <w:rPr>
          <w:rFonts w:ascii="Arial" w:hAnsi="Arial" w:cs="Arial"/>
          <w:sz w:val="20"/>
        </w:rPr>
      </w:pPr>
      <w:r>
        <w:rPr>
          <w:rFonts w:cs="Arial" w:ascii="Arial" w:hAnsi="Arial"/>
          <w:sz w:val="20"/>
        </w:rPr>
        <w:tab/>
        <w:tab/>
        <w:tab/>
        <w:t>1400 Smith Street</w:t>
      </w:r>
    </w:p>
    <w:p>
      <w:pPr>
        <w:pStyle w:val="Normal"/>
        <w:ind w:start="720" w:end="0"/>
        <w:jc w:val="both"/>
        <w:rPr>
          <w:rFonts w:ascii="Arial" w:hAnsi="Arial" w:cs="Arial"/>
          <w:sz w:val="20"/>
        </w:rPr>
      </w:pPr>
      <w:r>
        <w:rPr>
          <w:rFonts w:cs="Arial" w:ascii="Arial" w:hAnsi="Arial"/>
          <w:sz w:val="20"/>
        </w:rPr>
        <w:tab/>
        <w:tab/>
        <w:tab/>
        <w:t>Houston, Texas 77002</w:t>
      </w:r>
    </w:p>
    <w:p>
      <w:pPr>
        <w:pStyle w:val="Normal"/>
        <w:ind w:start="720" w:end="0"/>
        <w:jc w:val="both"/>
        <w:rPr>
          <w:rFonts w:ascii="Arial" w:hAnsi="Arial" w:cs="Arial"/>
          <w:sz w:val="20"/>
        </w:rPr>
      </w:pPr>
      <w:r>
        <w:rPr>
          <w:rFonts w:cs="Arial" w:ascii="Arial" w:hAnsi="Arial"/>
          <w:sz w:val="20"/>
        </w:rPr>
        <w:tab/>
        <w:tab/>
        <w:tab/>
        <w:t>Attn:  Rahil Jafry</w:t>
      </w:r>
    </w:p>
    <w:p>
      <w:pPr>
        <w:pStyle w:val="Normal"/>
        <w:ind w:start="720" w:end="0"/>
        <w:jc w:val="both"/>
        <w:rPr>
          <w:rFonts w:ascii="Arial" w:hAnsi="Arial" w:cs="Arial"/>
          <w:sz w:val="20"/>
        </w:rPr>
      </w:pPr>
      <w:r>
        <w:rPr>
          <w:rFonts w:cs="Arial" w:ascii="Arial" w:hAnsi="Arial"/>
          <w:sz w:val="20"/>
        </w:rPr>
        <w:tab/>
        <w:tab/>
        <w:tab/>
        <w:t>Fax:  713-646-2308</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with a copy to:</w:t>
        <w:tab/>
        <w:tab/>
        <w:t>EnronOnline, LLC</w:t>
      </w:r>
    </w:p>
    <w:p>
      <w:pPr>
        <w:pStyle w:val="Normal"/>
        <w:ind w:start="720" w:end="0"/>
        <w:jc w:val="both"/>
        <w:rPr>
          <w:rFonts w:ascii="Arial" w:hAnsi="Arial" w:cs="Arial"/>
          <w:sz w:val="20"/>
        </w:rPr>
      </w:pPr>
      <w:r>
        <w:rPr>
          <w:rFonts w:cs="Arial" w:ascii="Arial" w:hAnsi="Arial"/>
          <w:sz w:val="20"/>
        </w:rPr>
        <w:tab/>
        <w:tab/>
        <w:tab/>
        <w:t>1400 Smith Street</w:t>
      </w:r>
    </w:p>
    <w:p>
      <w:pPr>
        <w:pStyle w:val="Normal"/>
        <w:ind w:start="720" w:end="0"/>
        <w:jc w:val="both"/>
        <w:rPr>
          <w:rFonts w:ascii="Arial" w:hAnsi="Arial" w:cs="Arial"/>
          <w:sz w:val="20"/>
        </w:rPr>
      </w:pPr>
      <w:r>
        <w:rPr>
          <w:rFonts w:cs="Arial" w:ascii="Arial" w:hAnsi="Arial"/>
          <w:sz w:val="20"/>
        </w:rPr>
        <w:tab/>
        <w:tab/>
        <w:tab/>
        <w:t>Houston, Texas 77002</w:t>
      </w:r>
    </w:p>
    <w:p>
      <w:pPr>
        <w:pStyle w:val="Normal"/>
        <w:ind w:start="720" w:end="0"/>
        <w:jc w:val="both"/>
        <w:rPr>
          <w:rFonts w:ascii="Arial" w:hAnsi="Arial" w:cs="Arial"/>
          <w:sz w:val="20"/>
        </w:rPr>
      </w:pPr>
      <w:r>
        <w:rPr>
          <w:rFonts w:cs="Arial" w:ascii="Arial" w:hAnsi="Arial"/>
          <w:sz w:val="20"/>
        </w:rPr>
        <w:tab/>
        <w:tab/>
        <w:tab/>
        <w:t>Attn:  General Counsel</w:t>
      </w:r>
    </w:p>
    <w:p>
      <w:pPr>
        <w:pStyle w:val="Normal"/>
        <w:spacing w:lineRule="auto" w:line="360"/>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If to Intelligence Press:</w:t>
        <w:tab/>
        <w:tab/>
        <w:t>Intelligence Press</w:t>
      </w:r>
    </w:p>
    <w:p>
      <w:pPr>
        <w:pStyle w:val="Normal"/>
        <w:ind w:start="720" w:end="0"/>
        <w:jc w:val="both"/>
        <w:rPr>
          <w:rFonts w:ascii="Arial" w:hAnsi="Arial" w:cs="Arial"/>
          <w:sz w:val="20"/>
        </w:rPr>
      </w:pPr>
      <w:r>
        <w:rPr>
          <w:rFonts w:cs="Arial" w:ascii="Arial" w:hAnsi="Arial"/>
          <w:sz w:val="20"/>
        </w:rPr>
        <w:tab/>
        <w:tab/>
        <w:tab/>
        <w:tab/>
        <w:t>22648 Glenn Drive Suite 305</w:t>
      </w:r>
    </w:p>
    <w:p>
      <w:pPr>
        <w:pStyle w:val="Normal"/>
        <w:ind w:start="720" w:end="0"/>
        <w:jc w:val="both"/>
        <w:rPr>
          <w:rFonts w:ascii="Arial" w:hAnsi="Arial" w:cs="Arial"/>
          <w:sz w:val="20"/>
        </w:rPr>
      </w:pPr>
      <w:r>
        <w:rPr>
          <w:rFonts w:cs="Arial" w:ascii="Arial" w:hAnsi="Arial"/>
          <w:sz w:val="20"/>
        </w:rPr>
        <w:tab/>
        <w:tab/>
        <w:tab/>
        <w:tab/>
        <w:t>Sterling, VA 20164</w:t>
      </w:r>
    </w:p>
    <w:p>
      <w:pPr>
        <w:pStyle w:val="Normal"/>
        <w:ind w:start="720" w:end="0"/>
        <w:jc w:val="both"/>
        <w:rPr>
          <w:rFonts w:ascii="Arial" w:hAnsi="Arial" w:cs="Arial"/>
          <w:sz w:val="20"/>
        </w:rPr>
      </w:pPr>
      <w:r>
        <w:rPr>
          <w:rFonts w:cs="Arial" w:ascii="Arial" w:hAnsi="Arial"/>
          <w:sz w:val="20"/>
        </w:rPr>
        <w:tab/>
        <w:tab/>
        <w:tab/>
        <w:tab/>
        <w:t>Attn: Dexter Steis</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r>
    </w:p>
    <w:p>
      <w:pPr>
        <w:pStyle w:val="BodyText"/>
        <w:spacing w:lineRule="auto" w:line="360"/>
        <w:rPr>
          <w:rFonts w:ascii="Arial" w:hAnsi="Arial" w:cs="Arial"/>
          <w:sz w:val="20"/>
        </w:rPr>
      </w:pPr>
      <w:r>
        <w:rPr>
          <w:rFonts w:cs="Arial" w:ascii="Arial" w:hAnsi="Arial"/>
          <w:sz w:val="20"/>
        </w:rPr>
        <w:t>Such notices shall be deemed to be duly given when received.  Either party may change its address by giving notice in writing stating its new addresses to the other party.</w:t>
      </w:r>
    </w:p>
    <w:p>
      <w:pPr>
        <w:pStyle w:val="BodyText"/>
        <w:numPr>
          <w:ilvl w:val="0"/>
          <w:numId w:val="2"/>
        </w:numPr>
        <w:tabs>
          <w:tab w:val="clear" w:pos="720"/>
          <w:tab w:val="left" w:pos="0" w:leader="none"/>
        </w:tabs>
        <w:spacing w:lineRule="auto" w:line="360"/>
        <w:ind w:hanging="0" w:start="0" w:end="0"/>
        <w:rPr>
          <w:rFonts w:ascii="Arial" w:hAnsi="Arial" w:cs="Arial"/>
          <w:sz w:val="20"/>
        </w:rPr>
      </w:pPr>
      <w:r>
        <w:rPr>
          <w:rFonts w:cs="Arial" w:ascii="Arial" w:hAnsi="Arial"/>
          <w:sz w:val="20"/>
          <w:u w:val="single"/>
        </w:rPr>
        <w:t>Governing Law and Dispute Resolution</w:t>
      </w:r>
      <w:r>
        <w:rPr>
          <w:rFonts w:cs="Arial" w:ascii="Arial" w:hAnsi="Arial"/>
          <w:sz w:val="20"/>
        </w:rPr>
        <w:t>.  This Agreement shall be governed by and construed in conformity with the laws of the State of Texas (exclusive of conflicts of laws principles).  All disputes pertaining to or arising out of this Agreement shall be resolved by binding arbitration pursuant to the Commercial Arbitration Rules of the American Arbitration Association.</w:t>
      </w:r>
    </w:p>
    <w:p>
      <w:pPr>
        <w:pStyle w:val="BodyText"/>
        <w:numPr>
          <w:ilvl w:val="0"/>
          <w:numId w:val="2"/>
        </w:numPr>
        <w:tabs>
          <w:tab w:val="clear" w:pos="720"/>
          <w:tab w:val="left" w:pos="0" w:leader="none"/>
        </w:tabs>
        <w:spacing w:lineRule="auto" w:line="360"/>
        <w:ind w:hanging="0" w:start="0" w:end="0"/>
        <w:rPr>
          <w:rFonts w:ascii="Arial" w:hAnsi="Arial" w:cs="Arial"/>
          <w:sz w:val="20"/>
        </w:rPr>
      </w:pPr>
      <w:r>
        <w:rPr>
          <w:rFonts w:cs="Arial" w:ascii="Arial" w:hAnsi="Arial"/>
          <w:sz w:val="20"/>
          <w:u w:val="single"/>
        </w:rPr>
        <w:t>Miscellaneous</w:t>
      </w:r>
      <w:r>
        <w:rPr>
          <w:rFonts w:cs="Arial" w:ascii="Arial" w:hAnsi="Arial"/>
          <w:sz w:val="20"/>
        </w:rPr>
        <w:t>.  Whenever possible, each provision of this Agreement shall be in such manner as to be effective and valid under applicable law; but if any provision of this Agreement or the application thereof to any party or circumstance is prohibited by or invalid under applicable law, that provision shall be effective only to the extent of such prohibition or invalidity, without invalidating the remainder of such provision or the remaining provisions of this Agreement or the application of such provision to other parties or circumstances.  No delay or omission of any party to exercise rights or powers under this Agreement shall impair any such right or power or shall be construed to be a waiver of any default or acquiescence therein.  No waiver of any default shall be construed, taken, or held to be a waiver of any other default, or waiver, acquiescence in, or consent to any further or succeeding default of the same nature.  Except as expressly provided in this Agreement, this Agreement and all of the terms and provisions hereof shall be binding upon and shall inure to the benefit of each of the Parties and their respective successors and permitted assigns. This Agreement contains the entire understanding between the Parties and supersedes any prior understanding and written or oral agreements between them respecting this subject matter. There are no representations, agreements, arrangements, or understandings, oral or written, between the Parties relating to the subject matter of this Agreement that are not fully expressed in this Agreement.  The relationship of Intelligence Press and Enron under this Agreement is that of independent parties, each acting in its own best interests, and notwithstanding anything in this Agreement to the contrary, no partnership, joint venture or other business relationship is established or intended hereby between Intelligence Press and Enron.</w:t>
      </w:r>
    </w:p>
    <w:p>
      <w:pPr>
        <w:pStyle w:val="BodyText"/>
        <w:spacing w:lineRule="auto" w:line="360"/>
        <w:rPr>
          <w:rFonts w:ascii="Arial" w:hAnsi="Arial" w:cs="Arial"/>
          <w:sz w:val="20"/>
        </w:rPr>
      </w:pPr>
      <w:r>
        <w:rPr>
          <w:rFonts w:cs="Arial" w:ascii="Arial" w:hAnsi="Arial"/>
          <w:sz w:val="20"/>
        </w:rPr>
      </w:r>
    </w:p>
    <w:p>
      <w:pPr>
        <w:pStyle w:val="BodyText"/>
        <w:tabs>
          <w:tab w:val="clear" w:pos="720"/>
          <w:tab w:val="left" w:pos="0" w:leader="none"/>
        </w:tabs>
        <w:spacing w:lineRule="auto" w:line="360"/>
        <w:rPr>
          <w:rFonts w:ascii="Arial" w:hAnsi="Arial" w:cs="Arial"/>
          <w:sz w:val="20"/>
        </w:rPr>
      </w:pPr>
      <w:r>
        <w:rPr>
          <w:rFonts w:cs="Arial" w:ascii="Arial" w:hAnsi="Arial"/>
          <w:sz w:val="20"/>
        </w:rPr>
        <w:tab/>
        <w:tab/>
        <w:tab/>
        <w:t>[Rest of Page Intentionally Left Blank]</w:t>
        <w:tab/>
      </w:r>
      <w:r>
        <w:br w:type="page"/>
      </w:r>
    </w:p>
    <w:p>
      <w:pPr>
        <w:pStyle w:val="BodyText"/>
        <w:tabs>
          <w:tab w:val="clear" w:pos="720"/>
          <w:tab w:val="left" w:pos="0" w:leader="none"/>
        </w:tabs>
        <w:spacing w:lineRule="auto" w:line="360"/>
        <w:rPr>
          <w:rFonts w:ascii="Arial" w:hAnsi="Arial" w:cs="Arial"/>
          <w:sz w:val="20"/>
        </w:rPr>
      </w:pPr>
      <w:r>
        <w:rPr>
          <w:rFonts w:cs="Arial" w:ascii="Arial" w:hAnsi="Arial"/>
          <w:sz w:val="20"/>
        </w:rPr>
        <w:t>IN WITNESS WHEREOF, the Parties have executed this Agreement as of the day and year first written above.</w:t>
      </w:r>
    </w:p>
    <w:p>
      <w:pPr>
        <w:pStyle w:val="Normal"/>
        <w:jc w:val="both"/>
        <w:rPr>
          <w:rFonts w:ascii="Arial" w:hAnsi="Arial" w:cs="Arial"/>
          <w:sz w:val="20"/>
        </w:rPr>
      </w:pPr>
      <w:r>
        <w:rPr>
          <w:rFonts w:cs="Arial" w:ascii="Arial" w:hAnsi="Arial"/>
          <w:sz w:val="20"/>
        </w:rPr>
        <w:tab/>
        <w:tab/>
        <w:tab/>
        <w:tab/>
        <w:tab/>
        <w:t>ENRONONLINE, LLC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By:</w:t>
        <w:tab/>
      </w:r>
      <w:r>
        <w:rPr>
          <w:rFonts w:cs="Arial" w:ascii="Arial" w:hAnsi="Arial"/>
          <w:sz w:val="20"/>
          <w:u w:val="single"/>
        </w:rPr>
        <w:tab/>
        <w:tab/>
        <w:tab/>
        <w:tab/>
        <w:tab/>
        <w:tab/>
      </w:r>
    </w:p>
    <w:p>
      <w:pPr>
        <w:pStyle w:val="Normal"/>
        <w:jc w:val="both"/>
        <w:rPr/>
      </w:pPr>
      <w:r>
        <w:rPr>
          <w:rFonts w:cs="Arial" w:ascii="Arial" w:hAnsi="Arial"/>
          <w:sz w:val="20"/>
        </w:rPr>
        <w:tab/>
        <w:tab/>
        <w:tab/>
        <w:tab/>
        <w:tab/>
        <w:t>Name:</w:t>
        <w:tab/>
      </w:r>
      <w:r>
        <w:rPr>
          <w:rFonts w:cs="Arial" w:ascii="Arial" w:hAnsi="Arial"/>
          <w:sz w:val="20"/>
          <w:u w:val="single"/>
        </w:rPr>
        <w:tab/>
        <w:tab/>
        <w:tab/>
        <w:tab/>
        <w:tab/>
        <w:tab/>
      </w:r>
      <w:r>
        <w:rPr>
          <w:rFonts w:cs="Arial" w:ascii="Arial" w:hAnsi="Arial"/>
          <w:sz w:val="20"/>
        </w:rPr>
        <w:tab/>
      </w:r>
    </w:p>
    <w:p>
      <w:pPr>
        <w:pStyle w:val="Normal"/>
        <w:jc w:val="both"/>
        <w:rPr/>
      </w:pPr>
      <w:r>
        <w:rPr>
          <w:rFonts w:cs="Arial" w:ascii="Arial" w:hAnsi="Arial"/>
          <w:sz w:val="20"/>
        </w:rPr>
        <w:tab/>
        <w:tab/>
        <w:tab/>
        <w:tab/>
        <w:tab/>
        <w:t>Title:</w:t>
        <w:tab/>
      </w:r>
      <w:r>
        <w:rPr>
          <w:rFonts w:cs="Arial" w:ascii="Arial" w:hAnsi="Arial"/>
          <w:sz w:val="20"/>
          <w:u w:val="single"/>
        </w:rPr>
        <w:tab/>
        <w:tab/>
        <w:tab/>
        <w:tab/>
        <w:tab/>
        <w:tab/>
      </w:r>
      <w:r>
        <w:rPr>
          <w:rFonts w:cs="Arial" w:ascii="Arial" w:hAnsi="Arial"/>
          <w:sz w:val="20"/>
        </w:rPr>
        <w:tab/>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INTELLIGENCE PRESS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By:</w:t>
        <w:tab/>
      </w:r>
      <w:r>
        <w:rPr>
          <w:rFonts w:cs="Arial" w:ascii="Arial" w:hAnsi="Arial"/>
          <w:sz w:val="20"/>
          <w:u w:val="single"/>
        </w:rPr>
        <w:tab/>
        <w:tab/>
        <w:tab/>
        <w:tab/>
        <w:tab/>
        <w:tab/>
      </w:r>
    </w:p>
    <w:p>
      <w:pPr>
        <w:pStyle w:val="Normal"/>
        <w:jc w:val="both"/>
        <w:rPr>
          <w:rFonts w:ascii="Arial" w:hAnsi="Arial" w:cs="Arial"/>
          <w:sz w:val="20"/>
        </w:rPr>
      </w:pPr>
      <w:r>
        <w:rPr>
          <w:rFonts w:cs="Arial" w:ascii="Arial" w:hAnsi="Arial"/>
          <w:sz w:val="20"/>
        </w:rPr>
        <w:tab/>
        <w:tab/>
        <w:tab/>
        <w:tab/>
        <w:tab/>
        <w:t>Name:</w:t>
        <w:tab/>
      </w:r>
      <w:r>
        <w:rPr>
          <w:rFonts w:cs="Arial" w:ascii="Arial" w:hAnsi="Arial"/>
          <w:sz w:val="20"/>
          <w:u w:val="single"/>
        </w:rPr>
        <w:tab/>
        <w:tab/>
        <w:tab/>
        <w:tab/>
        <w:tab/>
        <w:tab/>
      </w:r>
    </w:p>
    <w:p>
      <w:pPr>
        <w:pStyle w:val="Normal"/>
        <w:jc w:val="both"/>
        <w:rPr/>
      </w:pPr>
      <w:r>
        <w:rPr>
          <w:rFonts w:cs="Arial" w:ascii="Arial" w:hAnsi="Arial"/>
          <w:sz w:val="20"/>
        </w:rPr>
        <w:tab/>
        <w:tab/>
        <w:tab/>
        <w:tab/>
        <w:tab/>
        <w:t>Title:</w:t>
        <w:tab/>
      </w:r>
      <w:r>
        <w:rPr>
          <w:rFonts w:cs="Arial" w:ascii="Arial" w:hAnsi="Arial"/>
          <w:sz w:val="20"/>
          <w:u w:val="single"/>
        </w:rPr>
        <w:tab/>
        <w:tab/>
        <w:tab/>
        <w:tab/>
        <w:tab/>
        <w:tab/>
      </w:r>
      <w:r>
        <w:br w:type="page"/>
      </w:r>
    </w:p>
    <w:p>
      <w:pPr>
        <w:pStyle w:val="Normal"/>
        <w:spacing w:lineRule="auto" w:line="360"/>
        <w:jc w:val="center"/>
        <w:rPr>
          <w:rFonts w:ascii="Arial" w:hAnsi="Arial" w:cs="Arial"/>
          <w:b/>
          <w:sz w:val="20"/>
        </w:rPr>
      </w:pPr>
      <w:r>
        <w:rPr>
          <w:rFonts w:cs="Arial" w:ascii="Arial" w:hAnsi="Arial"/>
          <w:b/>
          <w:sz w:val="20"/>
        </w:rPr>
        <w:t>EXHIBIT A</w:t>
      </w:r>
    </w:p>
    <w:p>
      <w:pPr>
        <w:pStyle w:val="Normal"/>
        <w:rPr>
          <w:rFonts w:ascii="Arial" w:hAnsi="Arial" w:cs="Arial"/>
          <w:sz w:val="20"/>
        </w:rPr>
      </w:pPr>
      <w:r>
        <w:rPr>
          <w:rFonts w:cs="Arial" w:ascii="Arial" w:hAnsi="Arial"/>
          <w:sz w:val="20"/>
        </w:rPr>
        <w:t>The EnronOnline Price Reports are based on the weighted average price of transactions completed on EnronOnline from the beginning of the trading day in each market until 11:30 AM (Central Prevalent Time).</w:t>
      </w:r>
    </w:p>
    <w:p>
      <w:pPr>
        <w:pStyle w:val="Normal"/>
        <w:rPr>
          <w:rFonts w:ascii="Arial" w:hAnsi="Arial" w:cs="Arial"/>
          <w:sz w:val="20"/>
        </w:rPr>
      </w:pPr>
      <w:r>
        <w:rPr>
          <w:rFonts w:cs="Arial" w:ascii="Arial" w:hAnsi="Arial"/>
          <w:sz w:val="20"/>
        </w:rPr>
      </w:r>
    </w:p>
    <w:p>
      <w:pPr>
        <w:pStyle w:val="Normal"/>
        <w:spacing w:lineRule="atLeast" w:line="240"/>
        <w:rPr>
          <w:rFonts w:ascii="Arial" w:hAnsi="Arial" w:cs="Arial"/>
          <w:sz w:val="20"/>
        </w:rPr>
      </w:pPr>
      <w:r>
        <w:rPr>
          <w:rFonts w:cs="Arial" w:ascii="Arial" w:hAnsi="Arial"/>
          <w:sz w:val="20"/>
        </w:rPr>
        <w:t>Weighted averages of each product are calculated for each trading day in the following manner:</w:t>
      </w:r>
    </w:p>
    <w:p>
      <w:pPr>
        <w:pStyle w:val="Normal"/>
        <w:spacing w:lineRule="atLeast" w:line="240"/>
        <w:rPr>
          <w:rFonts w:ascii="Arial" w:hAnsi="Arial" w:cs="Arial"/>
          <w:sz w:val="20"/>
        </w:rPr>
      </w:pPr>
      <w:r>
        <w:rPr>
          <w:rFonts w:cs="Arial" w:ascii="Arial" w:hAnsi="Arial"/>
          <w:sz w:val="20"/>
        </w:rPr>
      </w:r>
    </w:p>
    <w:p>
      <w:pPr>
        <w:pStyle w:val="Normal"/>
        <w:spacing w:lineRule="atLeast" w:line="240"/>
        <w:rPr>
          <w:rFonts w:ascii="Arial" w:hAnsi="Arial" w:cs="Arial"/>
          <w:sz w:val="20"/>
        </w:rPr>
      </w:pPr>
      <w:r>
        <w:rPr>
          <w:rFonts w:cs="Arial" w:ascii="Arial" w:hAnsi="Arial"/>
          <w:sz w:val="20"/>
        </w:rPr>
        <w:t>(Q1xP1 + Q2xP2+...+QnxPn)/Sum(Q1:Qn)</w:t>
      </w:r>
    </w:p>
    <w:p>
      <w:pPr>
        <w:pStyle w:val="Normal"/>
        <w:spacing w:lineRule="atLeast" w:line="240"/>
        <w:rPr>
          <w:rFonts w:ascii="Arial" w:hAnsi="Arial" w:cs="Arial"/>
          <w:sz w:val="20"/>
        </w:rPr>
      </w:pPr>
      <w:r>
        <w:rPr>
          <w:rFonts w:cs="Arial" w:ascii="Arial" w:hAnsi="Arial"/>
          <w:sz w:val="20"/>
        </w:rPr>
      </w:r>
    </w:p>
    <w:p>
      <w:pPr>
        <w:pStyle w:val="Normal"/>
        <w:spacing w:lineRule="atLeast" w:line="240"/>
        <w:rPr>
          <w:rFonts w:ascii="Arial" w:hAnsi="Arial" w:cs="Arial"/>
          <w:sz w:val="20"/>
        </w:rPr>
      </w:pPr>
      <w:r>
        <w:rPr>
          <w:rFonts w:cs="Arial" w:ascii="Arial" w:hAnsi="Arial"/>
          <w:sz w:val="20"/>
        </w:rPr>
        <w:t>where,</w:t>
      </w:r>
    </w:p>
    <w:p>
      <w:pPr>
        <w:pStyle w:val="Normal"/>
        <w:numPr>
          <w:ilvl w:val="0"/>
          <w:numId w:val="4"/>
        </w:numPr>
        <w:tabs>
          <w:tab w:val="clear" w:pos="720"/>
          <w:tab w:val="left" w:pos="1080" w:leader="none"/>
        </w:tabs>
        <w:spacing w:lineRule="atLeast" w:line="240"/>
        <w:ind w:hanging="360" w:start="1080" w:end="0"/>
        <w:rPr>
          <w:rFonts w:ascii="Arial" w:hAnsi="Arial" w:cs="Arial"/>
          <w:sz w:val="20"/>
        </w:rPr>
      </w:pPr>
      <w:r>
        <w:rPr>
          <w:rFonts w:cs="Arial" w:ascii="Arial" w:hAnsi="Arial"/>
          <w:sz w:val="20"/>
        </w:rPr>
        <w:t>Each Q represents the quantity of the product traded in a particular transaction. Q is measured in the standard units of trade for each product, as identified on EnronOnline.</w:t>
      </w:r>
    </w:p>
    <w:p>
      <w:pPr>
        <w:pStyle w:val="Normal"/>
        <w:numPr>
          <w:ilvl w:val="0"/>
          <w:numId w:val="4"/>
        </w:numPr>
        <w:tabs>
          <w:tab w:val="clear" w:pos="720"/>
          <w:tab w:val="left" w:pos="1080" w:leader="none"/>
        </w:tabs>
        <w:spacing w:lineRule="atLeast" w:line="240"/>
        <w:ind w:hanging="360" w:start="1080" w:end="0"/>
        <w:rPr>
          <w:rFonts w:ascii="Arial" w:hAnsi="Arial" w:cs="Arial"/>
          <w:sz w:val="20"/>
        </w:rPr>
      </w:pPr>
      <w:r>
        <w:rPr>
          <w:rFonts w:cs="Arial" w:ascii="Arial" w:hAnsi="Arial"/>
          <w:sz w:val="20"/>
        </w:rPr>
        <w:t>Each P represents the price of the product traded in a particular transaction.  P is measured in the standard unit of currency of trade for each product, as identified on EnronOnline.  For example, US Gas products would trade in $/MMBtu.</w:t>
      </w:r>
    </w:p>
    <w:p>
      <w:pPr>
        <w:pStyle w:val="Normal"/>
        <w:numPr>
          <w:ilvl w:val="0"/>
          <w:numId w:val="4"/>
        </w:numPr>
        <w:tabs>
          <w:tab w:val="clear" w:pos="720"/>
          <w:tab w:val="left" w:pos="1080" w:leader="none"/>
        </w:tabs>
        <w:spacing w:lineRule="atLeast" w:line="240"/>
        <w:ind w:hanging="360" w:start="1080" w:end="0"/>
        <w:rPr>
          <w:rFonts w:ascii="Arial" w:hAnsi="Arial" w:cs="Arial"/>
          <w:sz w:val="20"/>
        </w:rPr>
      </w:pPr>
      <w:r>
        <w:rPr>
          <w:rFonts w:cs="Arial" w:ascii="Arial" w:hAnsi="Arial"/>
          <w:sz w:val="20"/>
        </w:rPr>
        <w:t>Volume for each transaction is represented individually Q1, Q2, Q3,...,Qn. Corresponding price for each transaction is represented individually P1,P2, P3,...,Pn.</w:t>
      </w:r>
    </w:p>
    <w:p>
      <w:pPr>
        <w:pStyle w:val="Normal"/>
        <w:numPr>
          <w:ilvl w:val="0"/>
          <w:numId w:val="4"/>
        </w:numPr>
        <w:tabs>
          <w:tab w:val="clear" w:pos="720"/>
          <w:tab w:val="left" w:pos="1080" w:leader="none"/>
        </w:tabs>
        <w:spacing w:lineRule="atLeast" w:line="240"/>
        <w:ind w:hanging="360" w:start="1080" w:end="0"/>
        <w:rPr>
          <w:rFonts w:ascii="Arial" w:hAnsi="Arial" w:cs="Arial"/>
          <w:sz w:val="20"/>
        </w:rPr>
      </w:pPr>
      <w:r>
        <w:rPr>
          <w:rFonts w:cs="Arial" w:ascii="Arial" w:hAnsi="Arial"/>
          <w:sz w:val="20"/>
        </w:rPr>
        <w:t>Sum (Q1:Qn) represents the volume totals of all commodity units transacted for each individual product within the appropriate time frame for which the Price Reports are being generated.</w:t>
      </w:r>
    </w:p>
    <w:p>
      <w:pPr>
        <w:pStyle w:val="Normal"/>
        <w:spacing w:lineRule="atLeast" w:line="240"/>
        <w:rPr>
          <w:rFonts w:ascii="Arial" w:hAnsi="Arial" w:cs="Arial"/>
          <w:sz w:val="20"/>
        </w:rPr>
      </w:pPr>
      <w:r>
        <w:rPr>
          <w:rFonts w:cs="Arial" w:ascii="Arial" w:hAnsi="Arial"/>
          <w:sz w:val="20"/>
        </w:rPr>
      </w:r>
      <w:r>
        <w:br w:type="page"/>
      </w:r>
    </w:p>
    <w:p>
      <w:pPr>
        <w:pStyle w:val="Normal"/>
        <w:spacing w:lineRule="auto" w:line="360"/>
        <w:jc w:val="center"/>
        <w:rPr>
          <w:rFonts w:ascii="Arial" w:hAnsi="Arial" w:cs="Arial"/>
          <w:b/>
          <w:sz w:val="20"/>
        </w:rPr>
      </w:pPr>
      <w:r>
        <w:rPr>
          <w:rFonts w:cs="Arial" w:ascii="Arial" w:hAnsi="Arial"/>
          <w:b/>
          <w:sz w:val="20"/>
        </w:rPr>
        <w:t>EXHIBIT B</w:t>
      </w:r>
    </w:p>
    <w:p>
      <w:pPr>
        <w:pStyle w:val="Normal"/>
        <w:spacing w:lineRule="auto" w:line="360"/>
        <w:rPr>
          <w:rFonts w:ascii="Arial" w:hAnsi="Arial" w:cs="Arial"/>
          <w:b/>
          <w:sz w:val="20"/>
        </w:rPr>
      </w:pPr>
      <w:r>
        <w:rPr>
          <w:rFonts w:cs="Arial" w:ascii="Arial" w:hAnsi="Arial"/>
          <w:b/>
          <w:sz w:val="20"/>
        </w:rPr>
      </w:r>
    </w:p>
    <w:p>
      <w:pPr>
        <w:pStyle w:val="Normal"/>
        <w:numPr>
          <w:ilvl w:val="0"/>
          <w:numId w:val="3"/>
        </w:numPr>
        <w:spacing w:lineRule="auto" w:line="360"/>
        <w:rPr>
          <w:rFonts w:ascii="Arial" w:hAnsi="Arial" w:cs="Arial"/>
          <w:sz w:val="20"/>
          <w:lang w:eastAsia="en-US"/>
        </w:rPr>
      </w:pPr>
      <w:r>
        <w:rPr>
          <w:rFonts w:cs="Arial" w:ascii="Arial" w:hAnsi="Arial"/>
          <w:sz w:val="20"/>
          <w:lang w:eastAsia="en-US"/>
        </w:rPr>
        <w:t>El Paso Permian</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NGPL TexOk</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Tennessee, Zone 0</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Henry Hub</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Transco, St. 65</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Panhandle Eastern</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El Paso non-Bondad</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 xml:space="preserve">Opal </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Northwest Sumas</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TCO Pool</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Northern Demarc</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Southern Cal. Border Avg.</w:t>
      </w:r>
    </w:p>
    <w:p>
      <w:pPr>
        <w:pStyle w:val="Normal"/>
        <w:numPr>
          <w:ilvl w:val="0"/>
          <w:numId w:val="3"/>
        </w:numPr>
        <w:spacing w:lineRule="auto" w:line="360"/>
        <w:rPr>
          <w:rFonts w:ascii="Arial" w:hAnsi="Arial" w:cs="Arial"/>
          <w:sz w:val="20"/>
          <w:lang w:eastAsia="en-US"/>
        </w:rPr>
      </w:pPr>
      <w:r>
        <w:rPr>
          <w:rFonts w:cs="Arial" w:ascii="Arial" w:hAnsi="Arial"/>
          <w:sz w:val="20"/>
          <w:lang w:eastAsia="en-US"/>
        </w:rPr>
        <w:t>Chicago Citygate</w:t>
      </w:r>
    </w:p>
    <w:p>
      <w:pPr>
        <w:pStyle w:val="Normal"/>
        <w:numPr>
          <w:ilvl w:val="0"/>
          <w:numId w:val="3"/>
        </w:numPr>
        <w:spacing w:lineRule="auto" w:line="360"/>
        <w:rPr>
          <w:rFonts w:ascii="Arial" w:hAnsi="Arial" w:cs="Arial"/>
          <w:sz w:val="20"/>
        </w:rPr>
      </w:pPr>
      <w:r>
        <w:rPr>
          <w:rFonts w:cs="Arial" w:ascii="Arial" w:hAnsi="Arial"/>
          <w:sz w:val="20"/>
          <w:lang w:eastAsia="en-US"/>
        </w:rPr>
        <w:t>Transco, Zone 6 NY</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/mnt/main-storage/datasets/enron-docs/doc/Intelligence_Press_License_Agreement_121200.doc</w:t>
    </w:r>
    <w:r>
      <w:rPr>
        <w:sz w:val="12"/>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/mnt/main-storage/datasets/enron-docs/doc/Intelligence_Press_License_Agreement_121200.doc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080"/>
        </w:tabs>
        <w:ind w:start="1080" w:hanging="72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u w:val="single"/>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color w:val="auto"/>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2000-12-12T20:16:00Z</dcterms:created>
  <dc:creator>rjafry</dc:creator>
  <dc:description/>
  <dc:language>en-CA</dc:language>
  <cp:lastModifiedBy>rjafry</cp:lastModifiedBy>
  <cp:lastPrinted>2000-12-12T13:16:00Z</cp:lastPrinted>
  <dcterms:modified xsi:type="dcterms:W3CDTF">2000-12-12T20:16:00Z</dcterms:modified>
  <cp:revision>2</cp:revision>
  <dc:subject/>
  <dc:title>LICENSE AGREEMENT</dc:title>
</cp:coreProperties>
</file>