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Normal"/>
        <w:widowControl/>
        <w:tabs>
          <w:tab w:val="clear" w:pos="720"/>
          <w:tab w:val="center" w:pos="4680" w:leader="none"/>
        </w:tabs>
        <w:jc w:val="both"/>
        <w:rPr/>
      </w:pPr>
      <w:r>
        <w:rPr/>
        <w:tab/>
      </w:r>
      <w:r>
        <w:rPr>
          <w:b/>
          <w:u w:val="single"/>
        </w:rPr>
        <w:t>INFORMATION SERVICES AGREEEMENT</w:t>
      </w:r>
    </w:p>
    <w:p>
      <w:pPr>
        <w:pStyle w:val="Normal"/>
        <w:widowControl/>
        <w:jc w:val="both"/>
        <w:rPr>
          <w:b/>
          <w:u w:val="single"/>
        </w:rPr>
      </w:pPr>
      <w:r>
        <w:rPr>
          <w:b/>
          <w:u w:val="single"/>
        </w:rPr>
      </w:r>
    </w:p>
    <w:p>
      <w:pPr>
        <w:pStyle w:val="Normal"/>
        <w:widowControl/>
        <w:jc w:val="both"/>
        <w:rPr/>
      </w:pPr>
      <w:r>
        <w:rPr/>
      </w:r>
    </w:p>
    <w:p>
      <w:pPr>
        <w:pStyle w:val="Normal"/>
        <w:widowControl/>
        <w:jc w:val="both"/>
        <w:rPr/>
      </w:pPr>
      <w:r>
        <w:rPr/>
        <w:t>This Information Services Agreement (this “</w:t>
      </w:r>
      <w:r>
        <w:rPr>
          <w:u w:val="single"/>
        </w:rPr>
        <w:t>Agreement</w:t>
      </w:r>
      <w:r>
        <w:rPr/>
        <w:t>”) is made and entered into as of the _____ day of _________, 2000 between Enron Corp., an Oregon corporation, with offices at 1400 Smith Street, Houston, Texas 77002 (“</w:t>
      </w:r>
      <w:r>
        <w:rPr>
          <w:u w:val="single"/>
        </w:rPr>
        <w:t>Enron</w:t>
      </w:r>
      <w:r>
        <w:rPr/>
        <w:t>”) and Intelligence Press, Inc., a _______ _________ with offices at _______________________________ (“IP”).</w:t>
      </w:r>
    </w:p>
    <w:p>
      <w:pPr>
        <w:pStyle w:val="Normal"/>
        <w:widowControl/>
        <w:jc w:val="both"/>
        <w:rPr/>
      </w:pPr>
      <w:r>
        <w:rPr/>
      </w:r>
    </w:p>
    <w:p>
      <w:pPr>
        <w:pStyle w:val="Normal"/>
        <w:widowControl/>
        <w:ind w:firstLine="720" w:end="0"/>
        <w:jc w:val="both"/>
        <w:rPr/>
      </w:pPr>
      <w:r>
        <w:rPr/>
        <w:t>WHEREAS, Enron is the owner and operator of the Enron Website (as defined below);</w:t>
      </w:r>
    </w:p>
    <w:p>
      <w:pPr>
        <w:pStyle w:val="Normal"/>
        <w:widowControl/>
        <w:jc w:val="both"/>
        <w:rPr/>
      </w:pPr>
      <w:r>
        <w:rPr/>
      </w:r>
    </w:p>
    <w:p>
      <w:pPr>
        <w:pStyle w:val="Normal"/>
        <w:widowControl/>
        <w:ind w:firstLine="720" w:end="0"/>
        <w:jc w:val="both"/>
        <w:rPr/>
      </w:pPr>
      <w:r>
        <w:rPr/>
        <w:t>WHEREAS, IP publishes certain reports containing articles, stories, commentary, updates and briefs regarding the natural gas industry.</w:t>
      </w:r>
    </w:p>
    <w:p>
      <w:pPr>
        <w:pStyle w:val="Normal"/>
        <w:widowControl/>
        <w:jc w:val="both"/>
        <w:rPr/>
      </w:pPr>
      <w:r>
        <w:rPr/>
      </w:r>
    </w:p>
    <w:p>
      <w:pPr>
        <w:pStyle w:val="Normal"/>
        <w:widowControl/>
        <w:ind w:firstLine="720" w:end="0"/>
        <w:jc w:val="both"/>
        <w:rPr/>
      </w:pPr>
      <w:r>
        <w:rPr/>
        <w:t>WHEREAS, Enron desires that IP provide Enron with certain daily reports in PDF Format and HTML Format or other agreed upon format so that Enron may post such reports on the Enron Website and IP has agreed to provide Enron with such reports; and</w:t>
      </w:r>
    </w:p>
    <w:p>
      <w:pPr>
        <w:pStyle w:val="Normal"/>
        <w:widowControl/>
        <w:jc w:val="both"/>
        <w:rPr/>
      </w:pPr>
      <w:r>
        <w:rPr/>
      </w:r>
    </w:p>
    <w:p>
      <w:pPr>
        <w:pStyle w:val="Normal"/>
        <w:widowControl/>
        <w:ind w:firstLine="720" w:end="0"/>
        <w:jc w:val="both"/>
        <w:rPr/>
      </w:pPr>
      <w:r>
        <w:rPr/>
        <w:t>WHEREAS, the parties wish to enter into this Agreement subject to the terms and conditions contained herein.</w:t>
      </w:r>
    </w:p>
    <w:p>
      <w:pPr>
        <w:pStyle w:val="Normal"/>
        <w:widowControl/>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1"/>
        </w:numPr>
        <w:tabs>
          <w:tab w:val="left" w:pos="720" w:leader="none"/>
        </w:tabs>
        <w:ind w:hanging="90" w:start="90" w:end="0"/>
        <w:jc w:val="both"/>
        <w:rPr/>
      </w:pPr>
      <w:r>
        <w:rPr>
          <w:u w:val="single"/>
        </w:rPr>
        <w:t>Definitions</w:t>
      </w:r>
      <w:r>
        <w:rPr/>
        <w:t>.  The following capitalized terms when used in this Agreement shall have the following meanings:</w:t>
      </w:r>
    </w:p>
    <w:p>
      <w:pPr>
        <w:pStyle w:val="Normal"/>
        <w:widowControl/>
        <w:jc w:val="both"/>
        <w:rPr>
          <w:u w:val="single"/>
        </w:rPr>
      </w:pPr>
      <w:r>
        <w:rPr>
          <w:u w:val="single"/>
        </w:rPr>
      </w:r>
    </w:p>
    <w:p>
      <w:pPr>
        <w:pStyle w:val="Normal"/>
        <w:widowControl/>
        <w:ind w:start="720" w:end="0"/>
        <w:jc w:val="both"/>
        <w:rPr/>
      </w:pPr>
      <w:r>
        <w:rPr/>
        <w:t>“</w:t>
      </w:r>
      <w:r>
        <w:rPr>
          <w:u w:val="single"/>
        </w:rPr>
        <w:t>Business Day</w:t>
      </w:r>
      <w:r>
        <w:rPr/>
        <w:t>”  shall mean a day on which commercial banks are open for business in New York.</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jc w:val="both"/>
        <w:rPr/>
      </w:pPr>
      <w:r>
        <w:rPr/>
      </w:r>
    </w:p>
    <w:p>
      <w:pPr>
        <w:pStyle w:val="Normal"/>
        <w:widowControl/>
        <w:ind w:start="720" w:end="0"/>
        <w:jc w:val="both"/>
        <w:rPr/>
      </w:pPr>
      <w:r>
        <w:rPr/>
        <w:t>“</w:t>
      </w:r>
      <w:r>
        <w:rPr>
          <w:u w:val="single"/>
        </w:rPr>
        <w:t>Link</w:t>
      </w:r>
      <w:r>
        <w:rPr/>
        <w:t>” shall mean an HTML or XML (or successor protocol) hyperlink to an internet address, page or other service which can be activated through a user interface.</w:t>
      </w:r>
    </w:p>
    <w:p>
      <w:pPr>
        <w:pStyle w:val="Normal"/>
        <w:widowControl/>
        <w:jc w:val="both"/>
        <w:rPr/>
      </w:pPr>
      <w:r>
        <w:rPr/>
      </w:r>
    </w:p>
    <w:p>
      <w:pPr>
        <w:pStyle w:val="Normal"/>
        <w:widowControl/>
        <w:ind w:start="720" w:end="0"/>
        <w:jc w:val="both"/>
        <w:rPr/>
      </w:pPr>
      <w:r>
        <w:rPr/>
        <w:t>“</w:t>
      </w:r>
      <w:r>
        <w:rPr/>
        <w:t xml:space="preserve">IP </w:t>
      </w:r>
      <w:r>
        <w:rPr>
          <w:u w:val="single"/>
        </w:rPr>
        <w:t>Authorized Trademarks</w:t>
      </w:r>
      <w:r>
        <w:rPr/>
        <w:t>” shall mean the IP trademarks, trade names, design marks and service marks which IP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pPr>
      <w:r>
        <w:rPr/>
        <w:t>“</w:t>
      </w:r>
      <w:r>
        <w:rPr/>
        <w:t>I</w:t>
      </w:r>
      <w:r>
        <w:rPr>
          <w:u w:val="single"/>
        </w:rPr>
        <w:t>P Website</w:t>
      </w:r>
      <w:r>
        <w:rPr/>
        <w:t xml:space="preserve">” shall mean the website maintained by or for IP located at </w:t>
      </w:r>
      <w:hyperlink r:id="rId2">
        <w:r>
          <w:rPr>
            <w:rStyle w:val="Hyperlink"/>
          </w:rPr>
          <w:t>http://www.________.com</w:t>
        </w:r>
      </w:hyperlink>
      <w:r>
        <w:rPr>
          <w:rStyle w:val="Hypertext"/>
        </w:rPr>
        <w:t>.</w:t>
      </w:r>
      <w:r>
        <w:rPr>
          <w:rStyle w:val="Hypertext"/>
          <w:u w:val="none"/>
        </w:rPr>
        <w:t xml:space="preserve"> </w:t>
      </w:r>
      <w:r>
        <w:rPr>
          <w:rStyle w:val="Hypertext"/>
          <w:color w:val="000000"/>
          <w:u w:val="none"/>
        </w:rPr>
        <w:t>(or any successor address</w:t>
      </w:r>
      <w:r>
        <w:rPr>
          <w:rStyle w:val="Hypertext"/>
          <w:u w:val="none"/>
        </w:rPr>
        <w:t>).</w:t>
      </w:r>
    </w:p>
    <w:p>
      <w:pPr>
        <w:pStyle w:val="Normal"/>
        <w:widowControl/>
        <w:ind w:start="720" w:end="0"/>
        <w:jc w:val="both"/>
        <w:rPr/>
      </w:pPr>
      <w:r>
        <w:rPr/>
      </w:r>
    </w:p>
    <w:p>
      <w:pPr>
        <w:pStyle w:val="Normal"/>
        <w:widowControl/>
        <w:ind w:start="720" w:end="0"/>
        <w:jc w:val="both"/>
        <w:rPr/>
      </w:pPr>
      <w:r>
        <w:rPr/>
        <w:t xml:space="preserve"> “</w:t>
      </w:r>
      <w:r>
        <w:rPr>
          <w:u w:val="single"/>
        </w:rPr>
        <w:t>Publications</w:t>
      </w:r>
      <w:r>
        <w:rPr/>
        <w:t>” shall mean any daily publication written or produced by IP and/or its affiliates, including the publication currently known as “NGI's Daily Price Index,” which pertains to natural gas markets.</w:t>
      </w:r>
    </w:p>
    <w:p>
      <w:pPr>
        <w:pStyle w:val="Normal"/>
        <w:widowControl/>
        <w:ind w:start="720" w:end="0"/>
        <w:jc w:val="both"/>
        <w:rPr/>
      </w:pPr>
      <w:r>
        <w:rPr/>
      </w:r>
    </w:p>
    <w:p>
      <w:pPr>
        <w:pStyle w:val="Normal"/>
        <w:widowControl/>
        <w:ind w:start="720" w:end="0"/>
        <w:jc w:val="both"/>
        <w:rPr/>
      </w:pPr>
      <w:r>
        <w:rPr/>
        <w:t>“</w:t>
      </w:r>
      <w:r>
        <w:rPr>
          <w:u w:val="single"/>
        </w:rPr>
        <w:t>Reports</w:t>
      </w:r>
      <w:r>
        <w:rPr/>
        <w:t xml:space="preserve">” shall mean and include, (i) all news stories, articles, editorials and analytical  pieces from the Publications each day, (ii) information services,  including natural gas prices, traded volumes, charts, graphs and other data relating to the natural gas markets, (iii) IP’s Daily Gas Price Index and (iv) price assessments as published in the Publications.  A Report shall be produced at the end of each Business Day by IP and such Reports shall be exactly the same content and form as the Publications produced by IP on such Business Day for distribution to its customers. </w:t>
      </w:r>
    </w:p>
    <w:p>
      <w:pPr>
        <w:pStyle w:val="Normal"/>
        <w:widowControl/>
        <w:ind w:start="720" w:end="0"/>
        <w:jc w:val="both"/>
        <w:rPr/>
      </w:pPr>
      <w:r>
        <w:rPr/>
      </w:r>
    </w:p>
    <w:p>
      <w:pPr>
        <w:pStyle w:val="Normal"/>
        <w:widowControl/>
        <w:tabs>
          <w:tab w:val="clear" w:pos="720"/>
          <w:tab w:val="left" w:pos="1260" w:leader="none"/>
        </w:tabs>
        <w:jc w:val="both"/>
        <w:rPr/>
      </w:pPr>
      <w:r>
        <w:rPr/>
        <w:t>2.</w:t>
        <w:tab/>
      </w:r>
      <w:r>
        <w:rPr>
          <w:u w:val="single"/>
        </w:rPr>
        <w:t>Term and Service</w:t>
      </w:r>
      <w:r>
        <w:rPr/>
        <w:t>.  Commencing on the third Business Day after Enron provides IP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IP shall provide or make available a Report to Enron each Business Day via FTP (File Transfer Protocol) or via a website which can be accessed by Enron, prior to 11:59 P.M. Eastern Standard Time (EST) of such Business Day in both PDF Format and HTML Format or any other format mutually agreed to by the parties (the “</w:t>
      </w:r>
      <w:r>
        <w:rPr>
          <w:u w:val="single"/>
        </w:rPr>
        <w:t>Service</w:t>
      </w:r>
      <w:r>
        <w:rPr/>
        <w:t>”) so that Enron may post such Reports on the Enron Website.  In the event IP obtains the capability to provide the Reports or any portion thereof (in the format agreed to by the parties) to Enron in real time, IP shall provide the Service to Enron in real time.  IP shall insure that there are no references to corporate sponsors in the Reports provided to Enron and in the event there are such references, Enron may remove such references at its sole discretion.</w:t>
      </w:r>
    </w:p>
    <w:p>
      <w:pPr>
        <w:pStyle w:val="Normal"/>
        <w:widowControl/>
        <w:jc w:val="both"/>
        <w:rPr/>
      </w:pPr>
      <w:r>
        <w:rPr/>
      </w:r>
    </w:p>
    <w:p>
      <w:pPr>
        <w:pStyle w:val="Normal"/>
        <w:widowControl/>
        <w:jc w:val="both"/>
        <w:rPr/>
      </w:pPr>
      <w:r>
        <w:rPr/>
        <w:t>3.</w:t>
        <w:tab/>
      </w:r>
      <w:r>
        <w:rPr>
          <w:u w:val="single"/>
        </w:rPr>
        <w:t>Renewal Term</w:t>
      </w:r>
      <w:r>
        <w:rPr/>
        <w:t>.  Unless Enron provides written notice to IP on or prior to thirty (30) days before the expiration of the Initial Term, the term of this Agreement shall continue for one (1) additional year (the “</w:t>
      </w:r>
      <w:r>
        <w:rPr>
          <w:u w:val="single"/>
        </w:rPr>
        <w:t>Renewal Term</w:t>
      </w:r>
      <w:r>
        <w:rPr/>
        <w:t>”) commencing on the first anniversary of the Commencement Date (the “</w:t>
      </w:r>
      <w:r>
        <w:rPr>
          <w:u w:val="single"/>
        </w:rPr>
        <w:t>Fee Adjustment Date</w:t>
      </w:r>
      <w:r>
        <w:rPr/>
        <w:t>”).  The Initial Term and Renewal Term shall be hereinafter collectively referred to as the “</w:t>
      </w:r>
      <w:r>
        <w:rPr>
          <w:u w:val="single"/>
        </w:rPr>
        <w:t>Term</w:t>
      </w:r>
      <w:r>
        <w:rPr/>
        <w:t>”.</w:t>
      </w:r>
    </w:p>
    <w:p>
      <w:pPr>
        <w:pStyle w:val="Normal"/>
        <w:widowControl/>
        <w:jc w:val="both"/>
        <w:rPr/>
      </w:pPr>
      <w:r>
        <w:rPr/>
      </w:r>
    </w:p>
    <w:p>
      <w:pPr>
        <w:pStyle w:val="Normal"/>
        <w:widowControl/>
        <w:numPr>
          <w:ilvl w:val="0"/>
          <w:numId w:val="3"/>
        </w:numPr>
        <w:jc w:val="both"/>
        <w:rPr/>
      </w:pPr>
      <w:r>
        <w:rPr>
          <w:u w:val="single"/>
        </w:rPr>
        <w:t>Fees</w:t>
      </w:r>
      <w:r>
        <w:rPr/>
        <w:t>.</w:t>
        <w:tab/>
      </w:r>
    </w:p>
    <w:p>
      <w:pPr>
        <w:pStyle w:val="Normal"/>
        <w:widowControl/>
        <w:jc w:val="both"/>
        <w:rPr/>
      </w:pPr>
      <w:r>
        <w:rPr/>
      </w:r>
    </w:p>
    <w:p>
      <w:pPr>
        <w:pStyle w:val="Normal"/>
        <w:widowControl/>
        <w:ind w:start="720" w:end="0"/>
        <w:jc w:val="both"/>
        <w:rPr/>
      </w:pPr>
      <w:r>
        <w:rPr/>
        <w:t xml:space="preserve">(a) </w:t>
        <w:tab/>
        <w:t xml:space="preserve"> During the Initial Term, Enron shall pay IP an annual fee of $65,000.00 (the “</w:t>
      </w:r>
      <w:r>
        <w:rPr>
          <w:u w:val="single"/>
        </w:rPr>
        <w:t>Fee</w:t>
      </w:r>
      <w:r>
        <w:rPr/>
        <w:t>”) for the Service, such Fee to be due and payable in two (2) installments of</w:t>
      </w:r>
      <w:r>
        <w:rPr>
          <w:b/>
        </w:rPr>
        <w:t xml:space="preserve"> </w:t>
      </w:r>
      <w:r>
        <w:rPr/>
        <w:t>$32,500.00, the first payment being due on the Commencement Date and the second installment being due on the Second installment being due on the six (6) month anniversary of the Commencement Date at the offices of IP set forth herein.</w:t>
      </w:r>
    </w:p>
    <w:p>
      <w:pPr>
        <w:pStyle w:val="Normal"/>
        <w:widowControl/>
        <w:jc w:val="both"/>
        <w:rPr/>
      </w:pPr>
      <w:r>
        <w:rPr/>
      </w:r>
    </w:p>
    <w:p>
      <w:pPr>
        <w:pStyle w:val="Normal"/>
        <w:widowControl/>
        <w:numPr>
          <w:ilvl w:val="0"/>
          <w:numId w:val="2"/>
        </w:numPr>
        <w:tabs>
          <w:tab w:val="clear" w:pos="720"/>
          <w:tab w:val="left" w:pos="630" w:leader="none"/>
          <w:tab w:val="left" w:pos="1440" w:leader="none"/>
        </w:tabs>
        <w:ind w:hanging="0" w:start="720" w:end="0"/>
        <w:jc w:val="both"/>
        <w:rPr/>
      </w:pPr>
      <w:r>
        <w:rPr/>
        <w:t>During the Renewal Term, the Fee shall be increased to $75,000.00, such fee to be due and payable in two (2) installments of $37,500.00, the first installment being due on the Fee Adjustment Date and the second installment being due on the six (6) month anniversary of the Fee Commencement Date, at the offices of IP set forth herein.</w:t>
      </w:r>
    </w:p>
    <w:p>
      <w:pPr>
        <w:pStyle w:val="BodyTextIndent"/>
        <w:rPr/>
      </w:pPr>
      <w:r>
        <w:rPr/>
      </w:r>
    </w:p>
    <w:p>
      <w:pPr>
        <w:pStyle w:val="Normal"/>
        <w:widowControl/>
        <w:jc w:val="both"/>
        <w:rPr/>
      </w:pPr>
      <w:r>
        <w:rPr/>
      </w:r>
    </w:p>
    <w:p>
      <w:pPr>
        <w:pStyle w:val="Normal"/>
        <w:widowControl/>
        <w:jc w:val="both"/>
        <w:rPr/>
      </w:pPr>
      <w:r>
        <w:rPr/>
        <w:t>5.</w:t>
        <w:tab/>
      </w:r>
      <w:r>
        <w:rPr>
          <w:u w:val="single"/>
        </w:rPr>
        <w:t>Exclusivity</w:t>
      </w:r>
      <w:r>
        <w:rPr/>
        <w:t>.  The parties agree that Enron’s competitive position would be significantly prejudiced and an essential purpose of this Agreement would be defeated if IP were to provide the Reports to any other owners or operators of websites for the purpose of posting all or any portion of the Reports on a website or other external distribution.  Therefore, IP agrees that during the Term of this Agreement, IP shall not provide the Reports to any other owners or operators of energy trading websites or similar websites where energy related commodities are exchanged (including houstonstreet.com, Altra, Intercontinental Exchange and the alliance formed by American Electric Power Co., Aquila Energy, Duke Cinergy Corp., El Paso Energy Corp., Reliant Energy Inc. and Southern Energy Marketing or any combination thereof) for external redistribution, regardless of the location of such distribution or the language used in such distribution.  In addition, IP shall not provide any other information contained in any Publication produced by IP to any other owners or operators of energy trading websites or similar websites where energy related commodities are exchanged (including houstonstreet.com, Altra, Intercontinental Exchange and the alliance formed by American Electric Power Co., Aquila Energy, Duke Cinergy Corp., El Paso Energy Corp., Reliant Energy Inc. and Southern Energy Marketing or any combination thereof) for external redistribution, regardless of the location of such distribution or the language used in such distribution.  Notwithstanding anything contained in this Section 5 to the contrary, IP may provide excerpts of the Reports on competing websites, provided that such excerpts do not exceed fifty (50) words in length.  Websites focused on the supply chain system in the energy industry shall be deemed energy trading websites unless otherwise agreed to in writing.</w:t>
      </w:r>
    </w:p>
    <w:p>
      <w:pPr>
        <w:pStyle w:val="Normal"/>
        <w:widowControl/>
        <w:jc w:val="both"/>
        <w:rPr/>
      </w:pPr>
      <w:r>
        <w:rPr/>
      </w:r>
    </w:p>
    <w:p>
      <w:pPr>
        <w:pStyle w:val="Normal"/>
        <w:widowControl/>
        <w:numPr>
          <w:ilvl w:val="0"/>
          <w:numId w:val="7"/>
        </w:numPr>
        <w:ind w:hanging="0" w:start="0" w:end="0"/>
        <w:jc w:val="both"/>
        <w:rPr/>
      </w:pPr>
      <w:r>
        <w:rPr>
          <w:u w:val="single"/>
        </w:rPr>
        <w:t>Link</w:t>
      </w:r>
      <w:r>
        <w:rPr/>
        <w:t xml:space="preserve">.  Enron agrees that commencing on the date that Enron posts the Reports on the Enron Website, and continuing on each day thereafter that Enron posts the Reports on the Enron Website during the Term of this Agreement, the Enron Website shall display an IP Authorized Trademark button on the page containing the Reports, which button shall contain a Link to the IP Website. </w:t>
      </w:r>
      <w:r>
        <w:rPr>
          <w:b/>
        </w:rPr>
        <w:t xml:space="preserve"> </w:t>
      </w:r>
      <w:r>
        <w:rPr/>
        <w:t xml:space="preserve">In connection therewith and as otherwise contemplated herein , IP agrees that Enron may use and IP hereby licenses the IP Authorized Trademarks to Enron provided  that the use of the IP Authorized Trademarks shall not create or provide, and such use shall not indicate that Enron has, any right, title or interest in the IP Authorized Trademarks other than the authorizations provided in this Agreement.  </w:t>
      </w:r>
    </w:p>
    <w:p>
      <w:pPr>
        <w:pStyle w:val="Normal"/>
        <w:widowControl/>
        <w:jc w:val="both"/>
        <w:rPr>
          <w:u w:val="single"/>
        </w:rPr>
      </w:pPr>
      <w:r>
        <w:rPr>
          <w:u w:val="single"/>
        </w:rPr>
      </w:r>
    </w:p>
    <w:p>
      <w:pPr>
        <w:pStyle w:val="Normal"/>
        <w:widowControl/>
        <w:jc w:val="both"/>
        <w:rPr/>
      </w:pPr>
      <w:r>
        <w:rPr/>
        <w:t>7.</w:t>
        <w:tab/>
      </w:r>
      <w:r>
        <w:rPr>
          <w:u w:val="single"/>
        </w:rPr>
        <w:t>Standard of Services</w:t>
      </w:r>
      <w:r>
        <w:rPr/>
        <w:t xml:space="preserve">.  IP agrees and covenants that the Service shall be conducted in accordance with all applicable laws and regulations and in accordance with all prevailing and accepted industry practices and standards of customer service, quality and fair dealing.  </w:t>
      </w:r>
    </w:p>
    <w:p>
      <w:pPr>
        <w:pStyle w:val="Normal"/>
        <w:widowControl/>
        <w:jc w:val="both"/>
        <w:rPr/>
      </w:pPr>
      <w:r>
        <w:rPr/>
      </w:r>
    </w:p>
    <w:p>
      <w:pPr>
        <w:pStyle w:val="Normal"/>
        <w:widowControl/>
        <w:jc w:val="both"/>
        <w:rPr/>
      </w:pPr>
      <w:r>
        <w:rPr/>
        <w:t>8.</w:t>
        <w:tab/>
      </w:r>
      <w:r>
        <w:rPr>
          <w:u w:val="single"/>
        </w:rPr>
        <w:t>Confidential Information</w:t>
      </w:r>
      <w:r>
        <w:rPr/>
        <w:t>.  Enron and IP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8, in addition to all other remedies available to such party at law or in equity.  The parties agree that this Section 8, shall survive the termination or expiration of this Agreement for a period of two (2) years.  Notwithstanding anything contained herein to the contrary, Enron may disclose the existence of this Agreement without the prior written consent of IP.</w:t>
      </w:r>
    </w:p>
    <w:p>
      <w:pPr>
        <w:pStyle w:val="Normal"/>
        <w:widowControl/>
        <w:jc w:val="both"/>
        <w:rPr/>
      </w:pPr>
      <w:r>
        <w:rPr/>
      </w:r>
    </w:p>
    <w:p>
      <w:pPr>
        <w:pStyle w:val="Normal"/>
        <w:keepNext w:val="true"/>
        <w:widowControl/>
        <w:numPr>
          <w:ilvl w:val="0"/>
          <w:numId w:val="6"/>
        </w:numPr>
        <w:jc w:val="both"/>
        <w:rPr/>
      </w:pPr>
      <w:r>
        <w:rPr>
          <w:u w:val="single"/>
        </w:rPr>
        <w:t>Representations, Warranties and Covenants</w:t>
      </w:r>
      <w:r>
        <w:rPr/>
        <w:t xml:space="preserve">.  </w:t>
      </w:r>
    </w:p>
    <w:p>
      <w:pPr>
        <w:pStyle w:val="Normal"/>
        <w:keepNext w:val="true"/>
        <w:widowControl/>
        <w:jc w:val="both"/>
        <w:rPr/>
      </w:pPr>
      <w:r>
        <w:rPr/>
      </w:r>
    </w:p>
    <w:p>
      <w:pPr>
        <w:pStyle w:val="Normal"/>
        <w:widowControl/>
        <w:tabs>
          <w:tab w:val="clear" w:pos="720"/>
          <w:tab w:val="left" w:pos="1440" w:leader="none"/>
        </w:tabs>
        <w:ind w:start="720" w:end="0"/>
        <w:jc w:val="both"/>
        <w:rPr/>
      </w:pPr>
      <w:r>
        <w:rPr/>
        <w:t>(a)</w:t>
        <w:tab/>
        <w:t xml:space="preserve">IP represents and warrants to Enron that (i)it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IP Authorized Trademarks, with full and absolute right to license the IP Trademarks to Enron as contemplated herein, (vi) no part of the IP Authorized Trademarks or the Reports shall infringe upon the copyrights, trademarks, trade secrets, patents, intellectual property rights  or any other proprietary rights of any other person or entity, (vii) the accuracy of all Reports provided under this Agreement shall be true and correct as of the date provided, (viii) the performance of IP’s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 xml:space="preserve">(b) </w:t>
        <w:tab/>
        <w:t>Enron represents and warrants to IP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For purposes of this Section 9(b), “material agreement” shall mean any agreement that creates an obligation of $100,000,000 or more.</w:t>
      </w:r>
    </w:p>
    <w:p>
      <w:pPr>
        <w:pStyle w:val="Normal"/>
        <w:widowControl/>
        <w:jc w:val="both"/>
        <w:rPr/>
      </w:pPr>
      <w:r>
        <w:rPr/>
      </w:r>
    </w:p>
    <w:p>
      <w:pPr>
        <w:pStyle w:val="Normal"/>
        <w:widowControl/>
        <w:numPr>
          <w:ilvl w:val="0"/>
          <w:numId w:val="4"/>
        </w:numPr>
        <w:jc w:val="both"/>
        <w:rPr/>
      </w:pPr>
      <w:r>
        <w:rPr>
          <w:u w:val="single"/>
        </w:rPr>
        <w:t>Indemnification</w:t>
      </w:r>
      <w:r>
        <w:rPr/>
        <w:t>.  IP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the representations, warranties and covenants set forth in this Agreement or in the performance of any of its duties, responsibilities or services under this Agreement.</w:t>
      </w:r>
    </w:p>
    <w:p>
      <w:pPr>
        <w:pStyle w:val="Normal"/>
        <w:widowControl/>
        <w:jc w:val="both"/>
        <w:rPr>
          <w:u w:val="single"/>
        </w:rPr>
      </w:pPr>
      <w:r>
        <w:rPr>
          <w:u w:val="single"/>
        </w:rPr>
      </w:r>
    </w:p>
    <w:p>
      <w:pPr>
        <w:pStyle w:val="Normal"/>
        <w:widowControl/>
        <w:jc w:val="both"/>
        <w:rPr/>
      </w:pPr>
      <w:r>
        <w:rPr/>
        <w:t>11.</w:t>
        <w:tab/>
      </w:r>
      <w:r>
        <w:rPr>
          <w:u w:val="single"/>
        </w:rPr>
        <w:t>Insurance</w:t>
      </w:r>
      <w:r>
        <w:rPr/>
        <w:t>.</w:t>
        <w:tab/>
        <w:t>IP agrees that it will maintain insurance with a carrier reasonably acceptable to Enron and with coverage for commercial general liability and errors and omissions of at least one million dollars per occurrence.  IP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widowControl/>
        <w:jc w:val="both"/>
        <w:rPr/>
      </w:pPr>
      <w:r>
        <w:rPr/>
        <w:t>12.</w:t>
        <w:tab/>
      </w:r>
      <w:r>
        <w:rPr>
          <w:u w:val="single"/>
        </w:rPr>
        <w:t>Termination For Breach</w:t>
      </w:r>
    </w:p>
    <w:p>
      <w:pPr>
        <w:pStyle w:val="Normal"/>
        <w:widowControl/>
        <w:jc w:val="both"/>
        <w:rPr>
          <w:u w:val="single"/>
        </w:rPr>
      </w:pPr>
      <w:r>
        <w:rPr>
          <w:u w:val="single"/>
        </w:rPr>
      </w:r>
    </w:p>
    <w:p>
      <w:pPr>
        <w:pStyle w:val="BodyTextIndent2"/>
        <w:ind w:start="144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jc w:val="both"/>
        <w:rPr/>
      </w:pPr>
      <w:r>
        <w:rPr/>
      </w:r>
    </w:p>
    <w:p>
      <w:pPr>
        <w:pStyle w:val="BodyTextIndent"/>
        <w:numPr>
          <w:ilvl w:val="0"/>
          <w:numId w:val="5"/>
        </w:numPr>
        <w:rPr/>
      </w:pPr>
      <w:r>
        <w:rPr/>
        <w:t>In addition to the right of termination set forth in Section 12(a) above and in addition to any other remedies available at law or in equity, in the event that due to any reason within IP’s control, there is an interruption in the Service which continues for three (3) days following written notice to IP of such interruption or ten (10) days in the aggregate during the Term of this Agreement, Enron may terminate this Agreement immediately, in which case IP shall refund, pro rata any unused Fees paid in advance.</w:t>
      </w:r>
    </w:p>
    <w:p>
      <w:pPr>
        <w:pStyle w:val="BodyTextIndent"/>
        <w:rPr/>
      </w:pPr>
      <w:r>
        <w:rPr/>
      </w:r>
    </w:p>
    <w:p>
      <w:pPr>
        <w:pStyle w:val="BodyTextIndent"/>
        <w:numPr>
          <w:ilvl w:val="0"/>
          <w:numId w:val="5"/>
        </w:numPr>
        <w:rPr/>
      </w:pPr>
      <w:r>
        <w:rPr/>
        <w:t xml:space="preserve">Notwithstanding anything contained in Section 12(a) or (b) to the contrary and in addition to any other remedies available at law or in equity, in the event of a breach by IP of Section 5 herein, Enron may terminate this Agreement immediately.  In addition, notwithstanding anything contained in Section 26 to the contrary, Enron shall have the right to apply to a court to enjoin any breach of Section 5. </w:t>
      </w:r>
    </w:p>
    <w:p>
      <w:pPr>
        <w:pStyle w:val="Normal"/>
        <w:widowControl/>
        <w:jc w:val="both"/>
        <w:rPr/>
      </w:pPr>
      <w:r>
        <w:rPr/>
      </w:r>
    </w:p>
    <w:p>
      <w:pPr>
        <w:pStyle w:val="Normal"/>
        <w:widowControl/>
        <w:jc w:val="both"/>
        <w:rPr/>
      </w:pPr>
      <w:r>
        <w:rPr/>
        <w:t>13.</w:t>
        <w:tab/>
      </w: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Normal"/>
        <w:keepNext w:val="true"/>
        <w:widowControl/>
        <w:tabs>
          <w:tab w:val="clear" w:pos="720"/>
          <w:tab w:val="left" w:pos="5054" w:leader="none"/>
        </w:tabs>
        <w:jc w:val="both"/>
        <w:rPr/>
      </w:pPr>
      <w:r>
        <w:rPr/>
        <w:t>If to Enron:</w:t>
        <w:tab/>
        <w:t>If to IP:</w:t>
      </w:r>
    </w:p>
    <w:p>
      <w:pPr>
        <w:pStyle w:val="Normal"/>
        <w:keepNext w:val="true"/>
        <w:widowControl/>
        <w:tabs>
          <w:tab w:val="clear" w:pos="720"/>
          <w:tab w:val="right" w:pos="2943" w:leader="none"/>
        </w:tabs>
        <w:jc w:val="both"/>
        <w:rPr/>
      </w:pPr>
      <w:r>
        <w:rPr/>
      </w:r>
    </w:p>
    <w:p>
      <w:pPr>
        <w:pStyle w:val="Normal"/>
        <w:keepNext w:val="true"/>
        <w:widowControl/>
        <w:tabs>
          <w:tab w:val="clear" w:pos="720"/>
          <w:tab w:val="right" w:pos="3614" w:leader="none"/>
          <w:tab w:val="left" w:pos="5143" w:leader="none"/>
          <w:tab w:val="right" w:pos="9360" w:leader="none"/>
        </w:tabs>
        <w:jc w:val="both"/>
        <w:rPr/>
      </w:pPr>
      <w:r>
        <w:rPr/>
        <w:t>Enron Corp.</w:t>
        <w:tab/>
        <w:tab/>
        <w:t>Intelligence Press, Inc.</w:t>
      </w:r>
    </w:p>
    <w:p>
      <w:pPr>
        <w:pStyle w:val="Normal"/>
        <w:keepNext w:val="true"/>
        <w:widowControl/>
        <w:tabs>
          <w:tab w:val="clear" w:pos="720"/>
          <w:tab w:val="right" w:pos="3614" w:leader="none"/>
          <w:tab w:val="left" w:pos="5143" w:leader="none"/>
          <w:tab w:val="right" w:pos="9360" w:leader="none"/>
        </w:tabs>
        <w:jc w:val="both"/>
        <w:rPr/>
      </w:pPr>
      <w:r>
        <w:rPr/>
        <w:t>1400 Smith Street</w:t>
        <w:tab/>
        <w:tab/>
        <w:t>22648 Glenn Drive, Suite 305</w:t>
      </w:r>
    </w:p>
    <w:p>
      <w:pPr>
        <w:pStyle w:val="Normal"/>
        <w:keepNext w:val="true"/>
        <w:widowControl/>
        <w:tabs>
          <w:tab w:val="clear" w:pos="720"/>
          <w:tab w:val="right" w:pos="3614" w:leader="none"/>
          <w:tab w:val="left" w:pos="5143" w:leader="none"/>
          <w:tab w:val="right" w:pos="9360" w:leader="none"/>
        </w:tabs>
        <w:jc w:val="both"/>
        <w:rPr/>
      </w:pPr>
      <w:r>
        <w:rPr/>
        <w:t>Houston, Texas 77002</w:t>
        <w:tab/>
        <w:tab/>
        <w:t>Sterling, Virginia 20164</w:t>
      </w:r>
    </w:p>
    <w:p>
      <w:pPr>
        <w:pStyle w:val="Normal"/>
        <w:keepNext w:val="true"/>
        <w:widowControl/>
        <w:tabs>
          <w:tab w:val="clear" w:pos="720"/>
          <w:tab w:val="right" w:pos="3614" w:leader="none"/>
          <w:tab w:val="left" w:pos="5143" w:leader="none"/>
          <w:tab w:val="right" w:pos="9360" w:leader="none"/>
        </w:tabs>
        <w:jc w:val="both"/>
        <w:rPr/>
      </w:pPr>
      <w:r>
        <w:rPr/>
        <w:t>Attn:  David Samuels</w:t>
        <w:tab/>
        <w:tab/>
        <w:t>Attn:  Dexter Steis</w:t>
      </w:r>
    </w:p>
    <w:p>
      <w:pPr>
        <w:pStyle w:val="Normal"/>
        <w:keepNext w:val="true"/>
        <w:widowControl/>
        <w:tabs>
          <w:tab w:val="clear" w:pos="720"/>
          <w:tab w:val="right" w:pos="3614" w:leader="none"/>
          <w:tab w:val="left" w:pos="5143" w:leader="none"/>
          <w:tab w:val="right" w:pos="9360" w:leader="none"/>
        </w:tabs>
        <w:jc w:val="both"/>
        <w:rPr/>
      </w:pPr>
      <w:r>
        <w:rPr/>
        <w:t>Fax:  (713) 646-2308</w:t>
        <w:tab/>
        <w:tab/>
        <w:t xml:space="preserve">Fax:  </w:t>
      </w:r>
      <w:r>
        <w:rPr>
          <w:u w:val="single"/>
        </w:rPr>
        <w:tab/>
      </w:r>
    </w:p>
    <w:p>
      <w:pPr>
        <w:pStyle w:val="Normal"/>
        <w:widowControl/>
        <w:tabs>
          <w:tab w:val="clear" w:pos="720"/>
          <w:tab w:val="right" w:pos="3614" w:leader="none"/>
          <w:tab w:val="left" w:pos="5143" w:leader="none"/>
        </w:tabs>
        <w:jc w:val="both"/>
        <w:rPr>
          <w:u w:val="single"/>
        </w:rPr>
      </w:pPr>
      <w:r>
        <w:rPr>
          <w:u w:val="single"/>
        </w:rPr>
      </w:r>
    </w:p>
    <w:p>
      <w:pPr>
        <w:pStyle w:val="Normal"/>
        <w:widowControl/>
        <w:tabs>
          <w:tab w:val="clear" w:pos="720"/>
          <w:tab w:val="right" w:pos="3614" w:leader="none"/>
          <w:tab w:val="left" w:pos="5143" w:leader="none"/>
        </w:tabs>
        <w:jc w:val="both"/>
        <w:rPr/>
      </w:pPr>
      <w:r>
        <w:rPr/>
        <w:t>In the event IP needs to send Enron notice of any alleged default or breach of this Agreement, IP shall send notice pursuant to the foregoing to the attention of Managing Director, Information Technology, with a copy to Enron's Executive Vice President and General Counsel.</w:t>
      </w:r>
    </w:p>
    <w:p>
      <w:pPr>
        <w:pStyle w:val="Normal"/>
        <w:widowControl/>
        <w:tabs>
          <w:tab w:val="clear" w:pos="720"/>
          <w:tab w:val="right" w:pos="3614" w:leader="none"/>
          <w:tab w:val="left" w:pos="5143" w:leader="none"/>
        </w:tabs>
        <w:jc w:val="both"/>
        <w:rPr/>
      </w:pPr>
      <w:r>
        <w:rPr/>
      </w:r>
    </w:p>
    <w:p>
      <w:pPr>
        <w:pStyle w:val="Normal"/>
        <w:widowControl/>
        <w:tabs>
          <w:tab w:val="clear" w:pos="720"/>
          <w:tab w:val="left" w:pos="-1440" w:leader="none"/>
        </w:tabs>
        <w:jc w:val="both"/>
        <w:rPr/>
      </w:pPr>
      <w:r>
        <w:rPr/>
        <w:t>14.</w:t>
        <w:tab/>
      </w: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8"/>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8"/>
        </w:numPr>
        <w:tabs>
          <w:tab w:val="clear" w:pos="720"/>
          <w:tab w:val="left" w:pos="-1440" w:leader="none"/>
        </w:tabs>
        <w:ind w:hanging="0" w:start="0" w:end="0"/>
        <w:jc w:val="both"/>
        <w:rPr/>
      </w:pPr>
      <w:r>
        <w:rPr>
          <w:u w:val="single"/>
        </w:rPr>
        <w:t>Limitations of Liability</w:t>
      </w:r>
      <w:r>
        <w:rPr/>
        <w:t>.  EXCEPT WITH RESPECT TO LIABILITY ARISING OUT OF THE OBLIGATIONS CONTAINED IN SECTION 10,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8"/>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8"/>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8"/>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8"/>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8"/>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8"/>
        </w:numPr>
        <w:tabs>
          <w:tab w:val="clear" w:pos="720"/>
          <w:tab w:val="left" w:pos="-1440" w:leader="none"/>
        </w:tabs>
        <w:ind w:hanging="0" w:start="0" w:end="0"/>
        <w:jc w:val="both"/>
        <w:rPr/>
      </w:pPr>
      <w:r>
        <w:rPr>
          <w:u w:val="single"/>
        </w:rPr>
        <w:t>Arbitration</w:t>
      </w:r>
      <w:r>
        <w:rPr/>
        <w:t xml:space="preserve">.  </w:t>
        <w:tab/>
        <w:t>Except for any claim arising out of a breach of Sections 8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firstLine="720" w:end="0"/>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Enron Corp.</w:t>
        <w:tab/>
        <w:t>Intelligence Press, Inc.</w:t>
      </w:r>
    </w:p>
    <w:p>
      <w:pPr>
        <w:pStyle w:val="Normal"/>
        <w:keepNext w:val="true"/>
        <w:widowControl/>
        <w:tabs>
          <w:tab w:val="clear" w:pos="720"/>
          <w:tab w:val="right" w:pos="2943" w:leader="none"/>
        </w:tabs>
        <w:jc w:val="both"/>
        <w:rPr/>
      </w:pPr>
      <w:r>
        <w:rPr/>
      </w:r>
    </w:p>
    <w:p>
      <w:pPr>
        <w:pStyle w:val="Normal"/>
        <w:widowControl/>
        <w:tabs>
          <w:tab w:val="clear" w:pos="720"/>
          <w:tab w:val="right" w:pos="3614" w:leader="none"/>
          <w:tab w:val="left" w:pos="5143" w:leader="none"/>
          <w:tab w:val="right" w:pos="9360" w:leader="none"/>
        </w:tabs>
        <w:jc w:val="both"/>
        <w:rPr/>
      </w:pPr>
      <w:r>
        <w:rPr/>
        <w:t>By:</w:t>
      </w:r>
      <w:r>
        <w:rPr>
          <w:u w:val="single"/>
        </w:rPr>
        <w:tab/>
      </w:r>
      <w:r>
        <w:rPr/>
        <w:tab/>
        <w:t>By:</w:t>
      </w:r>
      <w:r>
        <w:rPr>
          <w:u w:val="single"/>
        </w:rPr>
        <w:tab/>
      </w:r>
    </w:p>
    <w:p>
      <w:pPr>
        <w:pStyle w:val="Normal"/>
        <w:widowControl/>
        <w:tabs>
          <w:tab w:val="clear" w:pos="720"/>
          <w:tab w:val="right" w:pos="3578" w:leader="none"/>
          <w:tab w:val="left" w:pos="5107" w:leader="none"/>
          <w:tab w:val="right" w:pos="9360" w:leader="none"/>
        </w:tabs>
        <w:ind w:start="-36" w:end="0"/>
        <w:jc w:val="both"/>
        <w:rPr/>
      </w:pPr>
      <w:r>
        <w:rPr/>
        <w:t>Name:</w:t>
      </w:r>
      <w:r>
        <w:rPr>
          <w:u w:val="single"/>
        </w:rPr>
        <w:tab/>
      </w:r>
      <w:r>
        <w:rPr/>
        <w:tab/>
        <w:t>Name:</w:t>
      </w:r>
      <w:r>
        <w:rPr>
          <w:u w:val="single"/>
        </w:rPr>
        <w:tab/>
      </w:r>
    </w:p>
    <w:p>
      <w:pPr>
        <w:pStyle w:val="Normal"/>
        <w:widowControl/>
        <w:tabs>
          <w:tab w:val="clear" w:pos="720"/>
          <w:tab w:val="right" w:pos="3578" w:leader="none"/>
          <w:tab w:val="left" w:pos="5107" w:leader="none"/>
          <w:tab w:val="right" w:pos="9360" w:leader="none"/>
        </w:tabs>
        <w:ind w:start="-36" w:end="0"/>
        <w:jc w:val="both"/>
        <w:rPr/>
      </w:pPr>
      <w:r>
        <w:rPr/>
        <w:t>Title:</w:t>
      </w:r>
      <w:r>
        <w:rPr>
          <w:u w:val="single"/>
        </w:rPr>
        <w:tab/>
      </w:r>
      <w:r>
        <w:rPr/>
        <w:tab/>
        <w:t>Title:</w:t>
      </w:r>
      <w:r>
        <w:rPr>
          <w:u w:val="single"/>
        </w:rPr>
        <w:tab/>
      </w:r>
    </w:p>
    <w:sectPr>
      <w:footerReference w:type="default" r:id="rId3"/>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Normal"/>
      <w:spacing w:before="240" w:after="0"/>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/mnt/main-storage/datasets/enron-docs/doc/Intelligence_Press_Information_Services_Agreement_2cl.doc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720"/>
      </w:pPr>
      <w:rPr/>
    </w:lvl>
  </w:abstractNum>
  <w:abstractNum w:abstractNumId="4">
    <w:lvl w:ilvl="0">
      <w:start w:val="10"/>
      <w:numFmt w:val="decimal"/>
      <w:lvlText w:val="%1."/>
      <w:lvlJc w:val="start"/>
      <w:pPr>
        <w:tabs>
          <w:tab w:val="num" w:pos="720"/>
        </w:tabs>
        <w:ind w:start="720" w:hanging="720"/>
      </w:pPr>
      <w:rPr/>
    </w:lvl>
  </w:abstractNum>
  <w:abstractNum w:abstractNumId="5">
    <w:lvl w:ilvl="0">
      <w:start w:val="2"/>
      <w:numFmt w:val="lowerLetter"/>
      <w:lvlText w:val="(%1)"/>
      <w:lvlJc w:val="start"/>
      <w:pPr>
        <w:tabs>
          <w:tab w:val="num" w:pos="1440"/>
        </w:tabs>
        <w:ind w:start="1440" w:hanging="720"/>
      </w:pPr>
      <w:rPr/>
    </w:lvl>
  </w:abstractNum>
  <w:abstractNum w:abstractNumId="6">
    <w:lvl w:ilvl="0">
      <w:start w:val="9"/>
      <w:numFmt w:val="decimal"/>
      <w:lvlText w:val="%1."/>
      <w:lvlJc w:val="start"/>
      <w:pPr>
        <w:tabs>
          <w:tab w:val="num" w:pos="720"/>
        </w:tabs>
        <w:ind w:start="720" w:hanging="720"/>
      </w:pPr>
      <w:rPr/>
    </w:lvl>
  </w:abstractNum>
  <w:abstractNum w:abstractNumId="7">
    <w:lvl w:ilvl="0">
      <w:start w:val="6"/>
      <w:numFmt w:val="decimal"/>
      <w:lvlText w:val="%1."/>
      <w:lvlJc w:val="start"/>
      <w:pPr>
        <w:tabs>
          <w:tab w:val="num" w:pos="720"/>
        </w:tabs>
        <w:ind w:start="720" w:hanging="720"/>
      </w:pPr>
      <w:rPr/>
    </w:lvl>
  </w:abstractNum>
  <w:abstractNum w:abstractNumId="8">
    <w:lvl w:ilvl="0">
      <w:start w:val="15"/>
      <w:numFmt w:val="decimal"/>
      <w:lvlText w:val="%1."/>
      <w:lvlJc w:val="start"/>
      <w:pPr>
        <w:tabs>
          <w:tab w:val="num" w:pos="720"/>
        </w:tabs>
        <w:ind w:start="720" w:hanging="72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ere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2000-05-12T19:29:00Z</dcterms:created>
  <dc:creator>jpeters4</dc:creator>
  <dc:description/>
  <dc:language>en-CA</dc:language>
  <cp:lastModifiedBy>Jason Michael Peters</cp:lastModifiedBy>
  <cp:lastPrinted>2000-05-16T08:14:00Z</cp:lastPrinted>
  <dcterms:modified xsi:type="dcterms:W3CDTF">2000-05-16T12:27:00Z</dcterms:modified>
  <cp:revision>9</cp:revision>
  <dc:subject/>
  <dc:title>INTELLIGENCE PRESS INFORMATION SERVICES AGREEMENT</dc:title>
</cp:coreProperties>
</file>