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Wessex Water – Proposed Insurance Specification</w:t>
      </w:r>
    </w:p>
    <w:p>
      <w:pPr>
        <w:pStyle w:val="Normal"/>
        <w:jc w:val="center"/>
        <w:rPr/>
      </w:pPr>
      <w:r>
        <w:rPr/>
      </w:r>
    </w:p>
    <w:p>
      <w:pPr>
        <w:pStyle w:val="Heading6"/>
        <w:numPr>
          <w:ilvl w:val="0"/>
          <w:numId w:val="0"/>
        </w:numPr>
        <w:spacing w:before="0" w:after="0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Property (ex breakdown) / Business Interruption/Money</w:t>
      </w:r>
    </w:p>
    <w:p>
      <w:pPr>
        <w:pStyle w:val="Normal"/>
        <w:rPr>
          <w:rFonts w:ascii="Times New Roman" w:hAnsi="Times New Roman" w:cs="Times New Roman"/>
          <w:i/>
          <w:i/>
          <w:sz w:val="28"/>
        </w:rPr>
      </w:pPr>
      <w:r>
        <w:rPr>
          <w:rFonts w:cs="Times New Roman"/>
          <w:i/>
          <w:sz w:val="28"/>
        </w:rPr>
      </w:r>
    </w:p>
    <w:p>
      <w:pPr>
        <w:pStyle w:val="Normal"/>
        <w:rPr/>
      </w:pPr>
      <w:r>
        <w:rPr>
          <w:b w:val="false"/>
          <w:sz w:val="28"/>
        </w:rPr>
        <w:t>Value:</w:t>
      </w:r>
      <w:r>
        <w:rPr>
          <w:i/>
          <w:sz w:val="28"/>
        </w:rPr>
        <w:tab/>
      </w:r>
      <w:r>
        <w:rPr>
          <w:b w:val="false"/>
          <w:sz w:val="28"/>
        </w:rPr>
        <w:t xml:space="preserve">£2.800,000,000 for Property </w:t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  <w:t>Limit:</w:t>
        <w:tab/>
        <w:tab/>
        <w:t>£100,000,000 First Loss for Property</w:t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  <w:tab/>
        <w:tab/>
        <w:t>£5,000,000 First Loss for Business Interruption / ICOW</w:t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  <w:tab/>
        <w:tab/>
        <w:t>£25,000 for Money</w:t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  <w:t>Excess:</w:t>
        <w:tab/>
        <w:t>£10,000 or £25,000 for Property and Business Interruption</w:t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  <w:tab/>
        <w:tab/>
        <w:t>Nil for Money</w:t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  <w:t>Exclusion:</w:t>
        <w:tab/>
        <w:t>Cover to exclude underground pipelines</w:t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Heading6"/>
        <w:numPr>
          <w:ilvl w:val="0"/>
          <w:numId w:val="0"/>
        </w:numPr>
        <w:spacing w:before="0" w:after="0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Terrorism</w:t>
      </w:r>
    </w:p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/>
          <w:i/>
        </w:rPr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>Limit:</w:t>
        <w:tab/>
        <w:t>£100,000,000 Excess Layer above standard £100,000 covered under Property policy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>Excess:</w:t>
        <w:tab/>
        <w:t>Within Property policy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  <w:t>Public &amp; Products Liability</w:t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>Limit:</w:t>
        <w:tab/>
        <w:t>£100,000,000 any one occurrence / unlimited and £100M any one occurrence (in annual aggregate for Products Liability)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>Excess:</w:t>
        <w:tab/>
        <w:t>£7,500 or £15,000 (all claims BI/PD)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 xml:space="preserve">Specific </w:t>
        <w:tab/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>Conditions : Sudden and unintended pollution only</w:t>
      </w:r>
    </w:p>
    <w:p>
      <w:pPr>
        <w:pStyle w:val="Normal"/>
        <w:ind w:start="1440" w:end="0"/>
        <w:rPr>
          <w:b w:val="false"/>
          <w:sz w:val="28"/>
        </w:rPr>
      </w:pPr>
      <w:r>
        <w:rPr>
          <w:b w:val="false"/>
          <w:sz w:val="28"/>
        </w:rPr>
        <w:t>Policy response to claims brought in USA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  <w:t>Directors &amp; Officers Liability</w:t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>Within Enron Corp. programme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hanging="1440" w:start="1440" w:end="0"/>
        <w:rPr>
          <w:b w:val="false"/>
          <w:i/>
          <w:i/>
          <w:sz w:val="28"/>
        </w:rPr>
      </w:pPr>
      <w:r>
        <w:rPr>
          <w:b w:val="false"/>
          <w:i/>
          <w:sz w:val="28"/>
        </w:rPr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  <w:t>Professional Indemnity</w:t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>Limit:</w:t>
        <w:tab/>
        <w:t>£10,000,000 anyone claim and in the annual aggregate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>Excess:</w:t>
        <w:tab/>
        <w:t>£10,000 or £25,000 each and every claim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>Activities:</w:t>
        <w:tab/>
        <w:t>SC Technology AG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ab/>
        <w:t>Miscellaneous Wessex Water activities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  <w:t>Fidelity Guarantee</w:t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>Limit:</w:t>
        <w:tab/>
        <w:t>£10,000,000 anyone claim and in annual aggregate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>Excess:</w:t>
        <w:tab/>
        <w:t>£50,000 each and every claim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  <w:t>Employers Liability</w:t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>Limit:</w:t>
        <w:tab/>
        <w:t>£25,000,000 any one occurrence / unlimited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>Excess:</w:t>
        <w:tab/>
        <w:t>Nil or £15,000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  <w:t>Motor Fleet</w:t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>Type:</w:t>
        <w:tab/>
        <w:t>Fully Comprehensive for company cars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ab/>
        <w:t>Third Party, Fire and Theft for all other vehicles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>Excess:</w:t>
        <w:tab/>
        <w:t>£500 for company cars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ab/>
        <w:t>Nil for all other vehicles</w:t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  <w:t>Broker Fees</w:t>
      </w:r>
    </w:p>
    <w:p>
      <w:pPr>
        <w:pStyle w:val="Normal"/>
        <w:ind w:hanging="1440" w:start="1440" w:end="0"/>
        <w:rPr>
          <w:i/>
          <w:i/>
        </w:rPr>
      </w:pPr>
      <w:r>
        <w:rPr>
          <w:i/>
        </w:rPr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  <w:t>Kingsbridge are willing to accept an annual payment of $20,000</w:t>
        <w:tab/>
      </w:r>
    </w:p>
    <w:p>
      <w:pPr>
        <w:pStyle w:val="Normal"/>
        <w:ind w:hanging="1440" w:start="1440" w:end="0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ZapfHumnst BT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1.%2"/>
      <w:lvlJc w:val="start"/>
      <w:pPr>
        <w:tabs>
          <w:tab w:val="num" w:pos="0"/>
        </w:tabs>
        <w:ind w:start="0" w:hanging="0"/>
      </w:pPr>
    </w:lvl>
    <w:lvl w:ilvl="2">
      <w:start w:val="1"/>
      <w:numFmt w:val="decimal"/>
      <w:lvlText w:val="%1.%2.%3"/>
      <w:lvlJc w:val="start"/>
      <w:pPr>
        <w:tabs>
          <w:tab w:val="num" w:pos="0"/>
        </w:tabs>
        <w:ind w:start="0" w:hanging="0"/>
      </w:pPr>
    </w:lvl>
    <w:lvl w:ilvl="3">
      <w:start w:val="1"/>
      <w:numFmt w:val="decimal"/>
      <w:lvlText w:val="%1.%2.%3.%4"/>
      <w:lvlJc w:val="start"/>
      <w:pPr>
        <w:tabs>
          <w:tab w:val="num" w:pos="0"/>
        </w:tabs>
        <w:ind w:start="0" w:hanging="0"/>
      </w:pPr>
    </w:lvl>
    <w:lvl w:ilvl="4">
      <w:start w:val="1"/>
      <w:numFmt w:val="decimal"/>
      <w:lvlText w:val="%1.%2.%3.%4.%5"/>
      <w:lvlJc w:val="start"/>
      <w:pPr>
        <w:tabs>
          <w:tab w:val="num" w:pos="0"/>
        </w:tabs>
        <w:ind w:start="0" w:hanging="0"/>
      </w:pPr>
    </w:lvl>
    <w:lvl w:ilvl="5">
      <w:start w:val="1"/>
      <w:numFmt w:val="decimal"/>
      <w:lvlText w:val="%1.%2.%3.%4.%5.%6"/>
      <w:lvlJc w:val="start"/>
      <w:pPr>
        <w:tabs>
          <w:tab w:val="num" w:pos="0"/>
        </w:tabs>
        <w:ind w:start="0" w:hanging="0"/>
      </w:pPr>
    </w:lvl>
    <w:lvl w:ilvl="6">
      <w:start w:val="1"/>
      <w:numFmt w:val="decimal"/>
      <w:lvlText w:val="%1.%2.%3.%4.%5.%6.%7"/>
      <w:lvlJc w:val="start"/>
      <w:pPr>
        <w:tabs>
          <w:tab w:val="num" w:pos="0"/>
        </w:tabs>
        <w:ind w:start="0" w:hanging="0"/>
      </w:pPr>
    </w:lvl>
    <w:lvl w:ilvl="7">
      <w:start w:val="1"/>
      <w:numFmt w:val="decimal"/>
      <w:lvlText w:val="%1.%2.%3.%4.%5.%6.%7.%8"/>
      <w:lvlJc w:val="start"/>
      <w:pPr>
        <w:tabs>
          <w:tab w:val="num" w:pos="0"/>
        </w:tabs>
        <w:ind w:start="0" w:hanging="0"/>
      </w:pPr>
    </w:lvl>
    <w:lvl w:ilvl="8">
      <w:start w:val="1"/>
      <w:numFmt w:val="decimal"/>
      <w:lvlText w:val="%1.%2.%3.%4.%5.%6.%7.%8.%9"/>
      <w:lvlJc w:val="start"/>
      <w:pPr>
        <w:tabs>
          <w:tab w:val="num" w:pos="0"/>
        </w:tabs>
        <w:ind w:start="0" w:hanging="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lowerLetter"/>
      <w:lvlText w:val="%1)"/>
      <w:lvlJc w:val="start"/>
      <w:pPr>
        <w:tabs>
          <w:tab w:val="num" w:pos="283"/>
        </w:tabs>
        <w:ind w:start="283" w:hanging="283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b/>
      <w:color w:val="auto"/>
      <w:sz w:val="32"/>
      <w:szCs w:val="20"/>
      <w:lang w:val="en-GB" w:eastAsia="zh-CN" w:bidi="hi-IN"/>
    </w:rPr>
  </w:style>
  <w:style w:type="paragraph" w:styleId="Heading1">
    <w:name w:val="heading 1"/>
    <w:basedOn w:val="Normal"/>
    <w:next w:val="BodyText"/>
    <w:qFormat/>
    <w:pPr>
      <w:pageBreakBefore/>
      <w:numPr>
        <w:ilvl w:val="0"/>
        <w:numId w:val="2"/>
      </w:numPr>
      <w:pBdr>
        <w:bottom w:val="single" w:sz="12" w:space="2" w:color="000000"/>
      </w:pBdr>
      <w:spacing w:before="0" w:after="240"/>
      <w:ind w:hanging="851" w:start="851" w:end="0"/>
      <w:outlineLvl w:val="0"/>
    </w:pPr>
    <w:rPr>
      <w:b w:val="false"/>
      <w:sz w:val="36"/>
    </w:rPr>
  </w:style>
  <w:style w:type="paragraph" w:styleId="Heading2">
    <w:name w:val="heading 2"/>
    <w:basedOn w:val="Normal"/>
    <w:next w:val="BodyText"/>
    <w:qFormat/>
    <w:pPr>
      <w:keepNext w:val="true"/>
      <w:numPr>
        <w:ilvl w:val="0"/>
        <w:numId w:val="2"/>
      </w:numPr>
      <w:spacing w:before="480" w:after="0"/>
      <w:ind w:hanging="851" w:start="851" w:end="0"/>
      <w:outlineLvl w:val="1"/>
    </w:pPr>
    <w:rPr>
      <w:b w:val="false"/>
      <w:sz w:val="28"/>
    </w:rPr>
  </w:style>
  <w:style w:type="paragraph" w:styleId="Heading3">
    <w:name w:val="heading 3"/>
    <w:basedOn w:val="Normal"/>
    <w:next w:val="BodyText"/>
    <w:qFormat/>
    <w:pPr>
      <w:keepNext w:val="true"/>
      <w:numPr>
        <w:ilvl w:val="0"/>
        <w:numId w:val="2"/>
      </w:numPr>
      <w:spacing w:before="360" w:after="0"/>
      <w:ind w:hanging="851" w:start="851" w:end="0"/>
      <w:outlineLvl w:val="2"/>
    </w:pPr>
    <w:rPr>
      <w:b w:val="false"/>
    </w:rPr>
  </w:style>
  <w:style w:type="paragraph" w:styleId="Heading4">
    <w:name w:val="heading 4"/>
    <w:basedOn w:val="Normal"/>
    <w:next w:val="BodyText"/>
    <w:qFormat/>
    <w:pPr>
      <w:keepNext w:val="true"/>
      <w:numPr>
        <w:ilvl w:val="0"/>
        <w:numId w:val="2"/>
      </w:numPr>
      <w:ind w:hanging="851" w:start="851" w:end="0"/>
      <w:outlineLvl w:val="3"/>
    </w:pPr>
    <w:rPr>
      <w:b w:val="false"/>
    </w:rPr>
  </w:style>
  <w:style w:type="paragraph" w:styleId="Heading5">
    <w:name w:val="heading 5"/>
    <w:basedOn w:val="Normal"/>
    <w:next w:val="Normal"/>
    <w:qFormat/>
    <w:pPr>
      <w:numPr>
        <w:ilvl w:val="0"/>
        <w:numId w:val="2"/>
      </w:numPr>
      <w:spacing w:before="0" w:after="60"/>
      <w:outlineLvl w:val="4"/>
    </w:pPr>
    <w:rPr>
      <w:rFonts w:ascii="Arial" w:hAnsi="Arial" w:cs="Arial"/>
    </w:rPr>
  </w:style>
  <w:style w:type="paragraph" w:styleId="Heading6">
    <w:name w:val="heading 6"/>
    <w:basedOn w:val="Normal"/>
    <w:next w:val="Normal"/>
    <w:qFormat/>
    <w:pPr>
      <w:numPr>
        <w:ilvl w:val="0"/>
        <w:numId w:val="2"/>
      </w:numPr>
      <w:spacing w:before="0" w:after="60"/>
      <w:outlineLvl w:val="5"/>
    </w:pPr>
    <w:rPr>
      <w:rFonts w:ascii="Arial" w:hAnsi="Arial" w:cs="Arial"/>
      <w:i/>
    </w:rPr>
  </w:style>
  <w:style w:type="paragraph" w:styleId="Heading7">
    <w:name w:val="heading 7"/>
    <w:basedOn w:val="Normal"/>
    <w:next w:val="Normal"/>
    <w:qFormat/>
    <w:pPr>
      <w:numPr>
        <w:ilvl w:val="0"/>
        <w:numId w:val="2"/>
      </w:numPr>
      <w:spacing w:before="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0"/>
        <w:numId w:val="2"/>
      </w:numPr>
      <w:spacing w:before="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Heading1"/>
    <w:next w:val="BodyText"/>
    <w:qFormat/>
    <w:pPr>
      <w:numPr>
        <w:ilvl w:val="0"/>
        <w:numId w:val="2"/>
      </w:numPr>
      <w:tabs>
        <w:tab w:val="clear" w:pos="720"/>
        <w:tab w:val="left" w:pos="360" w:leader="none"/>
      </w:tabs>
      <w:ind w:hanging="2381" w:start="2381" w:end="0"/>
      <w:outlineLvl w:val="8"/>
    </w:pPr>
    <w:rPr/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ZapfHumnst BT" w:hAnsi="ZapfHumnst BT" w:cs="ZapfHumnst B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uppressAutoHyphens w:val="true"/>
      <w:ind w:hanging="0" w:start="851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BodyText"/>
    <w:pPr>
      <w:ind w:hanging="0" w:start="1134" w:end="0"/>
    </w:pPr>
    <w:rPr/>
  </w:style>
  <w:style w:type="paragraph" w:styleId="FigureCaption">
    <w:name w:val="Figure Caption"/>
    <w:basedOn w:val="Normal"/>
    <w:qFormat/>
    <w:pPr>
      <w:spacing w:before="0" w:after="120"/>
      <w:ind w:hanging="0" w:start="1134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next w:val="Normal"/>
    <w:pPr>
      <w:tabs>
        <w:tab w:val="clear" w:pos="720"/>
        <w:tab w:val="right" w:pos="9072" w:leader="none"/>
      </w:tabs>
    </w:pPr>
    <w:rPr>
      <w:sz w:val="18"/>
    </w:rPr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Heading1nonumbering">
    <w:name w:val="Heading 1 no numbering"/>
    <w:basedOn w:val="Heading1"/>
    <w:next w:val="BodyText"/>
    <w:qFormat/>
    <w:pPr>
      <w:numPr>
        <w:ilvl w:val="0"/>
        <w:numId w:val="2"/>
      </w:numPr>
      <w:tabs>
        <w:tab w:val="clear" w:pos="720"/>
      </w:tabs>
      <w:ind w:firstLine="851" w:start="0" w:end="0"/>
      <w:outlineLvl w:val="9"/>
    </w:pPr>
    <w:rPr/>
  </w:style>
  <w:style w:type="paragraph" w:styleId="Heading2nonumbering">
    <w:name w:val="Heading 2 no numbering"/>
    <w:basedOn w:val="Heading2"/>
    <w:next w:val="BodyText"/>
    <w:qFormat/>
    <w:pPr>
      <w:numPr>
        <w:ilvl w:val="0"/>
        <w:numId w:val="2"/>
      </w:numPr>
      <w:tabs>
        <w:tab w:val="clear" w:pos="720"/>
      </w:tabs>
      <w:ind w:hanging="0" w:start="851" w:end="0"/>
      <w:outlineLvl w:val="9"/>
    </w:pPr>
    <w:rPr/>
  </w:style>
  <w:style w:type="paragraph" w:styleId="Heading3nonumbering">
    <w:name w:val="Heading 3 no numbering"/>
    <w:basedOn w:val="Heading3"/>
    <w:next w:val="BodyText"/>
    <w:qFormat/>
    <w:pPr>
      <w:numPr>
        <w:ilvl w:val="0"/>
        <w:numId w:val="2"/>
      </w:numPr>
      <w:tabs>
        <w:tab w:val="clear" w:pos="720"/>
      </w:tabs>
      <w:ind w:hanging="0" w:start="851" w:end="0"/>
      <w:outlineLvl w:val="9"/>
    </w:pPr>
    <w:rPr/>
  </w:style>
  <w:style w:type="paragraph" w:styleId="Heading4nonumbering">
    <w:name w:val="Heading 4 no numbering"/>
    <w:basedOn w:val="Heading4"/>
    <w:next w:val="BodyText"/>
    <w:qFormat/>
    <w:pPr>
      <w:numPr>
        <w:ilvl w:val="0"/>
        <w:numId w:val="2"/>
      </w:numPr>
      <w:tabs>
        <w:tab w:val="clear" w:pos="720"/>
      </w:tabs>
      <w:ind w:hanging="0" w:start="851" w:end="0"/>
      <w:outlineLvl w:val="9"/>
    </w:pPr>
    <w:rPr/>
  </w:style>
  <w:style w:type="paragraph" w:styleId="ListBullet">
    <w:name w:val="List Bullet"/>
    <w:basedOn w:val="Normal"/>
    <w:qFormat/>
    <w:pPr>
      <w:numPr>
        <w:ilvl w:val="0"/>
        <w:numId w:val="3"/>
      </w:numPr>
      <w:spacing w:before="60" w:after="60"/>
      <w:ind w:hanging="284" w:start="1135" w:end="567"/>
    </w:pPr>
    <w:rPr/>
  </w:style>
  <w:style w:type="paragraph" w:styleId="ListBulletIndent">
    <w:name w:val="List Bullet Indent"/>
    <w:basedOn w:val="ListBullet"/>
    <w:qFormat/>
    <w:pPr>
      <w:ind w:hanging="284" w:start="1418" w:end="567"/>
    </w:pPr>
    <w:rPr/>
  </w:style>
  <w:style w:type="paragraph" w:styleId="ListBulletnospace">
    <w:name w:val="List Bullet no space"/>
    <w:basedOn w:val="ListBullet"/>
    <w:qFormat/>
    <w:pPr>
      <w:spacing w:before="0" w:after="0"/>
    </w:pPr>
    <w:rPr/>
  </w:style>
  <w:style w:type="paragraph" w:styleId="ListNumber">
    <w:name w:val="List Number"/>
    <w:basedOn w:val="Normal"/>
    <w:qFormat/>
    <w:pPr>
      <w:numPr>
        <w:ilvl w:val="0"/>
        <w:numId w:val="4"/>
      </w:numPr>
      <w:spacing w:before="60" w:after="60"/>
      <w:ind w:hanging="284" w:start="1135" w:end="567"/>
    </w:pPr>
    <w:rPr/>
  </w:style>
  <w:style w:type="paragraph" w:styleId="ListLetter">
    <w:name w:val="List Letter"/>
    <w:basedOn w:val="ListNumber"/>
    <w:qFormat/>
    <w:pPr>
      <w:numPr>
        <w:ilvl w:val="0"/>
        <w:numId w:val="5"/>
      </w:numPr>
    </w:pPr>
    <w:rPr/>
  </w:style>
  <w:style w:type="paragraph" w:styleId="NormalIndent">
    <w:name w:val="Normal Indent"/>
    <w:basedOn w:val="Normal"/>
    <w:qFormat/>
    <w:pPr>
      <w:ind w:hanging="0" w:start="1134" w:end="0"/>
    </w:pPr>
    <w:rPr/>
  </w:style>
  <w:style w:type="paragraph" w:styleId="TableCaption">
    <w:name w:val="Table Caption"/>
    <w:basedOn w:val="Normal"/>
    <w:next w:val="Normal"/>
    <w:qFormat/>
    <w:pPr>
      <w:spacing w:before="240" w:after="120"/>
      <w:ind w:hanging="0" w:start="1134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Normal"/>
    <w:next w:val="Normal"/>
    <w:qFormat/>
    <w:pPr>
      <w:widowControl/>
      <w:suppressAutoHyphens w:val="true"/>
      <w:spacing w:before="60" w:after="60"/>
      <w:jc w:val="both"/>
    </w:pPr>
    <w:rPr>
      <w:b w:val="false"/>
      <w:sz w:val="20"/>
    </w:rPr>
  </w:style>
  <w:style w:type="paragraph" w:styleId="TableText">
    <w:name w:val="Table Text"/>
    <w:basedOn w:val="BodyText"/>
    <w:qFormat/>
    <w:pPr>
      <w:widowControl/>
      <w:spacing w:before="60" w:after="60"/>
      <w:jc w:val="both"/>
    </w:pPr>
    <w:rPr>
      <w:sz w:val="20"/>
    </w:rPr>
  </w:style>
  <w:style w:type="paragraph" w:styleId="TOC1">
    <w:name w:val="toc 1"/>
    <w:basedOn w:val="Normal"/>
    <w:next w:val="Normal"/>
    <w:pPr>
      <w:tabs>
        <w:tab w:val="clear" w:pos="720"/>
        <w:tab w:val="left" w:pos="1418" w:leader="none"/>
        <w:tab w:val="right" w:pos="8504" w:leader="none"/>
      </w:tabs>
      <w:spacing w:before="240" w:after="0"/>
      <w:ind w:hanging="0" w:start="851" w:end="0"/>
    </w:pPr>
    <w:rPr>
      <w:b w:val="false"/>
    </w:rPr>
  </w:style>
  <w:style w:type="paragraph" w:styleId="TOC2">
    <w:name w:val="toc 2"/>
    <w:basedOn w:val="TOC1"/>
    <w:next w:val="Normal"/>
    <w:pPr>
      <w:spacing w:before="120" w:after="0"/>
    </w:pPr>
    <w:rPr>
      <w:b/>
    </w:rPr>
  </w:style>
  <w:style w:type="paragraph" w:styleId="TOC3">
    <w:name w:val="toc 3"/>
    <w:basedOn w:val="TOC2"/>
    <w:next w:val="Normal"/>
    <w:pPr/>
    <w:rPr/>
  </w:style>
  <w:style w:type="paragraph" w:styleId="TOC4">
    <w:name w:val="toc 4"/>
    <w:basedOn w:val="TOC3"/>
    <w:next w:val="Normal"/>
    <w:pPr/>
    <w:rPr/>
  </w:style>
  <w:style w:type="paragraph" w:styleId="TOC5">
    <w:name w:val="toc 5"/>
    <w:basedOn w:val="Normal"/>
    <w:next w:val="Normal"/>
    <w:pPr>
      <w:tabs>
        <w:tab w:val="clear" w:pos="720"/>
        <w:tab w:val="right" w:pos="8504" w:leader="none"/>
      </w:tabs>
      <w:ind w:hanging="0" w:start="660" w:end="0"/>
    </w:pPr>
    <w:rPr>
      <w:sz w:val="18"/>
    </w:rPr>
  </w:style>
  <w:style w:type="paragraph" w:styleId="TOC6">
    <w:name w:val="toc 6"/>
    <w:basedOn w:val="Normal"/>
    <w:next w:val="Normal"/>
    <w:pPr>
      <w:tabs>
        <w:tab w:val="clear" w:pos="720"/>
        <w:tab w:val="right" w:pos="8504" w:leader="none"/>
      </w:tabs>
      <w:ind w:hanging="0" w:start="880" w:end="0"/>
    </w:pPr>
    <w:rPr>
      <w:sz w:val="18"/>
    </w:rPr>
  </w:style>
  <w:style w:type="paragraph" w:styleId="TOC7">
    <w:name w:val="toc 7"/>
    <w:basedOn w:val="Normal"/>
    <w:next w:val="Normal"/>
    <w:pPr>
      <w:tabs>
        <w:tab w:val="clear" w:pos="720"/>
        <w:tab w:val="right" w:pos="8504" w:leader="none"/>
      </w:tabs>
      <w:ind w:hanging="0" w:start="1100" w:end="0"/>
    </w:pPr>
    <w:rPr>
      <w:sz w:val="18"/>
    </w:rPr>
  </w:style>
  <w:style w:type="paragraph" w:styleId="TOC8">
    <w:name w:val="toc 8"/>
    <w:basedOn w:val="Normal"/>
    <w:next w:val="Normal"/>
    <w:pPr>
      <w:tabs>
        <w:tab w:val="clear" w:pos="720"/>
        <w:tab w:val="right" w:pos="8504" w:leader="none"/>
      </w:tabs>
      <w:ind w:hanging="0" w:start="1320" w:end="0"/>
    </w:pPr>
    <w:rPr>
      <w:sz w:val="18"/>
    </w:rPr>
  </w:style>
  <w:style w:type="paragraph" w:styleId="TOC9">
    <w:name w:val="toc 9"/>
    <w:basedOn w:val="TOC1"/>
    <w:next w:val="Normal"/>
    <w:pPr>
      <w:ind w:hanging="0" w:start="1701" w:end="0"/>
    </w:pPr>
    <w:rPr/>
  </w:style>
  <w:style w:type="paragraph" w:styleId="TocHead">
    <w:name w:val="Toc Head"/>
    <w:basedOn w:val="Normal"/>
    <w:next w:val="TOC1"/>
    <w:qFormat/>
    <w:pPr>
      <w:keepNext w:val="true"/>
      <w:keepLines/>
      <w:widowControl/>
      <w:tabs>
        <w:tab w:val="clear" w:pos="720"/>
        <w:tab w:val="right" w:pos="8505" w:leader="none"/>
      </w:tabs>
      <w:spacing w:before="180" w:after="0"/>
      <w:ind w:hanging="0" w:start="851" w:end="0"/>
    </w:pPr>
    <w:rPr>
      <w:i/>
    </w:rPr>
  </w:style>
  <w:style w:type="paragraph" w:styleId="TOCTitle">
    <w:name w:val="TOC Title"/>
    <w:basedOn w:val="Heading1"/>
    <w:next w:val="Normal"/>
    <w:qFormat/>
    <w:pPr>
      <w:numPr>
        <w:ilvl w:val="0"/>
        <w:numId w:val="2"/>
      </w:numPr>
      <w:tabs>
        <w:tab w:val="clear" w:pos="720"/>
      </w:tabs>
      <w:outlineLvl w:val="9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2001-10-31T10:48:00Z</dcterms:created>
  <dc:creator>Wessex Water</dc:creator>
  <dc:description/>
  <dc:language>en-CA</dc:language>
  <cp:lastModifiedBy>Wessex Water</cp:lastModifiedBy>
  <cp:lastPrinted>2001-10-31T13:14:00Z</cp:lastPrinted>
  <dcterms:modified xsi:type="dcterms:W3CDTF">2001-10-31T10:48:00Z</dcterms:modified>
  <cp:revision>2</cp:revision>
  <dc:subject/>
  <dc:title>Insurance Coverage’s Required</dc:title>
</cp:coreProperties>
</file>