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Heading2"/>
        <w:ind w:hanging="0" w:start="0"/>
        <w:rPr>
          <w:sz w:val="44"/>
        </w:rPr>
      </w:pPr>
      <w:r>
        <w:rPr>
          <w:sz w:val="44"/>
        </w:rPr>
        <w:t>Kingsbridge Risk Solutions Profile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pPr>
      <w:r>
        <w:rPr/>
        <w:t>K</w:t>
      </w:r>
      <w:r>
        <w:rPr>
          <w:rFonts w:cs="Arial" w:ascii="Arial" w:hAnsi="Arial"/>
        </w:rPr>
        <w:t xml:space="preserve">ingsbridge was formed in January this year as a result of a Management Buy-out from the major UK based International Insurance Broker </w:t>
      </w:r>
      <w:r>
        <w:rPr>
          <w:rFonts w:cs="Arial" w:ascii="Arial" w:hAnsi="Arial"/>
          <w:b/>
          <w:i/>
        </w:rPr>
        <w:t>JLT Group Plc</w:t>
      </w:r>
      <w:r>
        <w:rPr>
          <w:rFonts w:cs="Arial" w:ascii="Arial" w:hAnsi="Arial"/>
        </w:rPr>
        <w:t>.  The Key Executives have established an Insurance Broking Business based on the following core business principles.</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color w:val="0000FF"/>
        </w:rPr>
      </w:pPr>
      <w:r>
        <w:rPr>
          <w:rFonts w:cs="Arial" w:ascii="Arial" w:hAnsi="Arial"/>
          <w:color w:val="0000FF"/>
        </w:rPr>
        <w:t>The client comes first and receives a first class service</w:t>
      </w:r>
    </w:p>
    <w:p>
      <w:pPr>
        <w:pStyle w:val="Normal"/>
        <w:numPr>
          <w:ilvl w:val="0"/>
          <w:numId w:val="3"/>
        </w:numPr>
        <w:jc w:val="both"/>
        <w:rPr>
          <w:rFonts w:ascii="Arial" w:hAnsi="Arial" w:cs="Arial"/>
          <w:color w:val="0000FF"/>
        </w:rPr>
      </w:pPr>
      <w:r>
        <w:rPr>
          <w:rFonts w:cs="Arial" w:ascii="Arial" w:hAnsi="Arial"/>
          <w:color w:val="0000FF"/>
        </w:rPr>
        <w:t>Experienced staff focused on clients’ needs</w:t>
      </w:r>
    </w:p>
    <w:p>
      <w:pPr>
        <w:pStyle w:val="Normal"/>
        <w:numPr>
          <w:ilvl w:val="0"/>
          <w:numId w:val="3"/>
        </w:numPr>
        <w:jc w:val="both"/>
        <w:rPr>
          <w:rFonts w:ascii="Arial" w:hAnsi="Arial" w:cs="Arial"/>
          <w:color w:val="0000FF"/>
        </w:rPr>
      </w:pPr>
      <w:r>
        <w:rPr>
          <w:rFonts w:cs="Arial" w:ascii="Arial" w:hAnsi="Arial"/>
          <w:color w:val="0000FF"/>
        </w:rPr>
        <w:t>Business focused on key business sectors, in particular UK Water and Utility Industries</w:t>
      </w:r>
    </w:p>
    <w:p>
      <w:pPr>
        <w:pStyle w:val="Normal"/>
        <w:jc w:val="both"/>
        <w:rPr>
          <w:rFonts w:ascii="Arial" w:hAnsi="Arial" w:cs="Arial"/>
          <w:color w:val="0000FF"/>
        </w:rPr>
      </w:pPr>
      <w:r>
        <w:rPr>
          <w:rFonts w:cs="Arial" w:ascii="Arial" w:hAnsi="Arial"/>
          <w:color w:val="0000FF"/>
        </w:rPr>
      </w:r>
    </w:p>
    <w:p>
      <w:pPr>
        <w:pStyle w:val="BodyText2"/>
        <w:rPr>
          <w:sz w:val="20"/>
        </w:rPr>
      </w:pPr>
      <w:r>
        <w:rPr>
          <w:sz w:val="20"/>
        </w:rPr>
        <w:t>Corporate Governance and Compliance are vitally important and Kingsbridge are already members of the General Insurance Standard Council (GISC) and also has it’s own internal Regulatory and Compliance procedures.  Whilst unable to guarantee the security of any insurer, Kingsbridge has direct access to Standard and Poor’s  to ensure that at the time of placement all client covers are placed with insurers of a satisfactory financial rating.</w:t>
      </w:r>
    </w:p>
    <w:p>
      <w:pPr>
        <w:pStyle w:val="Normal"/>
        <w:jc w:val="both"/>
        <w:rPr>
          <w:rFonts w:ascii="Arial" w:hAnsi="Arial" w:cs="Arial"/>
          <w:sz w:val="20"/>
        </w:rPr>
      </w:pPr>
      <w:r>
        <w:rPr>
          <w:rFonts w:cs="Arial" w:ascii="Arial" w:hAnsi="Arial"/>
          <w:sz w:val="20"/>
        </w:rPr>
      </w:r>
    </w:p>
    <w:p>
      <w:pPr>
        <w:pStyle w:val="Heading3"/>
        <w:ind w:hanging="0" w:start="0"/>
        <w:jc w:val="both"/>
        <w:rPr>
          <w:sz w:val="20"/>
        </w:rPr>
      </w:pPr>
      <w:r>
        <w:rPr>
          <w:sz w:val="20"/>
        </w:rPr>
        <w:t>EXPERIENCED STAFF</w:t>
      </w:r>
    </w:p>
    <w:p>
      <w:pPr>
        <w:pStyle w:val="Normal"/>
        <w:jc w:val="both"/>
        <w:rPr>
          <w:rFonts w:ascii="Arial" w:hAnsi="Arial" w:cs="Arial"/>
          <w:sz w:val="20"/>
        </w:rPr>
      </w:pPr>
      <w:r>
        <w:rPr>
          <w:rFonts w:cs="Arial" w:ascii="Arial" w:hAnsi="Arial"/>
          <w:sz w:val="20"/>
        </w:rPr>
      </w:r>
    </w:p>
    <w:p>
      <w:pPr>
        <w:pStyle w:val="Normal"/>
        <w:jc w:val="both"/>
        <w:rPr>
          <w:rFonts w:ascii="Arial" w:hAnsi="Arial" w:cs="Arial"/>
        </w:rPr>
      </w:pPr>
      <w:r>
        <w:rPr>
          <w:rFonts w:cs="Arial" w:ascii="Arial" w:hAnsi="Arial"/>
        </w:rPr>
        <w:t>Kingsbridge’s key staff will continue to be focused and dedicated to delivering a first class service to Wessex Water, their roles and responsibilities are as follows:-</w:t>
      </w:r>
    </w:p>
    <w:p>
      <w:pPr>
        <w:pStyle w:val="Normal"/>
        <w:jc w:val="both"/>
        <w:rPr>
          <w:rFonts w:ascii="Arial" w:hAnsi="Arial" w:cs="Arial"/>
        </w:rPr>
      </w:pPr>
      <w:r>
        <w:rPr>
          <w:rFonts w:cs="Arial" w:ascii="Arial" w:hAnsi="Arial"/>
        </w:rPr>
      </w:r>
    </w:p>
    <w:p>
      <w:pPr>
        <w:pStyle w:val="Normal"/>
        <w:jc w:val="both"/>
        <w:rPr>
          <w:rFonts w:ascii="Arial" w:hAnsi="Arial" w:cs="Arial"/>
          <w:color w:val="FF0000"/>
        </w:rPr>
      </w:pPr>
      <w:r>
        <w:rPr>
          <w:rFonts w:cs="Arial" w:ascii="Arial" w:hAnsi="Arial"/>
          <w:color w:val="FF0000"/>
        </w:rPr>
        <w:t>Steve Wynne</w:t>
        <w:tab/>
        <w:tab/>
        <w:tab/>
        <w:t>-</w:t>
        <w:tab/>
        <w:tab/>
        <w:t>Account Director</w:t>
      </w:r>
    </w:p>
    <w:p>
      <w:pPr>
        <w:pStyle w:val="Normal"/>
        <w:jc w:val="both"/>
        <w:rPr>
          <w:rFonts w:ascii="Arial" w:hAnsi="Arial" w:cs="Arial"/>
          <w:color w:val="FF0000"/>
        </w:rPr>
      </w:pPr>
      <w:r>
        <w:rPr>
          <w:rFonts w:cs="Arial" w:ascii="Arial" w:hAnsi="Arial"/>
          <w:color w:val="FF0000"/>
        </w:rPr>
      </w:r>
    </w:p>
    <w:p>
      <w:pPr>
        <w:pStyle w:val="Normal"/>
        <w:jc w:val="both"/>
        <w:rPr>
          <w:rFonts w:ascii="Arial" w:hAnsi="Arial" w:cs="Arial"/>
          <w:color w:val="FF0000"/>
        </w:rPr>
      </w:pPr>
      <w:r>
        <w:rPr>
          <w:rFonts w:cs="Arial" w:ascii="Arial" w:hAnsi="Arial"/>
          <w:color w:val="FF0000"/>
        </w:rPr>
        <w:t>Russell Hawkins</w:t>
        <w:tab/>
        <w:tab/>
        <w:t>-</w:t>
        <w:tab/>
        <w:tab/>
        <w:t>Account Executive / Construction &amp; Liability</w:t>
      </w:r>
    </w:p>
    <w:p>
      <w:pPr>
        <w:pStyle w:val="Normal"/>
        <w:jc w:val="both"/>
        <w:rPr>
          <w:rFonts w:ascii="Arial" w:hAnsi="Arial" w:cs="Arial"/>
          <w:color w:val="FF0000"/>
        </w:rPr>
      </w:pPr>
      <w:r>
        <w:rPr>
          <w:rFonts w:cs="Arial" w:ascii="Arial" w:hAnsi="Arial"/>
          <w:color w:val="FF0000"/>
        </w:rPr>
        <w:t>(Consultant)</w:t>
        <w:tab/>
        <w:tab/>
        <w:tab/>
        <w:tab/>
        <w:tab/>
        <w:t>Risks</w:t>
      </w:r>
    </w:p>
    <w:p>
      <w:pPr>
        <w:pStyle w:val="Normal"/>
        <w:jc w:val="both"/>
        <w:rPr>
          <w:rFonts w:ascii="Arial" w:hAnsi="Arial" w:cs="Arial"/>
          <w:color w:val="FF0000"/>
        </w:rPr>
      </w:pPr>
      <w:r>
        <w:rPr>
          <w:rFonts w:cs="Arial" w:ascii="Arial" w:hAnsi="Arial"/>
          <w:color w:val="FF0000"/>
        </w:rPr>
      </w:r>
    </w:p>
    <w:p>
      <w:pPr>
        <w:pStyle w:val="Normal"/>
        <w:jc w:val="both"/>
        <w:rPr>
          <w:rFonts w:ascii="Arial" w:hAnsi="Arial" w:cs="Arial"/>
          <w:color w:val="FF0000"/>
        </w:rPr>
      </w:pPr>
      <w:r>
        <w:rPr>
          <w:rFonts w:cs="Arial" w:ascii="Arial" w:hAnsi="Arial"/>
          <w:color w:val="FF0000"/>
        </w:rPr>
        <w:t>John Loscombe</w:t>
        <w:tab/>
        <w:tab/>
        <w:tab/>
        <w:t>-</w:t>
        <w:tab/>
        <w:tab/>
        <w:t>Programme Design &amp; Claims Analysis</w:t>
      </w:r>
    </w:p>
    <w:p>
      <w:pPr>
        <w:pStyle w:val="Normal"/>
        <w:jc w:val="both"/>
        <w:rPr>
          <w:rFonts w:ascii="Arial" w:hAnsi="Arial" w:cs="Arial"/>
          <w:color w:val="FF0000"/>
        </w:rPr>
      </w:pPr>
      <w:r>
        <w:rPr>
          <w:rFonts w:cs="Arial" w:ascii="Arial" w:hAnsi="Arial"/>
          <w:color w:val="FF0000"/>
        </w:rPr>
        <w:t>(Consultant)</w:t>
      </w:r>
    </w:p>
    <w:p>
      <w:pPr>
        <w:pStyle w:val="Normal"/>
        <w:jc w:val="both"/>
        <w:rPr>
          <w:rFonts w:ascii="Arial" w:hAnsi="Arial" w:cs="Arial"/>
          <w:color w:val="FF0000"/>
        </w:rPr>
      </w:pPr>
      <w:r>
        <w:rPr>
          <w:rFonts w:cs="Arial" w:ascii="Arial" w:hAnsi="Arial"/>
          <w:color w:val="FF0000"/>
        </w:rPr>
      </w:r>
    </w:p>
    <w:p>
      <w:pPr>
        <w:pStyle w:val="Normal"/>
        <w:jc w:val="both"/>
        <w:rPr>
          <w:rFonts w:ascii="Arial" w:hAnsi="Arial" w:cs="Arial"/>
          <w:color w:val="FF0000"/>
        </w:rPr>
      </w:pPr>
      <w:r>
        <w:rPr>
          <w:rFonts w:cs="Arial" w:ascii="Arial" w:hAnsi="Arial"/>
          <w:color w:val="FF0000"/>
        </w:rPr>
        <w:t>Tony Bird</w:t>
        <w:tab/>
        <w:tab/>
        <w:tab/>
        <w:t>-</w:t>
        <w:tab/>
        <w:tab/>
        <w:t>Broking &amp; Claims Management</w:t>
      </w:r>
    </w:p>
    <w:p>
      <w:pPr>
        <w:pStyle w:val="Normal"/>
        <w:jc w:val="both"/>
        <w:rPr>
          <w:rFonts w:ascii="Arial" w:hAnsi="Arial" w:cs="Arial"/>
          <w:color w:val="FF0000"/>
        </w:rPr>
      </w:pPr>
      <w:r>
        <w:rPr>
          <w:rFonts w:cs="Arial" w:ascii="Arial" w:hAnsi="Arial"/>
          <w:color w:val="FF0000"/>
        </w:rPr>
      </w:r>
    </w:p>
    <w:p>
      <w:pPr>
        <w:pStyle w:val="Normal"/>
        <w:jc w:val="both"/>
        <w:rPr>
          <w:rFonts w:ascii="Arial" w:hAnsi="Arial" w:cs="Arial"/>
          <w:color w:val="FF0000"/>
        </w:rPr>
      </w:pPr>
      <w:r>
        <w:rPr>
          <w:rFonts w:cs="Arial" w:ascii="Arial" w:hAnsi="Arial"/>
          <w:color w:val="FF0000"/>
        </w:rPr>
      </w:r>
    </w:p>
    <w:p>
      <w:pPr>
        <w:pStyle w:val="BodyText"/>
        <w:jc w:val="both"/>
        <w:rPr>
          <w:sz w:val="20"/>
        </w:rPr>
      </w:pPr>
      <w:r>
        <w:rPr>
          <w:sz w:val="20"/>
        </w:rPr>
        <w:t>Steve, Russell and John have all been involved with Wessex Water for the last 10 years.  Overall Kingsbridge provides in excess of 100 years of practical Insurance industry experience.</w:t>
      </w:r>
    </w:p>
    <w:p>
      <w:pPr>
        <w:pStyle w:val="Normal"/>
        <w:jc w:val="both"/>
        <w:rPr>
          <w:rFonts w:ascii="Arial" w:hAnsi="Arial" w:cs="Arial"/>
          <w:sz w:val="20"/>
        </w:rPr>
      </w:pPr>
      <w:r>
        <w:rPr>
          <w:rFonts w:cs="Arial" w:ascii="Arial" w:hAnsi="Arial"/>
          <w:sz w:val="20"/>
        </w:rPr>
      </w:r>
    </w:p>
    <w:p>
      <w:pPr>
        <w:pStyle w:val="Heading5"/>
        <w:ind w:hanging="0" w:start="0"/>
        <w:rPr>
          <w:sz w:val="20"/>
        </w:rPr>
      </w:pPr>
      <w:r>
        <w:rPr>
          <w:sz w:val="20"/>
        </w:rPr>
        <w:t>BUSINESS FOCUS</w:t>
      </w:r>
    </w:p>
    <w:p>
      <w:pPr>
        <w:pStyle w:val="Normal"/>
        <w:jc w:val="both"/>
        <w:rPr>
          <w:rFonts w:ascii="Arial" w:hAnsi="Arial" w:cs="Arial"/>
          <w:sz w:val="20"/>
        </w:rPr>
      </w:pPr>
      <w:r>
        <w:rPr>
          <w:rFonts w:cs="Arial" w:ascii="Arial" w:hAnsi="Arial"/>
          <w:sz w:val="20"/>
        </w:rPr>
      </w:r>
    </w:p>
    <w:p>
      <w:pPr>
        <w:pStyle w:val="Normal"/>
        <w:jc w:val="both"/>
        <w:rPr>
          <w:rFonts w:ascii="Arial" w:hAnsi="Arial" w:cs="Arial"/>
        </w:rPr>
      </w:pPr>
      <w:r>
        <w:rPr>
          <w:rFonts w:cs="Arial" w:ascii="Arial" w:hAnsi="Arial"/>
        </w:rPr>
        <w:t>To ensure that we provide the very best to our Commercial clients, Kingsbridge focuses on a small number of key business sectors, the primary one being the UK Water and Utility Industries.  On behalf of Wessex Water and a number of UK Utility clients Kingsbridge provides a wide range of services including:-</w:t>
      </w:r>
    </w:p>
    <w:p>
      <w:pPr>
        <w:pStyle w:val="Normal"/>
        <w:jc w:val="both"/>
        <w:rPr>
          <w:rFonts w:ascii="Arial" w:hAnsi="Arial" w:cs="Arial"/>
        </w:rPr>
      </w:pPr>
      <w:r>
        <w:rPr>
          <w:rFonts w:cs="Arial" w:ascii="Arial" w:hAnsi="Arial"/>
        </w:rPr>
      </w:r>
    </w:p>
    <w:p>
      <w:pPr>
        <w:pStyle w:val="Normal"/>
        <w:numPr>
          <w:ilvl w:val="0"/>
          <w:numId w:val="15"/>
        </w:numPr>
        <w:jc w:val="both"/>
        <w:rPr>
          <w:rFonts w:ascii="Arial" w:hAnsi="Arial" w:cs="Arial"/>
        </w:rPr>
      </w:pPr>
      <w:r>
        <w:rPr>
          <w:rFonts w:cs="Arial" w:ascii="Arial" w:hAnsi="Arial"/>
        </w:rPr>
        <w:t>Transactional Insurance Broking</w:t>
      </w:r>
    </w:p>
    <w:p>
      <w:pPr>
        <w:pStyle w:val="Normal"/>
        <w:numPr>
          <w:ilvl w:val="0"/>
          <w:numId w:val="15"/>
        </w:numPr>
        <w:jc w:val="both"/>
        <w:rPr>
          <w:rFonts w:ascii="Arial" w:hAnsi="Arial" w:cs="Arial"/>
        </w:rPr>
      </w:pPr>
      <w:r>
        <w:rPr>
          <w:rFonts w:cs="Arial" w:ascii="Arial" w:hAnsi="Arial"/>
        </w:rPr>
        <w:t xml:space="preserve">Risk Management / Risk Assessment </w:t>
      </w:r>
    </w:p>
    <w:p>
      <w:pPr>
        <w:pStyle w:val="Normal"/>
        <w:numPr>
          <w:ilvl w:val="0"/>
          <w:numId w:val="15"/>
        </w:numPr>
        <w:jc w:val="both"/>
        <w:rPr>
          <w:rFonts w:ascii="Arial" w:hAnsi="Arial" w:cs="Arial"/>
        </w:rPr>
      </w:pPr>
      <w:r>
        <w:rPr>
          <w:rFonts w:cs="Arial" w:ascii="Arial" w:hAnsi="Arial"/>
        </w:rPr>
        <w:t>Contract Vetting</w:t>
      </w:r>
    </w:p>
    <w:p>
      <w:pPr>
        <w:pStyle w:val="Normal"/>
        <w:numPr>
          <w:ilvl w:val="0"/>
          <w:numId w:val="15"/>
        </w:numPr>
        <w:jc w:val="both"/>
        <w:rPr>
          <w:rFonts w:ascii="Arial" w:hAnsi="Arial" w:cs="Arial"/>
        </w:rPr>
      </w:pPr>
      <w:r>
        <w:rPr>
          <w:rFonts w:cs="Arial" w:ascii="Arial" w:hAnsi="Arial"/>
        </w:rPr>
        <w:t>Risk Financing</w:t>
      </w:r>
    </w:p>
    <w:p>
      <w:pPr>
        <w:pStyle w:val="Normal"/>
        <w:numPr>
          <w:ilvl w:val="0"/>
          <w:numId w:val="15"/>
        </w:numPr>
        <w:jc w:val="both"/>
        <w:rPr>
          <w:rFonts w:ascii="Arial" w:hAnsi="Arial" w:cs="Arial"/>
        </w:rPr>
      </w:pPr>
      <w:r>
        <w:rPr>
          <w:rFonts w:cs="Arial" w:ascii="Arial" w:hAnsi="Arial"/>
        </w:rPr>
        <w:t>Captive and Self-Insurance Management</w:t>
      </w:r>
    </w:p>
    <w:p>
      <w:pPr>
        <w:pStyle w:val="Normal"/>
        <w:numPr>
          <w:ilvl w:val="0"/>
          <w:numId w:val="15"/>
        </w:numPr>
        <w:jc w:val="both"/>
        <w:rPr>
          <w:rFonts w:ascii="Arial" w:hAnsi="Arial" w:cs="Arial"/>
        </w:rPr>
      </w:pPr>
      <w:r>
        <w:rPr>
          <w:rFonts w:cs="Arial" w:ascii="Arial" w:hAnsi="Arial"/>
        </w:rPr>
        <w:t>Employee Benefits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Kingsbridge delivers services to pre-agreed standards and Wessex Water’s day to day risk and insurance requirements will continue to be dealt with immediately.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r>
        <w:br w:type="page"/>
      </w:r>
    </w:p>
    <w:p>
      <w:pPr>
        <w:pStyle w:val="Heading3"/>
        <w:ind w:hanging="0" w:start="0"/>
        <w:jc w:val="both"/>
        <w:rPr>
          <w:rFonts w:ascii="Arial" w:hAnsi="Arial" w:cs="Arial"/>
          <w:sz w:val="20"/>
        </w:rPr>
      </w:pPr>
      <w:r>
        <w:rPr>
          <w:rFonts w:cs="Arial"/>
          <w:sz w:val="20"/>
        </w:rPr>
      </w:r>
    </w:p>
    <w:p>
      <w:pPr>
        <w:pStyle w:val="Normal"/>
        <w:rPr>
          <w:sz w:val="20"/>
        </w:rPr>
      </w:pPr>
      <w:r>
        <w:rPr>
          <w:sz w:val="20"/>
        </w:rPr>
      </w:r>
    </w:p>
    <w:p>
      <w:pPr>
        <w:pStyle w:val="Normal"/>
        <w:rPr/>
      </w:pPr>
      <w:r>
        <w:rPr/>
      </w:r>
    </w:p>
    <w:p>
      <w:pPr>
        <w:pStyle w:val="Heading3"/>
        <w:ind w:hanging="0" w:start="0"/>
        <w:jc w:val="both"/>
        <w:rPr>
          <w:sz w:val="20"/>
        </w:rPr>
      </w:pPr>
      <w:r>
        <w:rPr>
          <w:sz w:val="20"/>
        </w:rPr>
        <w:t>WATER INDUSTRY EXPERIENCE</w:t>
      </w:r>
    </w:p>
    <w:p>
      <w:pPr>
        <w:pStyle w:val="Normal"/>
        <w:jc w:val="both"/>
        <w:rPr>
          <w:rFonts w:ascii="Arial" w:hAnsi="Arial" w:cs="Arial"/>
          <w:sz w:val="20"/>
        </w:rPr>
      </w:pPr>
      <w:r>
        <w:rPr>
          <w:rFonts w:cs="Arial" w:ascii="Arial" w:hAnsi="Arial"/>
          <w:sz w:val="20"/>
        </w:rPr>
      </w:r>
    </w:p>
    <w:p>
      <w:pPr>
        <w:pStyle w:val="Normal"/>
        <w:jc w:val="both"/>
        <w:rPr>
          <w:rFonts w:ascii="Arial" w:hAnsi="Arial" w:cs="Arial"/>
        </w:rPr>
      </w:pPr>
      <w:r>
        <w:rPr>
          <w:rFonts w:cs="Arial" w:ascii="Arial" w:hAnsi="Arial"/>
        </w:rPr>
        <w:t>In addition to Wessex Water, Kingsbridge work for a number of other UK Water and Utility companies, and in particular provide specialist advice in the following key risk areas:-</w:t>
      </w:r>
    </w:p>
    <w:p>
      <w:pPr>
        <w:pStyle w:val="Normal"/>
        <w:jc w:val="both"/>
        <w:rPr>
          <w:rFonts w:ascii="Arial" w:hAnsi="Arial" w:cs="Arial"/>
        </w:rPr>
      </w:pPr>
      <w:r>
        <w:rPr>
          <w:rFonts w:cs="Arial" w:ascii="Arial" w:hAnsi="Arial"/>
        </w:rPr>
      </w:r>
    </w:p>
    <w:p>
      <w:pPr>
        <w:pStyle w:val="Normal"/>
        <w:numPr>
          <w:ilvl w:val="0"/>
          <w:numId w:val="9"/>
        </w:numPr>
        <w:jc w:val="both"/>
        <w:rPr>
          <w:rFonts w:ascii="Arial" w:hAnsi="Arial" w:cs="Arial"/>
        </w:rPr>
      </w:pPr>
      <w:r>
        <w:rPr>
          <w:rFonts w:cs="Arial" w:ascii="Arial" w:hAnsi="Arial"/>
        </w:rPr>
        <w:t>Catastrophe Liability Facilities up to $500 million</w:t>
      </w:r>
    </w:p>
    <w:p>
      <w:pPr>
        <w:pStyle w:val="Normal"/>
        <w:numPr>
          <w:ilvl w:val="0"/>
          <w:numId w:val="7"/>
        </w:numPr>
        <w:jc w:val="both"/>
        <w:rPr>
          <w:rFonts w:ascii="Arial" w:hAnsi="Arial" w:cs="Arial"/>
        </w:rPr>
      </w:pPr>
      <w:r>
        <w:rPr>
          <w:rFonts w:cs="Arial" w:ascii="Arial" w:hAnsi="Arial"/>
        </w:rPr>
        <w:t>Property Damage and Business Interruption Cover relevant to the industry</w:t>
      </w:r>
    </w:p>
    <w:p>
      <w:pPr>
        <w:pStyle w:val="Normal"/>
        <w:numPr>
          <w:ilvl w:val="0"/>
          <w:numId w:val="19"/>
        </w:numPr>
        <w:jc w:val="both"/>
        <w:rPr>
          <w:rFonts w:ascii="Arial" w:hAnsi="Arial" w:cs="Arial"/>
        </w:rPr>
      </w:pPr>
      <w:r>
        <w:rPr>
          <w:rFonts w:cs="Arial" w:ascii="Arial" w:hAnsi="Arial"/>
        </w:rPr>
        <w:t>Environmental Impairment Liability Protection</w:t>
      </w:r>
    </w:p>
    <w:p>
      <w:pPr>
        <w:pStyle w:val="Normal"/>
        <w:numPr>
          <w:ilvl w:val="0"/>
          <w:numId w:val="11"/>
        </w:numPr>
        <w:jc w:val="both"/>
        <w:rPr>
          <w:rFonts w:ascii="Arial" w:hAnsi="Arial" w:cs="Arial"/>
        </w:rPr>
      </w:pPr>
      <w:r>
        <w:rPr>
          <w:rFonts w:cs="Arial" w:ascii="Arial" w:hAnsi="Arial"/>
        </w:rPr>
        <w:t>Public Liability Coverage including Strict Liability</w:t>
      </w:r>
    </w:p>
    <w:p>
      <w:pPr>
        <w:pStyle w:val="Normal"/>
        <w:numPr>
          <w:ilvl w:val="0"/>
          <w:numId w:val="21"/>
        </w:numPr>
        <w:jc w:val="both"/>
        <w:rPr>
          <w:rFonts w:ascii="Arial" w:hAnsi="Arial" w:cs="Arial"/>
        </w:rPr>
      </w:pPr>
      <w:r>
        <w:rPr>
          <w:rFonts w:cs="Arial" w:ascii="Arial" w:hAnsi="Arial"/>
        </w:rPr>
        <w:t>Twin Tower Cover to protect Regulated and Non-Regulated businesses ensuring compliance with OFWAT regulations</w:t>
      </w:r>
    </w:p>
    <w:p>
      <w:pPr>
        <w:pStyle w:val="Normal"/>
        <w:numPr>
          <w:ilvl w:val="0"/>
          <w:numId w:val="2"/>
        </w:numPr>
        <w:jc w:val="both"/>
        <w:rPr>
          <w:rFonts w:ascii="Arial" w:hAnsi="Arial" w:cs="Arial"/>
        </w:rPr>
      </w:pPr>
      <w:r>
        <w:rPr>
          <w:rFonts w:cs="Arial" w:ascii="Arial" w:hAnsi="Arial"/>
        </w:rPr>
        <w:t>UK and Overseas Annual and single project Contract Works policies</w:t>
      </w:r>
    </w:p>
    <w:p>
      <w:pPr>
        <w:pStyle w:val="Normal"/>
        <w:numPr>
          <w:ilvl w:val="0"/>
          <w:numId w:val="10"/>
        </w:numPr>
        <w:jc w:val="both"/>
        <w:rPr>
          <w:rFonts w:ascii="Arial" w:hAnsi="Arial" w:cs="Arial"/>
        </w:rPr>
      </w:pPr>
      <w:r>
        <w:rPr>
          <w:rFonts w:cs="Arial" w:ascii="Arial" w:hAnsi="Arial"/>
        </w:rPr>
        <w:t>Annual and Single Project Professional Indemnity Cover</w:t>
      </w:r>
    </w:p>
    <w:p>
      <w:pPr>
        <w:pStyle w:val="Normal"/>
        <w:numPr>
          <w:ilvl w:val="0"/>
          <w:numId w:val="13"/>
        </w:numPr>
        <w:jc w:val="both"/>
        <w:rPr>
          <w:rFonts w:ascii="Arial" w:hAnsi="Arial" w:cs="Arial"/>
        </w:rPr>
      </w:pPr>
      <w:r>
        <w:rPr>
          <w:rFonts w:cs="Arial" w:ascii="Arial" w:hAnsi="Arial"/>
        </w:rPr>
        <w:t>Force Majure, Liquidated Damages, Latent Defects Insurance</w:t>
      </w:r>
    </w:p>
    <w:p>
      <w:pPr>
        <w:pStyle w:val="Normal"/>
        <w:numPr>
          <w:ilvl w:val="0"/>
          <w:numId w:val="14"/>
        </w:numPr>
        <w:jc w:val="both"/>
        <w:rPr>
          <w:rFonts w:ascii="Arial" w:hAnsi="Arial" w:cs="Arial"/>
        </w:rPr>
      </w:pPr>
      <w:r>
        <w:rPr>
          <w:rFonts w:cs="Arial" w:ascii="Arial" w:hAnsi="Arial"/>
        </w:rPr>
        <w:t>Advanced Loss of Profits and Delay in Start-up</w:t>
      </w:r>
    </w:p>
    <w:p>
      <w:pPr>
        <w:pStyle w:val="Heading3"/>
        <w:ind w:hanging="0" w:start="0"/>
        <w:jc w:val="both"/>
        <w:rPr>
          <w:rFonts w:ascii="Arial" w:hAnsi="Arial" w:cs="Arial"/>
          <w:sz w:val="20"/>
        </w:rPr>
      </w:pPr>
      <w:r>
        <w:rPr>
          <w:rFonts w:cs="Arial"/>
          <w:sz w:val="20"/>
        </w:rPr>
      </w:r>
    </w:p>
    <w:p>
      <w:pPr>
        <w:pStyle w:val="Heading3"/>
        <w:ind w:hanging="0" w:start="0"/>
        <w:jc w:val="both"/>
        <w:rPr>
          <w:sz w:val="20"/>
        </w:rPr>
      </w:pPr>
      <w:r>
        <w:rPr>
          <w:sz w:val="20"/>
        </w:rPr>
        <w:t>RELATIONSHIP WITH JARDINE LLOYD THOMPSON PLC</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rPr>
        <w:t xml:space="preserve">Steve Wynne, Russell Hawkins and John Loscombe have in their previous careers all worked for Jardines.  Kingsbridge was formed as a result of a Management Buy-out from Jardines UK business.  One </w:t>
      </w:r>
      <w:r>
        <w:rPr>
          <w:rFonts w:cs="Arial" w:ascii="Arial" w:hAnsi="Arial"/>
          <w:b/>
          <w:i/>
        </w:rPr>
        <w:t>“contractual”</w:t>
      </w:r>
      <w:r>
        <w:rPr>
          <w:rFonts w:cs="Arial" w:ascii="Arial" w:hAnsi="Arial"/>
        </w:rPr>
        <w:t xml:space="preserve"> element of the MBO was the ongoing “Strategic Relationship” between the two companies which enables Kingsbridge direct access to JLT resources worldwide and in particular:-</w:t>
      </w:r>
    </w:p>
    <w:p>
      <w:pPr>
        <w:pStyle w:val="Normal"/>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Overseas network of JLT offices</w:t>
      </w:r>
    </w:p>
    <w:p>
      <w:pPr>
        <w:pStyle w:val="Normal"/>
        <w:numPr>
          <w:ilvl w:val="0"/>
          <w:numId w:val="4"/>
        </w:numPr>
        <w:jc w:val="both"/>
        <w:rPr>
          <w:rFonts w:ascii="Arial" w:hAnsi="Arial" w:cs="Arial"/>
        </w:rPr>
      </w:pPr>
      <w:r>
        <w:rPr>
          <w:rFonts w:cs="Arial" w:ascii="Arial" w:hAnsi="Arial"/>
        </w:rPr>
        <w:t>Lloyd’s and London Market</w:t>
      </w:r>
    </w:p>
    <w:p>
      <w:pPr>
        <w:pStyle w:val="Normal"/>
        <w:numPr>
          <w:ilvl w:val="0"/>
          <w:numId w:val="6"/>
        </w:numPr>
        <w:jc w:val="both"/>
        <w:rPr>
          <w:rFonts w:ascii="Arial" w:hAnsi="Arial" w:cs="Arial"/>
        </w:rPr>
      </w:pPr>
      <w:r>
        <w:rPr>
          <w:rFonts w:cs="Arial" w:ascii="Arial" w:hAnsi="Arial"/>
        </w:rPr>
        <w:t>Risk Management / Loss Control Resources</w:t>
      </w:r>
    </w:p>
    <w:p>
      <w:pPr>
        <w:pStyle w:val="Normal"/>
        <w:numPr>
          <w:ilvl w:val="0"/>
          <w:numId w:val="6"/>
        </w:numPr>
        <w:jc w:val="both"/>
        <w:rPr>
          <w:rFonts w:ascii="Arial" w:hAnsi="Arial" w:cs="Arial"/>
        </w:rPr>
      </w:pPr>
      <w:r>
        <w:rPr>
          <w:rFonts w:cs="Arial" w:ascii="Arial" w:hAnsi="Arial"/>
        </w:rPr>
        <w:t xml:space="preserve">Financial Services / Employee Benefits </w:t>
      </w:r>
    </w:p>
    <w:p>
      <w:pPr>
        <w:pStyle w:val="Normal"/>
        <w:jc w:val="both"/>
        <w:rPr>
          <w:rFonts w:ascii="Arial" w:hAnsi="Arial" w:cs="Arial"/>
        </w:rPr>
      </w:pPr>
      <w:r>
        <w:rPr>
          <w:rFonts w:cs="Arial" w:ascii="Arial" w:hAnsi="Arial"/>
        </w:rPr>
      </w:r>
    </w:p>
    <w:p>
      <w:pPr>
        <w:pStyle w:val="BodyText2"/>
        <w:rPr>
          <w:sz w:val="20"/>
        </w:rPr>
      </w:pPr>
      <w:r>
        <w:rPr>
          <w:sz w:val="20"/>
        </w:rPr>
        <w:t xml:space="preserve">The relationship with Jardine Lloyd Thompson is extremely strong and Kingsbridge will continue to use JLT resources and expertise where it believes it can compliment, for the benefit of Wessex Water, the services directly provided by Kingsbridge and their staff. </w:t>
      </w:r>
    </w:p>
    <w:p>
      <w:pPr>
        <w:pStyle w:val="Normal"/>
        <w:jc w:val="both"/>
        <w:rPr>
          <w:rFonts w:ascii="Arial" w:hAnsi="Arial" w:cs="Arial"/>
          <w:sz w:val="20"/>
        </w:rPr>
      </w:pPr>
      <w:r>
        <w:rPr>
          <w:rFonts w:cs="Arial" w:ascii="Arial" w:hAnsi="Arial"/>
          <w:sz w:val="20"/>
        </w:rPr>
      </w:r>
    </w:p>
    <w:p>
      <w:pPr>
        <w:pStyle w:val="Heading3"/>
        <w:ind w:hanging="0" w:start="0"/>
        <w:jc w:val="both"/>
        <w:rPr>
          <w:sz w:val="20"/>
        </w:rPr>
      </w:pPr>
      <w:r>
        <w:rPr>
          <w:sz w:val="20"/>
        </w:rPr>
        <w:t>INSURERS</w:t>
      </w:r>
    </w:p>
    <w:p>
      <w:pPr>
        <w:pStyle w:val="Normal"/>
        <w:jc w:val="both"/>
        <w:rPr>
          <w:rFonts w:ascii="Arial" w:hAnsi="Arial" w:cs="Arial"/>
          <w:sz w:val="20"/>
        </w:rPr>
      </w:pPr>
      <w:r>
        <w:rPr>
          <w:rFonts w:cs="Arial" w:ascii="Arial" w:hAnsi="Arial"/>
          <w:sz w:val="20"/>
        </w:rPr>
      </w:r>
    </w:p>
    <w:p>
      <w:pPr>
        <w:pStyle w:val="Normal"/>
        <w:jc w:val="both"/>
        <w:rPr>
          <w:rFonts w:ascii="Arial" w:hAnsi="Arial" w:cs="Arial"/>
        </w:rPr>
      </w:pPr>
      <w:r>
        <w:rPr>
          <w:rFonts w:cs="Arial" w:ascii="Arial" w:hAnsi="Arial"/>
        </w:rPr>
        <w:t xml:space="preserve">Whilst we are unable to establish at this early stage which insurers are likely to provide the most competitive terms in the risk areas listed below there are key insurers that we would be talking to, particularly those that were historically involved with Wessex Water as well as others that we know are involved with the UK Water Industry. </w:t>
      </w:r>
    </w:p>
    <w:p>
      <w:pPr>
        <w:pStyle w:val="Normal"/>
        <w:jc w:val="both"/>
        <w:rPr>
          <w:rFonts w:ascii="Arial" w:hAnsi="Arial" w:cs="Arial"/>
        </w:rPr>
      </w:pPr>
      <w:r>
        <w:rPr>
          <w:rFonts w:cs="Arial" w:ascii="Arial" w:hAnsi="Arial"/>
        </w:rPr>
      </w:r>
    </w:p>
    <w:p>
      <w:pPr>
        <w:pStyle w:val="Heading4"/>
        <w:ind w:firstLine="720" w:start="698" w:end="0"/>
        <w:jc w:val="both"/>
        <w:rPr>
          <w:sz w:val="20"/>
        </w:rPr>
      </w:pPr>
      <w:r>
        <w:rPr>
          <w:sz w:val="20"/>
        </w:rPr>
        <w:t>Material Damage and Business Interruption</w:t>
      </w:r>
    </w:p>
    <w:p>
      <w:pPr>
        <w:pStyle w:val="Normal"/>
        <w:jc w:val="both"/>
        <w:rPr>
          <w:rFonts w:ascii="Arial" w:hAnsi="Arial" w:cs="Arial"/>
          <w:sz w:val="20"/>
        </w:rPr>
      </w:pPr>
      <w:r>
        <w:rPr>
          <w:rFonts w:cs="Arial" w:ascii="Arial" w:hAnsi="Arial"/>
          <w:sz w:val="20"/>
        </w:rPr>
      </w:r>
    </w:p>
    <w:p>
      <w:pPr>
        <w:pStyle w:val="Normal"/>
        <w:numPr>
          <w:ilvl w:val="0"/>
          <w:numId w:val="8"/>
        </w:numPr>
        <w:tabs>
          <w:tab w:val="clear" w:pos="720"/>
          <w:tab w:val="left" w:pos="2268" w:leader="none"/>
        </w:tabs>
        <w:ind w:firstLine="624" w:start="794" w:end="0"/>
        <w:jc w:val="both"/>
        <w:rPr>
          <w:rFonts w:ascii="Arial" w:hAnsi="Arial" w:cs="Arial"/>
        </w:rPr>
      </w:pPr>
      <w:r>
        <w:rPr>
          <w:rFonts w:cs="Arial" w:ascii="Arial" w:hAnsi="Arial"/>
        </w:rPr>
        <w:t>Royal &amp; Sun Alliance</w:t>
      </w:r>
    </w:p>
    <w:p>
      <w:pPr>
        <w:pStyle w:val="Normal"/>
        <w:numPr>
          <w:ilvl w:val="0"/>
          <w:numId w:val="12"/>
        </w:numPr>
        <w:tabs>
          <w:tab w:val="clear" w:pos="720"/>
          <w:tab w:val="left" w:pos="2268" w:leader="none"/>
        </w:tabs>
        <w:ind w:firstLine="624" w:start="794" w:end="0"/>
        <w:jc w:val="both"/>
        <w:rPr>
          <w:rFonts w:ascii="Arial" w:hAnsi="Arial" w:cs="Arial"/>
        </w:rPr>
      </w:pPr>
      <w:r>
        <w:rPr>
          <w:rFonts w:cs="Arial" w:ascii="Arial" w:hAnsi="Arial"/>
        </w:rPr>
        <w:t>AIG</w:t>
      </w:r>
    </w:p>
    <w:p>
      <w:pPr>
        <w:pStyle w:val="Normal"/>
        <w:numPr>
          <w:ilvl w:val="0"/>
          <w:numId w:val="17"/>
        </w:numPr>
        <w:tabs>
          <w:tab w:val="clear" w:pos="720"/>
          <w:tab w:val="left" w:pos="2268" w:leader="none"/>
        </w:tabs>
        <w:ind w:firstLine="624" w:start="794" w:end="0"/>
        <w:jc w:val="both"/>
        <w:rPr>
          <w:rFonts w:ascii="Arial" w:hAnsi="Arial" w:cs="Arial"/>
        </w:rPr>
      </w:pPr>
      <w:r>
        <w:rPr>
          <w:rFonts w:cs="Arial" w:ascii="Arial" w:hAnsi="Arial"/>
        </w:rPr>
        <w:t>Zurich</w:t>
      </w:r>
    </w:p>
    <w:p>
      <w:pPr>
        <w:pStyle w:val="Normal"/>
        <w:numPr>
          <w:ilvl w:val="0"/>
          <w:numId w:val="17"/>
        </w:numPr>
        <w:tabs>
          <w:tab w:val="clear" w:pos="720"/>
          <w:tab w:val="left" w:pos="2268" w:leader="none"/>
        </w:tabs>
        <w:ind w:firstLine="624" w:start="794" w:end="0"/>
        <w:jc w:val="both"/>
        <w:rPr>
          <w:rFonts w:ascii="Arial" w:hAnsi="Arial" w:cs="Arial"/>
        </w:rPr>
      </w:pPr>
      <w:r>
        <w:rPr>
          <w:rFonts w:cs="Arial" w:ascii="Arial" w:hAnsi="Arial"/>
        </w:rPr>
        <w:t>Allianz</w:t>
      </w:r>
    </w:p>
    <w:p>
      <w:pPr>
        <w:pStyle w:val="Normal"/>
        <w:jc w:val="both"/>
        <w:rPr>
          <w:rFonts w:ascii="Arial" w:hAnsi="Arial" w:cs="Arial"/>
        </w:rPr>
      </w:pPr>
      <w:r>
        <w:rPr>
          <w:rFonts w:cs="Arial" w:ascii="Arial" w:hAnsi="Arial"/>
        </w:rPr>
      </w:r>
    </w:p>
    <w:p>
      <w:pPr>
        <w:pStyle w:val="Heading4"/>
        <w:ind w:firstLine="720" w:start="698" w:end="0"/>
        <w:jc w:val="both"/>
        <w:rPr>
          <w:sz w:val="20"/>
        </w:rPr>
      </w:pPr>
      <w:r>
        <w:rPr>
          <w:sz w:val="20"/>
        </w:rPr>
        <w:t xml:space="preserve">Combined Liability </w:t>
      </w:r>
    </w:p>
    <w:p>
      <w:pPr>
        <w:pStyle w:val="Normal"/>
        <w:jc w:val="both"/>
        <w:rPr>
          <w:rFonts w:ascii="Arial" w:hAnsi="Arial" w:cs="Arial"/>
          <w:sz w:val="20"/>
        </w:rPr>
      </w:pPr>
      <w:r>
        <w:rPr>
          <w:rFonts w:cs="Arial" w:ascii="Arial" w:hAnsi="Arial"/>
          <w:sz w:val="20"/>
        </w:rPr>
      </w:r>
    </w:p>
    <w:p>
      <w:pPr>
        <w:pStyle w:val="Normal"/>
        <w:numPr>
          <w:ilvl w:val="0"/>
          <w:numId w:val="24"/>
        </w:numPr>
        <w:tabs>
          <w:tab w:val="clear" w:pos="720"/>
          <w:tab w:val="left" w:pos="2268" w:leader="none"/>
        </w:tabs>
        <w:ind w:firstLine="624" w:start="794" w:end="0"/>
        <w:jc w:val="both"/>
        <w:rPr>
          <w:rFonts w:ascii="Arial" w:hAnsi="Arial" w:cs="Arial"/>
        </w:rPr>
      </w:pPr>
      <w:r>
        <w:rPr>
          <w:rFonts w:cs="Arial" w:ascii="Arial" w:hAnsi="Arial"/>
        </w:rPr>
        <w:t>Winterthur</w:t>
      </w:r>
    </w:p>
    <w:p>
      <w:pPr>
        <w:pStyle w:val="Normal"/>
        <w:numPr>
          <w:ilvl w:val="0"/>
          <w:numId w:val="22"/>
        </w:numPr>
        <w:tabs>
          <w:tab w:val="clear" w:pos="720"/>
          <w:tab w:val="left" w:pos="2268" w:leader="none"/>
        </w:tabs>
        <w:ind w:firstLine="624" w:start="794" w:end="0"/>
        <w:jc w:val="both"/>
        <w:rPr>
          <w:rFonts w:ascii="Arial" w:hAnsi="Arial" w:cs="Arial"/>
        </w:rPr>
      </w:pPr>
      <w:r>
        <w:rPr>
          <w:rFonts w:cs="Arial" w:ascii="Arial" w:hAnsi="Arial"/>
        </w:rPr>
        <w:t>AIG</w:t>
      </w:r>
    </w:p>
    <w:p>
      <w:pPr>
        <w:pStyle w:val="Normal"/>
        <w:numPr>
          <w:ilvl w:val="0"/>
          <w:numId w:val="18"/>
        </w:numPr>
        <w:tabs>
          <w:tab w:val="clear" w:pos="720"/>
          <w:tab w:val="left" w:pos="2268" w:leader="none"/>
        </w:tabs>
        <w:ind w:firstLine="624" w:start="794" w:end="0"/>
        <w:jc w:val="both"/>
        <w:rPr>
          <w:rFonts w:ascii="Arial" w:hAnsi="Arial" w:cs="Arial"/>
        </w:rPr>
      </w:pPr>
      <w:r>
        <w:rPr>
          <w:rFonts w:cs="Arial" w:ascii="Arial" w:hAnsi="Arial"/>
        </w:rPr>
        <w:t>AXA</w:t>
      </w:r>
    </w:p>
    <w:p>
      <w:pPr>
        <w:pStyle w:val="Normal"/>
        <w:numPr>
          <w:ilvl w:val="0"/>
          <w:numId w:val="20"/>
        </w:numPr>
        <w:tabs>
          <w:tab w:val="clear" w:pos="720"/>
          <w:tab w:val="left" w:pos="2268" w:leader="none"/>
        </w:tabs>
        <w:ind w:firstLine="624" w:start="794" w:end="0"/>
        <w:jc w:val="both"/>
        <w:rPr>
          <w:rFonts w:ascii="Arial" w:hAnsi="Arial" w:cs="Arial"/>
        </w:rPr>
      </w:pPr>
      <w:r>
        <w:rPr>
          <w:rFonts w:cs="Arial" w:ascii="Arial" w:hAnsi="Arial"/>
        </w:rPr>
        <w:t>Zurich</w:t>
      </w:r>
    </w:p>
    <w:p>
      <w:pPr>
        <w:pStyle w:val="Normal"/>
        <w:numPr>
          <w:ilvl w:val="0"/>
          <w:numId w:val="20"/>
        </w:numPr>
        <w:tabs>
          <w:tab w:val="clear" w:pos="720"/>
          <w:tab w:val="left" w:pos="2268" w:leader="none"/>
        </w:tabs>
        <w:ind w:firstLine="624" w:start="794" w:end="0"/>
        <w:jc w:val="both"/>
        <w:rPr>
          <w:rFonts w:ascii="Arial" w:hAnsi="Arial" w:cs="Arial"/>
        </w:rPr>
      </w:pPr>
      <w:r>
        <w:rPr>
          <w:rFonts w:cs="Arial" w:ascii="Arial" w:hAnsi="Arial"/>
        </w:rPr>
        <w:t>Lloyd’s</w:t>
      </w:r>
    </w:p>
    <w:p>
      <w:pPr>
        <w:pStyle w:val="Normal"/>
        <w:jc w:val="both"/>
        <w:rPr>
          <w:rFonts w:ascii="Arial" w:hAnsi="Arial" w:cs="Arial"/>
        </w:rPr>
      </w:pPr>
      <w:r>
        <w:rPr>
          <w:rFonts w:cs="Arial" w:ascii="Arial" w:hAnsi="Arial"/>
        </w:rPr>
      </w:r>
    </w:p>
    <w:p>
      <w:pPr>
        <w:pStyle w:val="Heading4"/>
        <w:ind w:firstLine="720" w:start="698" w:end="0"/>
        <w:jc w:val="both"/>
        <w:rPr>
          <w:sz w:val="20"/>
        </w:rPr>
      </w:pPr>
      <w:r>
        <w:rPr>
          <w:sz w:val="20"/>
        </w:rPr>
        <w:t>Motor Risks</w:t>
      </w:r>
    </w:p>
    <w:p>
      <w:pPr>
        <w:pStyle w:val="Normal"/>
        <w:jc w:val="both"/>
        <w:rPr>
          <w:rFonts w:ascii="Arial" w:hAnsi="Arial" w:cs="Arial"/>
          <w:sz w:val="20"/>
        </w:rPr>
      </w:pPr>
      <w:r>
        <w:rPr>
          <w:rFonts w:cs="Arial" w:ascii="Arial" w:hAnsi="Arial"/>
          <w:sz w:val="20"/>
        </w:rPr>
      </w:r>
    </w:p>
    <w:p>
      <w:pPr>
        <w:pStyle w:val="Normal"/>
        <w:numPr>
          <w:ilvl w:val="0"/>
          <w:numId w:val="16"/>
        </w:numPr>
        <w:tabs>
          <w:tab w:val="clear" w:pos="720"/>
          <w:tab w:val="left" w:pos="2268" w:leader="none"/>
        </w:tabs>
        <w:ind w:firstLine="624" w:start="794" w:end="0"/>
        <w:jc w:val="both"/>
        <w:rPr>
          <w:rFonts w:ascii="Arial" w:hAnsi="Arial" w:cs="Arial"/>
        </w:rPr>
      </w:pPr>
      <w:r>
        <w:rPr>
          <w:rFonts w:cs="Arial" w:ascii="Arial" w:hAnsi="Arial"/>
        </w:rPr>
        <w:t>Royal &amp; Sun Alliance</w:t>
      </w:r>
    </w:p>
    <w:p>
      <w:pPr>
        <w:pStyle w:val="Normal"/>
        <w:numPr>
          <w:ilvl w:val="0"/>
          <w:numId w:val="5"/>
        </w:numPr>
        <w:tabs>
          <w:tab w:val="clear" w:pos="720"/>
          <w:tab w:val="left" w:pos="2268" w:leader="none"/>
        </w:tabs>
        <w:ind w:firstLine="624" w:start="794" w:end="0"/>
        <w:jc w:val="both"/>
        <w:rPr>
          <w:rFonts w:ascii="Arial" w:hAnsi="Arial" w:cs="Arial"/>
        </w:rPr>
      </w:pPr>
      <w:r>
        <w:rPr>
          <w:rFonts w:cs="Arial" w:ascii="Arial" w:hAnsi="Arial"/>
        </w:rPr>
        <w:t>Norwich Union</w:t>
      </w:r>
    </w:p>
    <w:p>
      <w:pPr>
        <w:pStyle w:val="Normal"/>
        <w:numPr>
          <w:ilvl w:val="0"/>
          <w:numId w:val="23"/>
        </w:numPr>
        <w:tabs>
          <w:tab w:val="clear" w:pos="720"/>
          <w:tab w:val="left" w:pos="2268" w:leader="none"/>
        </w:tabs>
        <w:ind w:firstLine="624" w:start="794" w:end="0"/>
        <w:jc w:val="both"/>
        <w:rPr>
          <w:rFonts w:ascii="Arial" w:hAnsi="Arial" w:cs="Arial"/>
        </w:rPr>
      </w:pPr>
      <w:r>
        <w:rPr>
          <w:rFonts w:cs="Arial" w:ascii="Arial" w:hAnsi="Arial"/>
        </w:rPr>
        <w:t>Groupama</w:t>
      </w:r>
    </w:p>
    <w:p>
      <w:pPr>
        <w:pStyle w:val="Normal"/>
        <w:numPr>
          <w:ilvl w:val="0"/>
          <w:numId w:val="23"/>
        </w:numPr>
        <w:tabs>
          <w:tab w:val="clear" w:pos="720"/>
          <w:tab w:val="left" w:pos="2268" w:leader="none"/>
        </w:tabs>
        <w:ind w:firstLine="624" w:start="794" w:end="0"/>
        <w:jc w:val="both"/>
        <w:rPr>
          <w:rFonts w:ascii="Arial" w:hAnsi="Arial" w:cs="Arial"/>
        </w:rPr>
      </w:pPr>
      <w:r>
        <w:rPr>
          <w:rFonts w:cs="Arial" w:ascii="Arial" w:hAnsi="Arial"/>
        </w:rPr>
        <w:t>Lloyd’s</w:t>
      </w:r>
    </w:p>
    <w:p>
      <w:pPr>
        <w:pStyle w:val="Normal"/>
        <w:ind w:start="57" w:end="0"/>
        <w:jc w:val="both"/>
        <w:rPr>
          <w:rFonts w:ascii="Arial" w:hAnsi="Arial" w:cs="Arial"/>
        </w:rPr>
      </w:pPr>
      <w:r>
        <w:rPr>
          <w:rFonts w:cs="Arial" w:ascii="Arial" w:hAnsi="Arial"/>
        </w:rPr>
      </w:r>
    </w:p>
    <w:p>
      <w:pPr>
        <w:pStyle w:val="Normal"/>
        <w:ind w:start="57" w:end="0"/>
        <w:jc w:val="both"/>
        <w:rPr>
          <w:rFonts w:ascii="Arial" w:hAnsi="Arial" w:cs="Arial"/>
        </w:rPr>
      </w:pPr>
      <w:r>
        <w:rPr>
          <w:rFonts w:cs="Arial" w:ascii="Arial" w:hAnsi="Arial"/>
        </w:rPr>
        <w:t>Steve Wynne</w:t>
      </w:r>
    </w:p>
    <w:p>
      <w:pPr>
        <w:pStyle w:val="Normal"/>
        <w:ind w:start="57" w:end="0"/>
        <w:jc w:val="both"/>
        <w:rPr>
          <w:rFonts w:ascii="Arial" w:hAnsi="Arial" w:cs="Arial"/>
          <w:color w:val="0000FF"/>
        </w:rPr>
      </w:pPr>
      <w:r>
        <w:rPr>
          <w:rFonts w:cs="Arial" w:ascii="Arial" w:hAnsi="Arial"/>
          <w:color w:val="0000FF"/>
        </w:rPr>
        <w:t>Kingsbridge Risk Solutions Limited</w:t>
      </w:r>
    </w:p>
    <w:p>
      <w:pPr>
        <w:pStyle w:val="Normal"/>
        <w:ind w:start="57" w:end="0"/>
        <w:jc w:val="both"/>
        <w:rPr/>
      </w:pPr>
      <w:r>
        <w:rPr>
          <w:rFonts w:cs="Arial" w:ascii="Arial" w:hAnsi="Arial"/>
        </w:rPr>
        <w:t>23</w:t>
      </w:r>
      <w:r>
        <w:rPr>
          <w:rFonts w:cs="Arial" w:ascii="Arial" w:hAnsi="Arial"/>
          <w:vertAlign w:val="superscript"/>
        </w:rPr>
        <w:t>rd</w:t>
      </w:r>
      <w:r>
        <w:rPr>
          <w:rFonts w:cs="Arial" w:ascii="Arial" w:hAnsi="Arial"/>
        </w:rPr>
        <w:t xml:space="preserve"> October 2001 </w:t>
      </w:r>
    </w:p>
    <w:sectPr>
      <w:type w:val="nextPage"/>
      <w:pgSz w:w="11906" w:h="16838"/>
      <w:pgMar w:left="1440" w:right="1440" w:gutter="0" w:header="0" w:top="568" w:footer="0" w:bottom="5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720"/>
        </w:tabs>
        <w:ind w:start="794" w:hanging="737"/>
      </w:pPr>
      <w:rPr>
        <w:rFonts w:ascii="Wingdings" w:hAnsi="Wingdings" w:cs="Wingdings" w:hint="default"/>
        <w:sz w:val="22"/>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720"/>
        </w:tabs>
        <w:ind w:start="794" w:hanging="737"/>
      </w:pPr>
      <w:rPr>
        <w:rFonts w:ascii="Wingdings" w:hAnsi="Wingdings" w:cs="Wingdings" w:hint="default"/>
        <w:sz w:val="22"/>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720"/>
        </w:tabs>
        <w:ind w:start="794" w:hanging="737"/>
      </w:pPr>
      <w:rPr>
        <w:rFonts w:ascii="Wingdings" w:hAnsi="Wingdings" w:cs="Wingdings" w:hint="default"/>
        <w:sz w:val="22"/>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bullet"/>
      <w:lvlText w:val=""/>
      <w:lvlJc w:val="start"/>
      <w:pPr>
        <w:tabs>
          <w:tab w:val="num" w:pos="720"/>
        </w:tabs>
        <w:ind w:start="794" w:hanging="737"/>
      </w:pPr>
      <w:rPr>
        <w:rFonts w:ascii="Wingdings" w:hAnsi="Wingdings" w:cs="Wingdings" w:hint="default"/>
        <w:sz w:val="22"/>
      </w:rPr>
    </w:lvl>
  </w:abstractNum>
  <w:abstractNum w:abstractNumId="17">
    <w:lvl w:ilvl="0">
      <w:start w:val="1"/>
      <w:numFmt w:val="bullet"/>
      <w:lvlText w:val=""/>
      <w:lvlJc w:val="start"/>
      <w:pPr>
        <w:tabs>
          <w:tab w:val="num" w:pos="720"/>
        </w:tabs>
        <w:ind w:start="794" w:hanging="737"/>
      </w:pPr>
      <w:rPr>
        <w:rFonts w:ascii="Wingdings" w:hAnsi="Wingdings" w:cs="Wingdings" w:hint="default"/>
        <w:sz w:val="22"/>
      </w:rPr>
    </w:lvl>
  </w:abstractNum>
  <w:abstractNum w:abstractNumId="18">
    <w:lvl w:ilvl="0">
      <w:start w:val="1"/>
      <w:numFmt w:val="bullet"/>
      <w:lvlText w:val=""/>
      <w:lvlJc w:val="start"/>
      <w:pPr>
        <w:tabs>
          <w:tab w:val="num" w:pos="720"/>
        </w:tabs>
        <w:ind w:start="794" w:hanging="737"/>
      </w:pPr>
      <w:rPr>
        <w:rFonts w:ascii="Wingdings" w:hAnsi="Wingdings" w:cs="Wingdings" w:hint="default"/>
        <w:sz w:val="22"/>
      </w:rPr>
    </w:lvl>
  </w:abstractNum>
  <w:abstractNum w:abstractNumId="19">
    <w:lvl w:ilvl="0">
      <w:start w:val="1"/>
      <w:numFmt w:val="bullet"/>
      <w:lvlText w:val=""/>
      <w:lvlJc w:val="start"/>
      <w:pPr>
        <w:tabs>
          <w:tab w:val="num" w:pos="360"/>
        </w:tabs>
        <w:ind w:start="360" w:hanging="360"/>
      </w:pPr>
      <w:rPr>
        <w:rFonts w:ascii="Wingdings" w:hAnsi="Wingdings" w:cs="Wingdings" w:hint="default"/>
      </w:rPr>
    </w:lvl>
  </w:abstractNum>
  <w:abstractNum w:abstractNumId="20">
    <w:lvl w:ilvl="0">
      <w:start w:val="1"/>
      <w:numFmt w:val="bullet"/>
      <w:lvlText w:val=""/>
      <w:lvlJc w:val="start"/>
      <w:pPr>
        <w:tabs>
          <w:tab w:val="num" w:pos="720"/>
        </w:tabs>
        <w:ind w:start="794" w:hanging="737"/>
      </w:pPr>
      <w:rPr>
        <w:rFonts w:ascii="Wingdings" w:hAnsi="Wingdings" w:cs="Wingdings" w:hint="default"/>
        <w:sz w:val="22"/>
      </w:rPr>
    </w:lvl>
  </w:abstractNum>
  <w:abstractNum w:abstractNumId="21">
    <w:lvl w:ilvl="0">
      <w:start w:val="1"/>
      <w:numFmt w:val="bullet"/>
      <w:lvlText w:val=""/>
      <w:lvlJc w:val="start"/>
      <w:pPr>
        <w:tabs>
          <w:tab w:val="num" w:pos="360"/>
        </w:tabs>
        <w:ind w:start="360" w:hanging="360"/>
      </w:pPr>
      <w:rPr>
        <w:rFonts w:ascii="Wingdings" w:hAnsi="Wingdings" w:cs="Wingdings" w:hint="default"/>
      </w:rPr>
    </w:lvl>
  </w:abstractNum>
  <w:abstractNum w:abstractNumId="22">
    <w:lvl w:ilvl="0">
      <w:start w:val="1"/>
      <w:numFmt w:val="bullet"/>
      <w:lvlText w:val=""/>
      <w:lvlJc w:val="start"/>
      <w:pPr>
        <w:tabs>
          <w:tab w:val="num" w:pos="720"/>
        </w:tabs>
        <w:ind w:start="794" w:hanging="737"/>
      </w:pPr>
      <w:rPr>
        <w:rFonts w:ascii="Wingdings" w:hAnsi="Wingdings" w:cs="Wingdings" w:hint="default"/>
        <w:sz w:val="22"/>
      </w:rPr>
    </w:lvl>
  </w:abstractNum>
  <w:abstractNum w:abstractNumId="23">
    <w:lvl w:ilvl="0">
      <w:start w:val="1"/>
      <w:numFmt w:val="bullet"/>
      <w:lvlText w:val=""/>
      <w:lvlJc w:val="start"/>
      <w:pPr>
        <w:tabs>
          <w:tab w:val="num" w:pos="720"/>
        </w:tabs>
        <w:ind w:start="794" w:hanging="737"/>
      </w:pPr>
      <w:rPr>
        <w:rFonts w:ascii="Wingdings" w:hAnsi="Wingdings" w:cs="Wingdings" w:hint="default"/>
        <w:sz w:val="22"/>
      </w:rPr>
    </w:lvl>
  </w:abstractNum>
  <w:abstractNum w:abstractNumId="24">
    <w:lvl w:ilvl="0">
      <w:start w:val="1"/>
      <w:numFmt w:val="bullet"/>
      <w:lvlText w:val=""/>
      <w:lvlJc w:val="start"/>
      <w:pPr>
        <w:tabs>
          <w:tab w:val="num" w:pos="720"/>
        </w:tabs>
        <w:ind w:start="794" w:hanging="737"/>
      </w:pPr>
      <w:rPr>
        <w:rFonts w:ascii="Wingdings" w:hAnsi="Wingdings" w:cs="Wingdings" w:hint="default"/>
        <w:sz w:val="22"/>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40"/>
    </w:rPr>
  </w:style>
  <w:style w:type="paragraph" w:styleId="Heading2">
    <w:name w:val="heading 2"/>
    <w:basedOn w:val="Normal"/>
    <w:next w:val="Normal"/>
    <w:qFormat/>
    <w:pPr>
      <w:keepNext w:val="true"/>
      <w:numPr>
        <w:ilvl w:val="1"/>
        <w:numId w:val="1"/>
      </w:numPr>
      <w:jc w:val="center"/>
      <w:outlineLvl w:val="1"/>
    </w:pPr>
    <w:rPr>
      <w:rFonts w:ascii="Arial" w:hAnsi="Arial" w:cs="Arial"/>
      <w:sz w:val="36"/>
    </w:rPr>
  </w:style>
  <w:style w:type="paragraph" w:styleId="Heading3">
    <w:name w:val="heading 3"/>
    <w:basedOn w:val="Normal"/>
    <w:next w:val="Normal"/>
    <w:qFormat/>
    <w:pPr>
      <w:keepNext w:val="true"/>
      <w:numPr>
        <w:ilvl w:val="2"/>
        <w:numId w:val="1"/>
      </w:numPr>
      <w:outlineLvl w:val="2"/>
    </w:pPr>
    <w:rPr>
      <w:rFonts w:ascii="Arial" w:hAnsi="Arial" w:cs="Arial"/>
      <w:b/>
      <w:sz w:val="22"/>
      <w:u w:val="double"/>
    </w:rPr>
  </w:style>
  <w:style w:type="paragraph" w:styleId="Heading4">
    <w:name w:val="heading 4"/>
    <w:basedOn w:val="Normal"/>
    <w:next w:val="Normal"/>
    <w:qFormat/>
    <w:pPr>
      <w:keepNext w:val="true"/>
      <w:numPr>
        <w:ilvl w:val="3"/>
        <w:numId w:val="1"/>
      </w:numPr>
      <w:outlineLvl w:val="3"/>
    </w:pPr>
    <w:rPr>
      <w:rFonts w:ascii="Arial" w:hAnsi="Arial" w:cs="Arial"/>
      <w:b/>
      <w:i/>
      <w:sz w:val="22"/>
    </w:rPr>
  </w:style>
  <w:style w:type="paragraph" w:styleId="Heading5">
    <w:name w:val="heading 5"/>
    <w:basedOn w:val="Normal"/>
    <w:next w:val="Normal"/>
    <w:qFormat/>
    <w:pPr>
      <w:keepNext w:val="true"/>
      <w:numPr>
        <w:ilvl w:val="4"/>
        <w:numId w:val="1"/>
      </w:numPr>
      <w:jc w:val="both"/>
      <w:outlineLvl w:val="4"/>
    </w:pPr>
    <w:rPr>
      <w:rFonts w:ascii="Arial" w:hAnsi="Arial" w:cs="Arial"/>
      <w:b/>
      <w:sz w:val="22"/>
      <w:u w:val="double"/>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sz w:val="22"/>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sz w:val="22"/>
    </w:rPr>
  </w:style>
  <w:style w:type="character" w:styleId="WW8Num8z0">
    <w:name w:val="WW8Num8z0"/>
    <w:qFormat/>
    <w:rPr>
      <w:rFonts w:ascii="Times New Roman" w:hAnsi="Times New Roman" w:cs="Times New Roman"/>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sz w:val="22"/>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sz w:val="22"/>
    </w:rPr>
  </w:style>
  <w:style w:type="character" w:styleId="WW8Num17z0">
    <w:name w:val="WW8Num17z0"/>
    <w:qFormat/>
    <w:rPr>
      <w:rFonts w:ascii="Wingdings" w:hAnsi="Wingdings" w:cs="Wingdings"/>
      <w:sz w:val="22"/>
    </w:rPr>
  </w:style>
  <w:style w:type="character" w:styleId="WW8Num18z0">
    <w:name w:val="WW8Num18z0"/>
    <w:qFormat/>
    <w:rPr>
      <w:rFonts w:ascii="Wingdings" w:hAnsi="Wingdings" w:cs="Wingdings"/>
      <w:sz w:val="22"/>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sz w:val="22"/>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sz w:val="22"/>
    </w:rPr>
  </w:style>
  <w:style w:type="character" w:styleId="WW8Num23z0">
    <w:name w:val="WW8Num23z0"/>
    <w:qFormat/>
    <w:rPr>
      <w:rFonts w:ascii="Wingdings" w:hAnsi="Wingdings" w:cs="Wingdings"/>
      <w:sz w:val="22"/>
    </w:rPr>
  </w:style>
  <w:style w:type="character" w:styleId="WW8Num24z0">
    <w:name w:val="WW8Num24z0"/>
    <w:qFormat/>
    <w:rPr>
      <w:rFonts w:ascii="Wingdings" w:hAnsi="Wingdings" w:cs="Wingdings"/>
      <w:sz w:val="22"/>
    </w:rPr>
  </w:style>
  <w:style w:type="character" w:styleId="DefaultParagraphFont">
    <w:name w:val="Default Paragraph Font"/>
    <w:qFormat/>
    <w:rPr/>
  </w:style>
  <w:style w:type="character" w:styleId="WW8Dropcap0">
    <w:name w:val="WW8Dropcap0"/>
    <w:qFormat/>
    <w:rPr>
      <w:rFonts w:ascii="Arial" w:hAnsi="Arial" w:cs="Arial"/>
      <w:sz w:val="9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Blank Document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2001-10-31T10:50:00Z</dcterms:created>
  <dc:creator>Various</dc:creator>
  <dc:description/>
  <dc:language>en-CA</dc:language>
  <cp:lastModifiedBy>Wessex Water</cp:lastModifiedBy>
  <cp:lastPrinted>2001-10-31T09:22:00Z</cp:lastPrinted>
  <dcterms:modified xsi:type="dcterms:W3CDTF">2001-10-31T10:50:00Z</dcterms:modified>
  <cp:revision>2</cp:revision>
  <dc:subject/>
  <dc:title>May 25, 2001</dc:title>
</cp:coreProperties>
</file>