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sz w:val="24"/>
        </w:rPr>
      </w:pPr>
      <w:r>
        <w:rPr>
          <w:sz w:val="24"/>
        </w:rPr>
      </w:r>
    </w:p>
    <w:p>
      <w:pPr>
        <w:pStyle w:val="Normal"/>
        <w:numPr>
          <w:ilvl w:val="1"/>
          <w:numId w:val="3"/>
        </w:numPr>
        <w:spacing w:before="0" w:after="180"/>
        <w:rPr>
          <w:b/>
          <w:sz w:val="24"/>
          <w:u w:val="single"/>
        </w:rPr>
      </w:pPr>
      <w:r>
        <w:rPr>
          <w:b/>
          <w:sz w:val="24"/>
          <w:u w:val="single"/>
        </w:rPr>
        <w:t>SCOPE</w:t>
      </w:r>
    </w:p>
    <w:p>
      <w:pPr>
        <w:pStyle w:val="Normal"/>
        <w:numPr>
          <w:ilvl w:val="2"/>
          <w:numId w:val="3"/>
        </w:numPr>
        <w:spacing w:before="0" w:after="180"/>
        <w:rPr>
          <w:sz w:val="24"/>
        </w:rPr>
      </w:pPr>
      <w:r>
        <w:rPr>
          <w:sz w:val="24"/>
        </w:rPr>
        <w:t>This Specification covers the installation of instrumentation equipment.</w:t>
      </w:r>
    </w:p>
    <w:p>
      <w:pPr>
        <w:pStyle w:val="Normal"/>
        <w:numPr>
          <w:ilvl w:val="2"/>
          <w:numId w:val="3"/>
        </w:numPr>
        <w:spacing w:before="0" w:after="180"/>
        <w:rPr>
          <w:sz w:val="24"/>
        </w:rPr>
      </w:pPr>
      <w:r>
        <w:rPr>
          <w:sz w:val="24"/>
        </w:rPr>
        <w:t>The work shall include the installation of piping and pneumatic tubing to instruments and pneumatic valve operators, transducers, controllers, control panel, etc., and shall include the mounting of  temperature and pressure gauges.</w:t>
      </w:r>
    </w:p>
    <w:p>
      <w:pPr>
        <w:pStyle w:val="Normal"/>
        <w:numPr>
          <w:ilvl w:val="2"/>
          <w:numId w:val="3"/>
        </w:numPr>
        <w:spacing w:before="0" w:after="180"/>
        <w:rPr>
          <w:sz w:val="24"/>
          <w:u w:val="single"/>
        </w:rPr>
      </w:pPr>
      <w:r>
        <w:rPr>
          <w:sz w:val="24"/>
        </w:rPr>
        <w:t>This Specification, in general, does not cover the installation of wiring or conduit for the instrumentation equipment. Provisions for this work are covered in section 5 of this Specification.</w:t>
      </w:r>
    </w:p>
    <w:p>
      <w:pPr>
        <w:pStyle w:val="Normal"/>
        <w:numPr>
          <w:ilvl w:val="2"/>
          <w:numId w:val="3"/>
        </w:numPr>
        <w:spacing w:before="0" w:after="180"/>
        <w:rPr>
          <w:sz w:val="24"/>
          <w:u w:val="single"/>
        </w:rPr>
      </w:pPr>
      <w:r>
        <w:rPr>
          <w:sz w:val="24"/>
        </w:rPr>
        <w:t>Company shall furnish all pressure and temperature switches, gauges, and miscellaneous equipment as listed in the bill of material and instrument data sheets unless specified otherwise.</w:t>
      </w:r>
    </w:p>
    <w:p>
      <w:pPr>
        <w:pStyle w:val="Normal"/>
        <w:numPr>
          <w:ilvl w:val="2"/>
          <w:numId w:val="3"/>
        </w:numPr>
        <w:spacing w:before="0" w:after="180"/>
        <w:rPr>
          <w:sz w:val="24"/>
          <w:u w:val="single"/>
        </w:rPr>
      </w:pPr>
      <w:r>
        <w:rPr>
          <w:sz w:val="24"/>
        </w:rPr>
        <w:t>Contractor shall furnish tubing trays for tubing, small pipe, and capillary tubes for support over long spans and areas where single point support is not adequate. Contractor shall furnish all minor hardware such as mounting brackets, nuts, bolts, etc., not provided with the equipment or shown on the bill of material sheets.</w:t>
      </w:r>
    </w:p>
    <w:p>
      <w:pPr>
        <w:pStyle w:val="Normal"/>
        <w:numPr>
          <w:ilvl w:val="2"/>
          <w:numId w:val="3"/>
        </w:numPr>
        <w:spacing w:before="0" w:after="180"/>
        <w:rPr>
          <w:sz w:val="24"/>
          <w:u w:val="single"/>
        </w:rPr>
      </w:pPr>
      <w:r>
        <w:rPr>
          <w:sz w:val="24"/>
        </w:rPr>
        <w:t>Contractor shall provide all calibration tools required for all of the instruments that Contractor calibrates as a part of the commissioning and testing phases of the work described herein.</w:t>
      </w:r>
    </w:p>
    <w:p>
      <w:pPr>
        <w:pStyle w:val="Normal"/>
        <w:spacing w:before="0" w:after="180"/>
        <w:rPr>
          <w:sz w:val="24"/>
          <w:u w:val="single"/>
        </w:rPr>
      </w:pPr>
      <w:r>
        <w:rPr>
          <w:sz w:val="24"/>
          <w:u w:val="single"/>
        </w:rPr>
      </w:r>
    </w:p>
    <w:p>
      <w:pPr>
        <w:pStyle w:val="Normal"/>
        <w:numPr>
          <w:ilvl w:val="1"/>
          <w:numId w:val="3"/>
        </w:numPr>
        <w:spacing w:before="0" w:after="180"/>
        <w:rPr>
          <w:b/>
          <w:sz w:val="24"/>
        </w:rPr>
      </w:pPr>
      <w:r>
        <w:rPr>
          <w:b/>
          <w:sz w:val="24"/>
          <w:u w:val="single"/>
        </w:rPr>
        <w:t>CHARACTER OF WORK</w:t>
      </w:r>
    </w:p>
    <w:p>
      <w:pPr>
        <w:pStyle w:val="Normal"/>
        <w:numPr>
          <w:ilvl w:val="2"/>
          <w:numId w:val="3"/>
        </w:numPr>
        <w:spacing w:before="0" w:after="180"/>
        <w:rPr>
          <w:sz w:val="24"/>
        </w:rPr>
      </w:pPr>
      <w:r>
        <w:rPr>
          <w:sz w:val="24"/>
        </w:rPr>
        <w:t>Each system shall be complete with all accessories required for proper operation and shall be released to Company when all equipment has been pressure tested per section 6.7 and functionally tested to the satisfaction of Company’s authorized representative.</w:t>
      </w:r>
      <w:r>
        <w:br w:type="page"/>
      </w:r>
    </w:p>
    <w:p>
      <w:pPr>
        <w:pStyle w:val="Normal"/>
        <w:spacing w:before="0" w:after="180"/>
        <w:rPr>
          <w:b/>
          <w:sz w:val="24"/>
        </w:rPr>
      </w:pPr>
      <w:r>
        <w:rPr>
          <w:b/>
          <w:sz w:val="24"/>
          <w:u w:val="single"/>
        </w:rPr>
        <w:t>DRAWINGS</w:t>
      </w:r>
    </w:p>
    <w:p>
      <w:pPr>
        <w:pStyle w:val="Normal"/>
        <w:spacing w:before="0" w:after="180"/>
        <w:rPr>
          <w:b/>
          <w:sz w:val="24"/>
        </w:rPr>
      </w:pPr>
      <w:r>
        <w:rPr>
          <w:b/>
          <w:sz w:val="24"/>
        </w:rPr>
      </w:r>
    </w:p>
    <w:p>
      <w:pPr>
        <w:pStyle w:val="Normal"/>
        <w:numPr>
          <w:ilvl w:val="2"/>
          <w:numId w:val="3"/>
        </w:numPr>
        <w:spacing w:before="0" w:after="180"/>
        <w:rPr>
          <w:sz w:val="24"/>
        </w:rPr>
      </w:pPr>
      <w:r>
        <w:rPr>
          <w:sz w:val="24"/>
        </w:rPr>
        <w:t xml:space="preserve">The drawings are intended to show the general arrangement and location of tubing and equipment and the extent of work required for installation and/or connections. They are diagrammatic and are </w:t>
      </w:r>
      <w:r>
        <w:rPr>
          <w:sz w:val="24"/>
          <w:u w:val="single"/>
        </w:rPr>
        <w:t>not</w:t>
      </w:r>
      <w:r>
        <w:rPr>
          <w:sz w:val="24"/>
        </w:rPr>
        <w:t xml:space="preserve">  to scale, but do include specific dimensions where required. All dimensions must be field checked. It is Contractor’s responsibility to assure the dimensions for instrument piping and tubing runs are correct and that these lines are installed in accordance with installation details, true to line, level, plumb, etc.</w:t>
      </w:r>
    </w:p>
    <w:p>
      <w:pPr>
        <w:pStyle w:val="Normal"/>
        <w:numPr>
          <w:ilvl w:val="2"/>
          <w:numId w:val="3"/>
        </w:numPr>
        <w:spacing w:before="0" w:after="180"/>
        <w:rPr>
          <w:sz w:val="24"/>
        </w:rPr>
      </w:pPr>
      <w:r>
        <w:rPr>
          <w:sz w:val="24"/>
        </w:rPr>
        <w:t>Any significant deviation in dimensions or location of equipment as shown on the drawing and those as measured in the field shall be brought to the attention of Company’s authorized representative for corrections action before proceeding with the work.</w:t>
      </w:r>
    </w:p>
    <w:p>
      <w:pPr>
        <w:pStyle w:val="Normal"/>
        <w:spacing w:before="0" w:after="180"/>
        <w:rPr>
          <w:sz w:val="24"/>
        </w:rPr>
      </w:pPr>
      <w:r>
        <w:rPr>
          <w:sz w:val="24"/>
        </w:rPr>
      </w:r>
    </w:p>
    <w:p>
      <w:pPr>
        <w:pStyle w:val="Normal"/>
        <w:numPr>
          <w:ilvl w:val="1"/>
          <w:numId w:val="3"/>
        </w:numPr>
        <w:spacing w:before="0" w:after="180"/>
        <w:rPr>
          <w:sz w:val="24"/>
        </w:rPr>
      </w:pPr>
      <w:r>
        <w:rPr>
          <w:sz w:val="24"/>
          <w:u w:val="single"/>
        </w:rPr>
        <w:t>CODES, STANDARDS, AND PERMITS</w:t>
      </w:r>
    </w:p>
    <w:p>
      <w:pPr>
        <w:pStyle w:val="Normal"/>
        <w:numPr>
          <w:ilvl w:val="2"/>
          <w:numId w:val="3"/>
        </w:numPr>
        <w:spacing w:before="0" w:after="180"/>
        <w:rPr>
          <w:sz w:val="24"/>
        </w:rPr>
      </w:pPr>
      <w:r>
        <w:rPr>
          <w:sz w:val="24"/>
        </w:rPr>
        <w:t>This installation shall comply with all requirements of Title 49 of the Code of Federal Regulations, Part 192, ANSI B31.3, Chemical Plant and Petroleum Refinery Piping (for plant construction), and any other legally constituted authorities having jurisdiction over any part of the work. These requirements supplement the Specifications and shall take precedence in case of conflict.</w:t>
      </w:r>
    </w:p>
    <w:p>
      <w:pPr>
        <w:pStyle w:val="Normal"/>
        <w:numPr>
          <w:ilvl w:val="2"/>
          <w:numId w:val="3"/>
        </w:numPr>
        <w:spacing w:before="0" w:after="180"/>
        <w:rPr>
          <w:sz w:val="24"/>
        </w:rPr>
      </w:pPr>
      <w:r>
        <w:rPr>
          <w:sz w:val="24"/>
        </w:rPr>
        <w:t>All materials and equipment shall be new and, where applicable, shall comply with or exceed the requirements of the following standards:</w:t>
      </w:r>
    </w:p>
    <w:p>
      <w:pPr>
        <w:pStyle w:val="Normal"/>
        <w:numPr>
          <w:ilvl w:val="2"/>
          <w:numId w:val="3"/>
        </w:numPr>
        <w:spacing w:before="0" w:after="180"/>
        <w:rPr>
          <w:sz w:val="24"/>
        </w:rPr>
      </w:pPr>
      <w:r>
        <w:rPr>
          <w:sz w:val="24"/>
        </w:rPr>
        <w:t>The above codes and standards shall be considered to represent minimum requirements for this project. Where the work set forth in this Specification exceeds these requirements, it shall be performed as shown or specified.</w:t>
      </w:r>
    </w:p>
    <w:p>
      <w:pPr>
        <w:pStyle w:val="Normal"/>
        <w:spacing w:before="0" w:after="180"/>
        <w:rPr>
          <w:sz w:val="24"/>
        </w:rPr>
      </w:pPr>
      <w:r>
        <w:rPr>
          <w:sz w:val="24"/>
        </w:rPr>
      </w:r>
    </w:p>
    <w:p>
      <w:pPr>
        <w:pStyle w:val="Normal"/>
        <w:numPr>
          <w:ilvl w:val="1"/>
          <w:numId w:val="3"/>
        </w:numPr>
        <w:spacing w:before="0" w:after="180"/>
        <w:rPr>
          <w:b/>
          <w:sz w:val="24"/>
        </w:rPr>
      </w:pPr>
      <w:r>
        <w:rPr>
          <w:b/>
          <w:sz w:val="24"/>
          <w:u w:val="single"/>
        </w:rPr>
        <w:t>MATERIAL RECEIVING AND STORAGE</w:t>
      </w:r>
    </w:p>
    <w:p>
      <w:pPr>
        <w:pStyle w:val="Normal"/>
        <w:numPr>
          <w:ilvl w:val="2"/>
          <w:numId w:val="3"/>
        </w:numPr>
        <w:spacing w:before="0" w:after="180"/>
        <w:rPr>
          <w:sz w:val="24"/>
        </w:rPr>
      </w:pPr>
      <w:r>
        <w:rPr>
          <w:sz w:val="24"/>
        </w:rPr>
        <w:t>All instruments shall be visually inspected upon receipt. Since lead time for some instruments is long, arrangement must be made with Company’s authorized representative immediately for repair or replacement of damaged or incorrect items.</w:t>
      </w:r>
    </w:p>
    <w:p>
      <w:pPr>
        <w:pStyle w:val="Normal"/>
        <w:numPr>
          <w:ilvl w:val="2"/>
          <w:numId w:val="3"/>
        </w:numPr>
        <w:spacing w:before="0" w:after="180"/>
        <w:rPr>
          <w:sz w:val="24"/>
        </w:rPr>
      </w:pPr>
      <w:r>
        <w:rPr>
          <w:sz w:val="24"/>
        </w:rPr>
        <w:t>Contractor shall provide adequate and proper facilities with the use of bins and storage racks to maintain all items (Company-furnished and Contractor-furnished) in new condition and shall provide continuous protection of all items by the use of desiccants, plastic coverings, grease, oil, and proper heat sources. All tubing and pipe shall be capped at both ends to prevent entrance of foreign objects.</w:t>
      </w:r>
    </w:p>
    <w:p>
      <w:pPr>
        <w:pStyle w:val="Normal"/>
        <w:numPr>
          <w:ilvl w:val="2"/>
          <w:numId w:val="3"/>
        </w:numPr>
        <w:spacing w:before="0" w:after="180"/>
        <w:rPr>
          <w:sz w:val="24"/>
        </w:rPr>
      </w:pPr>
      <w:r>
        <w:rPr>
          <w:sz w:val="24"/>
        </w:rPr>
        <w:t>Since instruments are referred to by the number appearing on the data sheets, and bills of material sheets, each device shall be checked on receipt to ascertain its instrument item number and bill of material number for storage and accounting purposes. If any instrument does not contain such numbers, Company’s authorized representative shall be immediately notified. The proper numbers will be ascertained; and a metallic tag shall be made and mechanically attached before storage.</w:t>
      </w:r>
    </w:p>
    <w:p>
      <w:pPr>
        <w:pStyle w:val="Normal"/>
        <w:numPr>
          <w:ilvl w:val="2"/>
          <w:numId w:val="3"/>
        </w:numPr>
        <w:spacing w:before="0" w:after="180"/>
        <w:rPr>
          <w:sz w:val="24"/>
        </w:rPr>
      </w:pPr>
      <w:r>
        <w:rPr>
          <w:sz w:val="24"/>
        </w:rPr>
        <w:t xml:space="preserve">Instruction manuals, cautionary notes, and shipping tags shall be retained with the equipment if fastened thereto, or when loose shall be retained by Contractor for its use and then turned over Company when the equipment has been installed. Instrument numbers on the major pieces of equipment shall be retained with the equipment. </w:t>
      </w:r>
    </w:p>
    <w:p>
      <w:pPr>
        <w:pStyle w:val="Normal"/>
        <w:spacing w:before="0" w:after="180"/>
        <w:rPr>
          <w:sz w:val="24"/>
        </w:rPr>
      </w:pPr>
      <w:r>
        <w:rPr>
          <w:sz w:val="24"/>
        </w:rPr>
      </w:r>
    </w:p>
    <w:p>
      <w:pPr>
        <w:pStyle w:val="Normal"/>
        <w:numPr>
          <w:ilvl w:val="1"/>
          <w:numId w:val="3"/>
        </w:numPr>
        <w:spacing w:before="0" w:after="180"/>
        <w:rPr>
          <w:b/>
          <w:sz w:val="24"/>
          <w:u w:val="single"/>
        </w:rPr>
      </w:pPr>
      <w:r>
        <w:rPr>
          <w:b/>
          <w:sz w:val="24"/>
          <w:u w:val="single"/>
        </w:rPr>
        <w:t>INSTALLATION  OF EQUIPMENT</w:t>
      </w:r>
    </w:p>
    <w:p>
      <w:pPr>
        <w:pStyle w:val="Normal"/>
        <w:numPr>
          <w:ilvl w:val="2"/>
          <w:numId w:val="3"/>
        </w:numPr>
        <w:spacing w:before="0" w:after="180"/>
        <w:rPr>
          <w:sz w:val="24"/>
        </w:rPr>
      </w:pPr>
      <w:r>
        <w:rPr>
          <w:sz w:val="24"/>
        </w:rPr>
        <w:t>INSTRUMENTS</w:t>
      </w:r>
    </w:p>
    <w:p>
      <w:pPr>
        <w:pStyle w:val="Normal"/>
        <w:numPr>
          <w:ilvl w:val="4"/>
          <w:numId w:val="3"/>
        </w:numPr>
        <w:spacing w:before="0" w:after="180"/>
        <w:rPr>
          <w:sz w:val="24"/>
        </w:rPr>
      </w:pPr>
      <w:r>
        <w:rPr>
          <w:sz w:val="24"/>
        </w:rPr>
        <w:t>Instruments  and accessories shall be installed and connected in accordance with the details shown on the instrumentation drawings and manufacturer’s installation instructions. Where discrepancies occur, Contractor shall consult Company’s authorized representative.</w:t>
      </w:r>
    </w:p>
    <w:p>
      <w:pPr>
        <w:pStyle w:val="Normal"/>
        <w:numPr>
          <w:ilvl w:val="2"/>
          <w:numId w:val="6"/>
        </w:numPr>
        <w:spacing w:before="0" w:after="180"/>
        <w:rPr>
          <w:sz w:val="24"/>
        </w:rPr>
      </w:pPr>
      <w:r>
        <w:rPr>
          <w:sz w:val="24"/>
        </w:rPr>
        <w:t>MOUNTING</w:t>
      </w:r>
    </w:p>
    <w:p>
      <w:pPr>
        <w:pStyle w:val="Normal"/>
        <w:numPr>
          <w:ilvl w:val="4"/>
          <w:numId w:val="7"/>
        </w:numPr>
        <w:spacing w:before="0" w:after="180"/>
        <w:rPr>
          <w:sz w:val="24"/>
        </w:rPr>
      </w:pPr>
      <w:r>
        <w:rPr>
          <w:sz w:val="24"/>
        </w:rPr>
        <w:t>All equipment shall be level, aligned and, if necessary, securely mounted on walls, racks, or structures supplied from bills of material or fabricated in the field as part of the work. This may require the construction of free-standing supports of steel or concrete to support instruments, instrument tubing, or instrument piping or conduit. It is Contractor’s responsibility to supply and install all necessary support structures for this part of the work.</w:t>
      </w:r>
    </w:p>
    <w:p>
      <w:pPr>
        <w:pStyle w:val="Normal"/>
        <w:numPr>
          <w:ilvl w:val="4"/>
          <w:numId w:val="7"/>
        </w:numPr>
        <w:spacing w:before="0" w:after="180"/>
        <w:rPr>
          <w:sz w:val="24"/>
        </w:rPr>
      </w:pPr>
      <w:r>
        <w:rPr>
          <w:sz w:val="24"/>
        </w:rPr>
        <w:t xml:space="preserve">Mounting locations of field-mounted, free-standing instruments not specifically shown on the drawings shall determined by Company’s authorized representative. </w:t>
      </w:r>
    </w:p>
    <w:p>
      <w:pPr>
        <w:pStyle w:val="Normal"/>
        <w:numPr>
          <w:ilvl w:val="4"/>
          <w:numId w:val="7"/>
        </w:numPr>
        <w:spacing w:before="0" w:after="180"/>
        <w:rPr>
          <w:sz w:val="24"/>
        </w:rPr>
      </w:pPr>
      <w:r>
        <w:rPr>
          <w:sz w:val="24"/>
        </w:rPr>
        <w:t>Supporting instruments, equipment, or instrument lines from process piping will be allowed only by approval from Company’s authorized representative.</w:t>
      </w:r>
    </w:p>
    <w:p>
      <w:pPr>
        <w:pStyle w:val="Normal"/>
        <w:numPr>
          <w:ilvl w:val="4"/>
          <w:numId w:val="7"/>
        </w:numPr>
        <w:spacing w:before="0" w:after="180"/>
        <w:rPr>
          <w:sz w:val="24"/>
        </w:rPr>
      </w:pPr>
      <w:r>
        <w:rPr>
          <w:sz w:val="24"/>
        </w:rPr>
        <w:t>In general, the centerline of instruments shall be 4 feet 6 inches above the finished surface, floor, or platform.</w:t>
      </w:r>
    </w:p>
    <w:p>
      <w:pPr>
        <w:pStyle w:val="Normal"/>
        <w:numPr>
          <w:ilvl w:val="4"/>
          <w:numId w:val="7"/>
        </w:numPr>
        <w:spacing w:before="0" w:after="180"/>
        <w:rPr>
          <w:sz w:val="24"/>
        </w:rPr>
      </w:pPr>
      <w:r>
        <w:rPr>
          <w:sz w:val="24"/>
        </w:rPr>
        <w:t>Access to instruments and controls shall be maintained. Mount all local mounted instruments and transmitters as near to the point of measurement as possible while maintaining accessibility.</w:t>
      </w:r>
    </w:p>
    <w:p>
      <w:pPr>
        <w:pStyle w:val="Normal"/>
        <w:numPr>
          <w:ilvl w:val="4"/>
          <w:numId w:val="7"/>
        </w:numPr>
        <w:spacing w:before="0" w:after="180"/>
        <w:rPr>
          <w:sz w:val="24"/>
        </w:rPr>
      </w:pPr>
      <w:r>
        <w:rPr>
          <w:sz w:val="24"/>
        </w:rPr>
        <w:t>Instruments shall be supported generally from appropriate pipe stands or mounting plates. Transmitters may be supported from process piping using appropriate brackets.</w:t>
      </w:r>
    </w:p>
    <w:p>
      <w:pPr>
        <w:pStyle w:val="Normal"/>
        <w:numPr>
          <w:ilvl w:val="4"/>
          <w:numId w:val="7"/>
        </w:numPr>
        <w:spacing w:before="0" w:after="180"/>
        <w:rPr>
          <w:sz w:val="24"/>
        </w:rPr>
      </w:pPr>
      <w:r>
        <w:rPr>
          <w:sz w:val="24"/>
        </w:rPr>
        <w:t>Instruments shall not be mounted on piping or equipment that is subject to vibration. Do not locate instruments on handrails, ladders, or in pathways. Do not support instruments from process piping or equipment that would grow considerably due to heat, unless the instrument tap and support are close to one another on the same pipe or equipment. If they are not, provide sufficient flexibility in the tubing to ensure that no damage will result.</w:t>
      </w:r>
    </w:p>
    <w:p>
      <w:pPr>
        <w:pStyle w:val="Normal"/>
        <w:numPr>
          <w:ilvl w:val="4"/>
          <w:numId w:val="7"/>
        </w:numPr>
        <w:spacing w:before="0" w:after="180"/>
        <w:rPr>
          <w:sz w:val="24"/>
        </w:rPr>
      </w:pPr>
      <w:r>
        <w:rPr>
          <w:sz w:val="24"/>
        </w:rPr>
        <w:t>Pedestals of instruments, mounted on metal platforms, shall be welded to the platform support channel or angle. To avoid congestion, mount the instrument off the outside edge of the platform whenever feasible.</w:t>
      </w:r>
    </w:p>
    <w:p>
      <w:pPr>
        <w:pStyle w:val="Normal"/>
        <w:numPr>
          <w:ilvl w:val="4"/>
          <w:numId w:val="7"/>
        </w:numPr>
        <w:spacing w:before="0" w:after="180"/>
        <w:rPr>
          <w:sz w:val="24"/>
        </w:rPr>
      </w:pPr>
      <w:r>
        <w:rPr>
          <w:sz w:val="24"/>
        </w:rPr>
        <w:t xml:space="preserve">All instrument piping shall be self-supporting when the instrument is removed for maintenance. </w:t>
      </w:r>
    </w:p>
    <w:p>
      <w:pPr>
        <w:pStyle w:val="Normal"/>
        <w:spacing w:before="0" w:after="180"/>
        <w:rPr>
          <w:sz w:val="24"/>
        </w:rPr>
      </w:pPr>
      <w:r>
        <w:rPr>
          <w:sz w:val="24"/>
        </w:rPr>
      </w:r>
    </w:p>
    <w:p>
      <w:pPr>
        <w:pStyle w:val="Normal"/>
        <w:numPr>
          <w:ilvl w:val="3"/>
          <w:numId w:val="7"/>
        </w:numPr>
        <w:spacing w:before="0" w:after="180"/>
        <w:rPr>
          <w:sz w:val="24"/>
        </w:rPr>
      </w:pPr>
      <w:r>
        <w:rPr>
          <w:sz w:val="24"/>
          <w:u w:val="single"/>
        </w:rPr>
        <w:t>Locations</w:t>
      </w:r>
    </w:p>
    <w:p>
      <w:pPr>
        <w:pStyle w:val="Normal"/>
        <w:numPr>
          <w:ilvl w:val="4"/>
          <w:numId w:val="7"/>
        </w:numPr>
        <w:spacing w:before="0" w:after="180"/>
        <w:rPr>
          <w:sz w:val="24"/>
        </w:rPr>
      </w:pPr>
      <w:r>
        <w:rPr>
          <w:sz w:val="24"/>
        </w:rPr>
        <w:t xml:space="preserve">All instruments shall be located with respect to ground or platforms so that they can be serviced without ladders or scaffolding. Consideration shall be given to locating instruments such as transmitters, primary flow elements, thermowells, and control valves, at elevations not higher than 15 feet above clear paved areas where they can be services from a rolling platform or from a portable ladder. Where feasible, lines should be located and spaced for convenient instrument connection. </w:t>
      </w:r>
    </w:p>
    <w:p>
      <w:pPr>
        <w:pStyle w:val="Normal"/>
        <w:numPr>
          <w:ilvl w:val="4"/>
          <w:numId w:val="7"/>
        </w:numPr>
        <w:spacing w:before="0" w:after="180"/>
        <w:rPr>
          <w:sz w:val="24"/>
        </w:rPr>
      </w:pPr>
      <w:r>
        <w:rPr>
          <w:sz w:val="24"/>
        </w:rPr>
        <w:t>Where convenient, instruments may grouped so as to be accessible from a single platform built for access.</w:t>
      </w:r>
    </w:p>
    <w:p>
      <w:pPr>
        <w:pStyle w:val="Normal"/>
        <w:numPr>
          <w:ilvl w:val="4"/>
          <w:numId w:val="7"/>
        </w:numPr>
        <w:spacing w:before="0" w:after="180"/>
        <w:rPr>
          <w:sz w:val="24"/>
        </w:rPr>
      </w:pPr>
      <w:r>
        <w:rPr>
          <w:sz w:val="24"/>
        </w:rPr>
        <w:t>Indicating instruments shall be mounted so that operating personnel may have reasonable visual contact.</w:t>
      </w:r>
    </w:p>
    <w:p>
      <w:pPr>
        <w:pStyle w:val="Normal"/>
        <w:numPr>
          <w:ilvl w:val="4"/>
          <w:numId w:val="7"/>
        </w:numPr>
        <w:spacing w:before="0" w:after="180"/>
        <w:rPr>
          <w:sz w:val="24"/>
        </w:rPr>
      </w:pPr>
      <w:r>
        <w:rPr>
          <w:sz w:val="24"/>
        </w:rPr>
        <w:t>Gauge glasses, level switches, and liquid level controllers shall be adequately supported. If a top nozzle is required on a horizontal vessel, special consideration must be given to support of the bridle assembly.</w:t>
      </w:r>
    </w:p>
    <w:p>
      <w:pPr>
        <w:pStyle w:val="Normal"/>
        <w:numPr>
          <w:ilvl w:val="4"/>
          <w:numId w:val="7"/>
        </w:numPr>
        <w:spacing w:before="0" w:after="180"/>
        <w:rPr>
          <w:sz w:val="24"/>
        </w:rPr>
      </w:pPr>
      <w:r>
        <w:rPr>
          <w:sz w:val="24"/>
        </w:rPr>
        <w:t>Level gauges shall be located to be easily visible from grade, or from a platform.</w:t>
      </w:r>
    </w:p>
    <w:p>
      <w:pPr>
        <w:pStyle w:val="Normal"/>
        <w:numPr>
          <w:ilvl w:val="4"/>
          <w:numId w:val="7"/>
        </w:numPr>
        <w:spacing w:before="0" w:after="180"/>
        <w:rPr>
          <w:sz w:val="24"/>
        </w:rPr>
      </w:pPr>
      <w:r>
        <w:rPr>
          <w:sz w:val="24"/>
        </w:rPr>
        <w:t>Long capillary runs shall be avoided when possible and shall be protected with suitable armor or tray.</w:t>
      </w:r>
    </w:p>
    <w:p>
      <w:pPr>
        <w:pStyle w:val="Normal"/>
        <w:spacing w:before="0" w:after="180"/>
        <w:rPr>
          <w:sz w:val="24"/>
        </w:rPr>
      </w:pPr>
      <w:r>
        <w:rPr>
          <w:sz w:val="24"/>
        </w:rPr>
      </w:r>
    </w:p>
    <w:p>
      <w:pPr>
        <w:pStyle w:val="Normal"/>
        <w:numPr>
          <w:ilvl w:val="2"/>
          <w:numId w:val="7"/>
        </w:numPr>
        <w:spacing w:before="0" w:after="180"/>
        <w:rPr>
          <w:sz w:val="24"/>
        </w:rPr>
      </w:pPr>
      <w:r>
        <w:rPr>
          <w:sz w:val="24"/>
        </w:rPr>
        <w:t>PIPE AND TUBING</w:t>
      </w:r>
    </w:p>
    <w:p>
      <w:pPr>
        <w:pStyle w:val="Normal"/>
        <w:numPr>
          <w:ilvl w:val="3"/>
          <w:numId w:val="8"/>
        </w:numPr>
        <w:spacing w:before="0" w:after="180"/>
        <w:rPr>
          <w:sz w:val="24"/>
        </w:rPr>
      </w:pPr>
      <w:r>
        <w:rPr>
          <w:sz w:val="24"/>
        </w:rPr>
        <w:t>Pipe and tubing type, size, and pressure ratings shall be as shown on the drawings. All carbon steel pipe shall be ASTM A-106 Grade B seamless, schedule 80. All carbon-steel pipe fittings shall be schedule 80 ASTM A-234 WPB if welded and 3,000 pound minimum rating ASTM A-105 forged steel if screwed. All stainless steel pipe shall be ASTM A-312 Grade 304. Tubing shall be ASTM A-269 TP304 or ASTM A-213 TP316 stainless steel with wall thickness as listed following:</w:t>
      </w:r>
    </w:p>
    <w:p>
      <w:pPr>
        <w:pStyle w:val="Normal"/>
        <w:spacing w:before="0" w:after="180"/>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827" w:hRule="atLeast"/>
        </w:trPr>
        <w:tc>
          <w:tcPr>
            <w:tcW w:w="2214" w:type="dxa"/>
            <w:tcBorders>
              <w:top w:val="single" w:sz="4" w:space="0" w:color="000000"/>
              <w:start w:val="single" w:sz="4" w:space="0" w:color="000000"/>
              <w:bottom w:val="single" w:sz="4" w:space="0" w:color="000000"/>
              <w:end w:val="single" w:sz="4" w:space="0" w:color="000000"/>
            </w:tcBorders>
          </w:tcPr>
          <w:p>
            <w:pPr>
              <w:pStyle w:val="Heading2"/>
              <w:spacing w:before="0" w:after="180"/>
              <w:ind w:hanging="0" w:start="0"/>
              <w:rPr/>
            </w:pPr>
            <w:r>
              <w:rPr/>
              <w:t>Tube OD</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Minimum</w:t>
            </w:r>
          </w:p>
          <w:p>
            <w:pPr>
              <w:pStyle w:val="Normal"/>
              <w:spacing w:before="0" w:after="180"/>
              <w:jc w:val="center"/>
              <w:rPr>
                <w:sz w:val="24"/>
              </w:rPr>
            </w:pPr>
            <w:r>
              <w:rPr>
                <w:sz w:val="24"/>
              </w:rPr>
              <w:t>Wall</w:t>
            </w:r>
          </w:p>
          <w:p>
            <w:pPr>
              <w:pStyle w:val="Normal"/>
              <w:spacing w:before="0" w:after="180"/>
              <w:jc w:val="center"/>
              <w:rPr>
                <w:sz w:val="24"/>
              </w:rPr>
            </w:pPr>
            <w:r>
              <w:rPr>
                <w:sz w:val="24"/>
              </w:rPr>
              <w:t>Thickness</w:t>
            </w:r>
          </w:p>
        </w:tc>
        <w:tc>
          <w:tcPr>
            <w:tcW w:w="2214" w:type="dxa"/>
            <w:tcBorders>
              <w:top w:val="single" w:sz="4" w:space="0" w:color="000000"/>
              <w:start w:val="single" w:sz="4" w:space="0" w:color="000000"/>
              <w:bottom w:val="single" w:sz="4" w:space="0" w:color="000000"/>
              <w:end w:val="single" w:sz="4" w:space="0" w:color="000000"/>
            </w:tcBorders>
          </w:tcPr>
          <w:p>
            <w:pPr>
              <w:pStyle w:val="Heading2"/>
              <w:spacing w:before="0" w:after="180"/>
              <w:ind w:hanging="0" w:start="0"/>
              <w:rPr/>
            </w:pPr>
            <w:r>
              <w:rPr/>
              <w:t>Tube OD</w:t>
            </w:r>
          </w:p>
        </w:tc>
        <w:tc>
          <w:tcPr>
            <w:tcW w:w="2214" w:type="dxa"/>
            <w:tcBorders>
              <w:top w:val="single" w:sz="4" w:space="0" w:color="000000"/>
              <w:start w:val="single" w:sz="4" w:space="0" w:color="000000"/>
              <w:bottom w:val="single" w:sz="4" w:space="0" w:color="000000"/>
              <w:end w:val="single" w:sz="4" w:space="0" w:color="000000"/>
            </w:tcBorders>
          </w:tcPr>
          <w:p>
            <w:pPr>
              <w:pStyle w:val="Heading2"/>
              <w:spacing w:before="0" w:after="180"/>
              <w:ind w:hanging="0" w:start="0"/>
              <w:rPr/>
            </w:pPr>
            <w:r>
              <w:rPr/>
              <w:t>Minimum</w:t>
            </w:r>
          </w:p>
          <w:p>
            <w:pPr>
              <w:pStyle w:val="Normal"/>
              <w:spacing w:before="0" w:after="180"/>
              <w:jc w:val="center"/>
              <w:rPr>
                <w:sz w:val="24"/>
              </w:rPr>
            </w:pPr>
            <w:r>
              <w:rPr>
                <w:sz w:val="24"/>
              </w:rPr>
              <w:t>Wall</w:t>
            </w:r>
          </w:p>
          <w:p>
            <w:pPr>
              <w:pStyle w:val="Normal"/>
              <w:spacing w:before="0" w:after="180"/>
              <w:jc w:val="center"/>
              <w:rPr>
                <w:sz w:val="24"/>
              </w:rPr>
            </w:pPr>
            <w:r>
              <w:rPr>
                <w:sz w:val="24"/>
              </w:rPr>
              <w:t>Thickness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.028”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3/4”</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.062”</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3/16”</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.028”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7/8”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.073”</w:t>
            </w:r>
          </w:p>
        </w:tc>
      </w:tr>
      <w:tr>
        <w:trPr>
          <w:trHeight w:val="323" w:hRule="atLeast"/>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1/4 “</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.028”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.083”</w:t>
            </w:r>
          </w:p>
        </w:tc>
      </w:tr>
      <w:tr>
        <w:trPr>
          <w:trHeight w:val="350" w:hRule="atLeast"/>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5/16”</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.035”</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1-1/4”</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.104”</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3/8”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.035”</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1-1/2”</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.125”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1/2 “</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.041”</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2”</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sz w:val="24"/>
              </w:rPr>
            </w:pPr>
            <w:r>
              <w:rPr>
                <w:sz w:val="24"/>
              </w:rPr>
              <w:t>.167”</w:t>
            </w:r>
          </w:p>
        </w:tc>
      </w:tr>
      <w:tr>
        <w:trPr>
          <w:trHeight w:val="70" w:hRule="atLeast"/>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80"/>
              <w:jc w:val="center"/>
              <w:rPr>
                <w:sz w:val="24"/>
              </w:rPr>
            </w:pPr>
            <w:r>
              <w:rPr>
                <w:sz w:val="24"/>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80"/>
              <w:jc w:val="center"/>
              <w:rPr>
                <w:sz w:val="24"/>
              </w:rPr>
            </w:pPr>
            <w:r>
              <w:rPr>
                <w:sz w:val="24"/>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80"/>
              <w:jc w:val="center"/>
              <w:rPr>
                <w:sz w:val="24"/>
              </w:rPr>
            </w:pPr>
            <w:r>
              <w:rPr>
                <w:sz w:val="24"/>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80"/>
              <w:jc w:val="center"/>
              <w:rPr>
                <w:sz w:val="24"/>
              </w:rPr>
            </w:pPr>
            <w:r>
              <w:rPr>
                <w:sz w:val="24"/>
              </w:rPr>
            </w:r>
          </w:p>
        </w:tc>
      </w:tr>
    </w:tbl>
    <w:p>
      <w:pPr>
        <w:pStyle w:val="Normal"/>
        <w:spacing w:before="0" w:after="180"/>
        <w:jc w:val="center"/>
        <w:rPr>
          <w:sz w:val="24"/>
        </w:rPr>
      </w:pPr>
      <w:r>
        <w:rPr>
          <w:sz w:val="24"/>
        </w:rPr>
      </w:r>
    </w:p>
    <w:p>
      <w:pPr>
        <w:pStyle w:val="BodyTextIndent"/>
        <w:spacing w:before="0" w:after="180"/>
        <w:ind w:hanging="1440" w:start="1170" w:end="0"/>
        <w:rPr/>
      </w:pPr>
      <w:r>
        <w:rPr/>
        <w:t xml:space="preserve">     </w:t>
      </w:r>
      <w:r>
        <w:rPr/>
        <w:t xml:space="preserve">6.6.2.2 </w:t>
        <w:tab/>
        <w:t>Swage-Lok fittings at terminations unless otherwise specified on drawings. Threaded joints shall be made up with a elastic-paste-type, greaseless, non-hardening, pipe thread compound. Teflon tape shall not be allowed on instrument work.</w:t>
      </w:r>
    </w:p>
    <w:p>
      <w:pPr>
        <w:pStyle w:val="BodyTextIndent2"/>
        <w:spacing w:before="0" w:after="180"/>
        <w:ind w:hanging="1170" w:start="1170" w:end="0"/>
        <w:rPr/>
      </w:pPr>
      <w:r>
        <w:rPr/>
        <w:t>6.6.2.3</w:t>
        <w:tab/>
        <w:t>Where possible , the tubing and piping runs shall be grouped in runs parallel or perpendicular to the base lines and shall be so arranged that a run will  not have to cross over other runs to leave a parallel grouping. Changes in  direction shall be accomplished by neat bends as produced by a tubing bender or  elbow fitting where required. Large-radius bends and hand bending shall not be  permitted. All tubing shall be bent with tubing benders of appropriate size.</w:t>
      </w:r>
    </w:p>
    <w:p>
      <w:pPr>
        <w:pStyle w:val="Normal"/>
        <w:numPr>
          <w:ilvl w:val="3"/>
          <w:numId w:val="5"/>
        </w:numPr>
        <w:spacing w:before="0" w:after="180"/>
        <w:rPr>
          <w:sz w:val="24"/>
        </w:rPr>
      </w:pPr>
      <w:r>
        <w:rPr>
          <w:sz w:val="24"/>
        </w:rPr>
        <w:t>Vertical runs shall be clamped securely to prevent vibration and slipping and                    must be protected by pipe sleeves or similar means in areas where damage might occur.</w:t>
      </w:r>
    </w:p>
    <w:p>
      <w:pPr>
        <w:pStyle w:val="Normal"/>
        <w:numPr>
          <w:ilvl w:val="3"/>
          <w:numId w:val="5"/>
        </w:numPr>
        <w:spacing w:before="0" w:after="180"/>
        <w:rPr>
          <w:sz w:val="24"/>
        </w:rPr>
      </w:pPr>
      <w:r>
        <w:rPr>
          <w:sz w:val="24"/>
        </w:rPr>
        <w:t>Horizontal runs shall be supported to prevent sagging, vibration, or side movement.</w:t>
      </w:r>
    </w:p>
    <w:p>
      <w:pPr>
        <w:pStyle w:val="Normal"/>
        <w:numPr>
          <w:ilvl w:val="3"/>
          <w:numId w:val="5"/>
        </w:numPr>
        <w:spacing w:before="0" w:after="180"/>
        <w:rPr>
          <w:sz w:val="24"/>
        </w:rPr>
      </w:pPr>
      <w:r>
        <w:rPr>
          <w:sz w:val="24"/>
        </w:rPr>
        <w:t>Instrument runs that originate on equipment subject to thermal movement, vibration, etc., must be installed in a manner to provide the flexibility to absorb the equipment movement ( such as expansion loops) so that undue strain will not be placed on rigidly mounted instruments, and so that buckling and pinching will not occur in the runs during operation.</w:t>
      </w:r>
    </w:p>
    <w:p>
      <w:pPr>
        <w:pStyle w:val="Normal"/>
        <w:numPr>
          <w:ilvl w:val="3"/>
          <w:numId w:val="5"/>
        </w:numPr>
        <w:spacing w:before="0" w:after="180"/>
        <w:rPr>
          <w:sz w:val="24"/>
        </w:rPr>
      </w:pPr>
      <w:r>
        <w:rPr>
          <w:sz w:val="24"/>
        </w:rPr>
        <w:t>Individual instrument tubes connecting to any equipment that is subject to movement vibration shall have its first two support points (off the equipment) equipped with rubber or soft plastic sleeves to absorb the movement and to prevent damage. Contractor shall check all tubing for resonant vibration after the plant equipment is running. Where possible, all instrument lines shall be sloped continuously uphill from pressure taps to the instrument.</w:t>
      </w:r>
    </w:p>
    <w:p>
      <w:pPr>
        <w:pStyle w:val="Normal"/>
        <w:numPr>
          <w:ilvl w:val="3"/>
          <w:numId w:val="5"/>
        </w:numPr>
        <w:spacing w:before="0" w:after="180"/>
        <w:rPr>
          <w:sz w:val="24"/>
        </w:rPr>
      </w:pPr>
      <w:r>
        <w:rPr>
          <w:sz w:val="24"/>
        </w:rPr>
        <w:t xml:space="preserve">All piping, tubing, and fittings shall be visually inspected for foreign material and manually cleaned, if necessary, before installation. Open ends of lines must be protected at all times from dirt or debris. Before connecting tubing or piping runs to the instruments, each run shall be blown free of dirt with 100 psig, clean, dry air or nitrogen. </w:t>
      </w:r>
    </w:p>
    <w:p>
      <w:pPr>
        <w:pStyle w:val="Normal"/>
        <w:spacing w:before="0" w:after="180"/>
        <w:rPr>
          <w:sz w:val="24"/>
        </w:rPr>
      </w:pPr>
      <w:r>
        <w:rPr>
          <w:sz w:val="24"/>
        </w:rPr>
      </w:r>
    </w:p>
    <w:p>
      <w:pPr>
        <w:pStyle w:val="Normal"/>
        <w:numPr>
          <w:ilvl w:val="1"/>
          <w:numId w:val="5"/>
        </w:numPr>
        <w:spacing w:before="0" w:after="180"/>
        <w:rPr>
          <w:b/>
          <w:sz w:val="24"/>
        </w:rPr>
      </w:pPr>
      <w:r>
        <w:rPr>
          <w:b/>
          <w:sz w:val="24"/>
          <w:u w:val="single"/>
        </w:rPr>
        <w:t>PRESSURE TESTS</w:t>
      </w:r>
    </w:p>
    <w:p>
      <w:pPr>
        <w:pStyle w:val="BodyTextIndent3"/>
        <w:numPr>
          <w:ilvl w:val="2"/>
          <w:numId w:val="2"/>
        </w:numPr>
        <w:spacing w:before="0" w:after="180"/>
        <w:rPr/>
      </w:pPr>
      <w:r>
        <w:rPr/>
        <w:t xml:space="preserve">All instrument and tubing pressure tests shall be coordinated with Company’s authorized representative. Instrument connections that cannot be tested with the piping gas systems or equipment, as required, shall be tested for leaks with a liquid soap solution under maximum operating conditions. </w:t>
      </w:r>
    </w:p>
    <w:p>
      <w:pPr>
        <w:pStyle w:val="Normal"/>
        <w:spacing w:before="0" w:after="180"/>
        <w:rPr>
          <w:sz w:val="24"/>
        </w:rPr>
      </w:pPr>
      <w:r>
        <w:rPr>
          <w:sz w:val="24"/>
        </w:rPr>
      </w:r>
    </w:p>
    <w:p>
      <w:pPr>
        <w:pStyle w:val="Normal"/>
        <w:numPr>
          <w:ilvl w:val="1"/>
          <w:numId w:val="2"/>
        </w:numPr>
        <w:spacing w:before="0" w:after="180"/>
        <w:rPr>
          <w:b/>
          <w:sz w:val="24"/>
        </w:rPr>
      </w:pPr>
      <w:r>
        <w:rPr>
          <w:b/>
          <w:sz w:val="24"/>
          <w:u w:val="single"/>
        </w:rPr>
        <w:t>CALIBRATION AND CHECKOUT</w:t>
      </w:r>
    </w:p>
    <w:p>
      <w:pPr>
        <w:pStyle w:val="Normal"/>
        <w:numPr>
          <w:ilvl w:val="2"/>
          <w:numId w:val="2"/>
        </w:numPr>
        <w:spacing w:before="0" w:after="180"/>
        <w:rPr>
          <w:sz w:val="24"/>
        </w:rPr>
      </w:pPr>
      <w:r>
        <w:rPr>
          <w:sz w:val="24"/>
        </w:rPr>
        <w:t>All instrument and control systems shall be calibrated, adjusted, and placed in operation by Company unless otherwise directed. Contractor shall work with Company or vendor’s representative when requested by Company, to place the equipment in service and ensure proper operation.</w:t>
      </w:r>
    </w:p>
    <w:p>
      <w:pPr>
        <w:pStyle w:val="BodyTextIndent3"/>
        <w:numPr>
          <w:ilvl w:val="4"/>
          <w:numId w:val="4"/>
        </w:numPr>
        <w:spacing w:before="0" w:after="180"/>
        <w:rPr/>
      </w:pPr>
      <w:r>
        <w:rPr/>
        <w:t xml:space="preserve">A calibration record sheet shall be filled out for each instrument. This sheet shall state: Manufacturer, model number, serial number, tag number, and all other pertinent information about the instrument. The sheet shall be signed by the individual performing the calibration. A space shall be provided for the acceptance signature of Company’s authorized representative. </w:t>
      </w:r>
    </w:p>
    <w:p>
      <w:pPr>
        <w:pStyle w:val="BodyTextIndent3"/>
        <w:numPr>
          <w:ilvl w:val="4"/>
          <w:numId w:val="4"/>
        </w:numPr>
        <w:spacing w:before="0" w:after="180"/>
        <w:rPr/>
      </w:pPr>
      <w:r>
        <w:rPr/>
        <w:t>All field calibrated instruments shall have a 5 point calibration performed and logged on the calibration record for that instrument, to show linearity. If lack of linearity is judged to be non-correctable, a test for hysteresis shall be made. If the plotted curve from this test shows too much deviation at midpoint of range, the instrument shall be repaired or replaced and the calibration procedure shall be repeated.</w:t>
      </w:r>
    </w:p>
    <w:p>
      <w:pPr>
        <w:pStyle w:val="Normal"/>
        <w:spacing w:before="0" w:after="180"/>
        <w:rPr>
          <w:sz w:val="24"/>
        </w:rPr>
      </w:pPr>
      <w:r>
        <w:rPr>
          <w:sz w:val="24"/>
        </w:rPr>
      </w:r>
    </w:p>
    <w:p>
      <w:pPr>
        <w:pStyle w:val="Normal"/>
        <w:numPr>
          <w:ilvl w:val="3"/>
          <w:numId w:val="4"/>
        </w:numPr>
        <w:spacing w:before="0" w:after="180"/>
        <w:rPr>
          <w:b/>
          <w:sz w:val="24"/>
        </w:rPr>
      </w:pPr>
      <w:r>
        <w:rPr>
          <w:b/>
          <w:sz w:val="24"/>
          <w:u w:val="single"/>
        </w:rPr>
        <w:t>INSTRUMENT CALIBRATION</w:t>
      </w:r>
    </w:p>
    <w:p>
      <w:pPr>
        <w:pStyle w:val="BodyTextIndent3"/>
        <w:numPr>
          <w:ilvl w:val="4"/>
          <w:numId w:val="4"/>
        </w:numPr>
        <w:spacing w:before="0" w:after="180"/>
        <w:rPr/>
      </w:pPr>
      <w:r>
        <w:rPr/>
        <w:t>In general, all field instruments shall be calibrated installed in place. Factory calibration is not acceptable in lieu of this requirement, due to the probability in transit of damage or calibration shift.</w:t>
      </w:r>
    </w:p>
    <w:p>
      <w:pPr>
        <w:pStyle w:val="BodyTextIndent3"/>
        <w:numPr>
          <w:ilvl w:val="4"/>
          <w:numId w:val="4"/>
        </w:numPr>
        <w:spacing w:before="0" w:after="180"/>
        <w:rPr/>
      </w:pPr>
      <w:r>
        <w:rPr/>
        <w:t>The selection of equipment and standards to be used in calibration will necessarily be determined by the type of instruments involved, the type(s) and ranges of transmission medium, and the located where the calibration is to be performed. Standards of accuracy required shall be in accordance with the objectives stated above.</w:t>
      </w:r>
    </w:p>
    <w:p>
      <w:pPr>
        <w:pStyle w:val="Normal"/>
        <w:spacing w:before="0" w:after="180"/>
        <w:rPr>
          <w:sz w:val="24"/>
        </w:rPr>
      </w:pPr>
      <w:r>
        <w:rPr>
          <w:sz w:val="24"/>
        </w:rPr>
      </w:r>
    </w:p>
    <w:p>
      <w:pPr>
        <w:pStyle w:val="Normal"/>
        <w:numPr>
          <w:ilvl w:val="3"/>
          <w:numId w:val="4"/>
        </w:numPr>
        <w:spacing w:before="0" w:after="180"/>
        <w:rPr>
          <w:b/>
          <w:sz w:val="24"/>
        </w:rPr>
      </w:pPr>
      <w:r>
        <w:rPr>
          <w:b/>
          <w:sz w:val="24"/>
          <w:u w:val="single"/>
        </w:rPr>
        <w:t>LOOP TESTING</w:t>
      </w:r>
    </w:p>
    <w:p>
      <w:pPr>
        <w:pStyle w:val="BodyTextIndent3"/>
        <w:numPr>
          <w:ilvl w:val="4"/>
          <w:numId w:val="4"/>
        </w:numPr>
        <w:spacing w:before="0" w:after="180"/>
        <w:rPr/>
      </w:pPr>
      <w:r>
        <w:rPr/>
        <w:t>In this phase of checkout all instruments and instrumentation systems shall be given a detailed inspection. If Contractor is required to perform the testing, it shall submit to the Company for review and approval, a detailed plan by which to conduct the testing.</w:t>
      </w:r>
    </w:p>
    <w:p>
      <w:pPr>
        <w:pStyle w:val="Normal"/>
        <w:spacing w:before="0" w:after="180"/>
        <w:rPr>
          <w:sz w:val="24"/>
        </w:rPr>
      </w:pPr>
      <w:r>
        <w:rPr>
          <w:sz w:val="24"/>
        </w:rPr>
      </w:r>
    </w:p>
    <w:p>
      <w:pPr>
        <w:pStyle w:val="BodyTextIndent3"/>
        <w:numPr>
          <w:ilvl w:val="4"/>
          <w:numId w:val="4"/>
        </w:numPr>
        <w:spacing w:before="0" w:after="180"/>
        <w:rPr/>
      </w:pPr>
      <w:r>
        <w:rPr/>
        <w:t>Instrument leads and pneumatic lines shall be pressure and leak tested as directed in Section 4 of this specification.</w:t>
      </w:r>
    </w:p>
    <w:p>
      <w:pPr>
        <w:pStyle w:val="BodyTextIndent3"/>
        <w:numPr>
          <w:ilvl w:val="4"/>
          <w:numId w:val="4"/>
        </w:numPr>
        <w:spacing w:before="0" w:after="180"/>
        <w:rPr/>
      </w:pPr>
      <w:r>
        <w:rPr/>
        <w:t>Instrumentation loop data sheets shall be prepared prior to the start of loop testing. These loop data sheets shall form the guide for conducting loop tests, to ensure that all items are checked. A single set of master loop data sheets shall be maintained by the individual responsible for loop testing. These sheets shall be marked in a distinctive manner to indicate item checks, discrepancies discovered, and corrective action taken.</w:t>
      </w:r>
    </w:p>
    <w:p>
      <w:pPr>
        <w:pStyle w:val="Normal"/>
        <w:numPr>
          <w:ilvl w:val="4"/>
          <w:numId w:val="4"/>
        </w:numPr>
        <w:spacing w:before="0" w:after="180"/>
        <w:rPr>
          <w:sz w:val="24"/>
        </w:rPr>
      </w:pPr>
      <w:r>
        <w:rPr>
          <w:sz w:val="24"/>
        </w:rPr>
        <w:t>The emphasis in loop testing shall be on functional testing of systems as opposed to visual, continuity, or accuracy testing. Transmitters and measuring elements shall be actuated in a manner to emulate, as closely as possible, actual process operation. The operation of the entire loop as a system shall be monitored. This testing shall include monitoring the operation of all associated alarms, local indicators, panel-board indicators, and recorders, and operation  of final control element, etc.</w:t>
      </w:r>
    </w:p>
    <w:p>
      <w:pPr>
        <w:pStyle w:val="Normal"/>
        <w:numPr>
          <w:ilvl w:val="4"/>
          <w:numId w:val="4"/>
        </w:numPr>
        <w:spacing w:before="0" w:after="180"/>
        <w:rPr>
          <w:sz w:val="24"/>
        </w:rPr>
      </w:pPr>
      <w:r>
        <w:rPr>
          <w:sz w:val="24"/>
        </w:rPr>
        <w:t>In general, all instruments shall be left ready for operation after loop testing. This includes process connections complete, block valves open, equalizers closed, air and electrical supplies turned on, controllers with preliminary response setting(s) and set points adjusted properly, motor valve bypasses closed, and block valves opened.</w:t>
      </w:r>
    </w:p>
    <w:p>
      <w:pPr>
        <w:pStyle w:val="Normal"/>
        <w:spacing w:before="0" w:after="180"/>
        <w:rPr>
          <w:sz w:val="24"/>
        </w:rPr>
      </w:pPr>
      <w:r>
        <w:rPr>
          <w:sz w:val="24"/>
        </w:rPr>
      </w:r>
    </w:p>
    <w:p>
      <w:pPr>
        <w:pStyle w:val="Normal"/>
        <w:numPr>
          <w:ilvl w:val="1"/>
          <w:numId w:val="4"/>
        </w:numPr>
        <w:spacing w:before="0" w:after="180"/>
        <w:rPr>
          <w:b/>
          <w:sz w:val="24"/>
        </w:rPr>
      </w:pPr>
      <w:r>
        <w:rPr>
          <w:b/>
          <w:sz w:val="24"/>
          <w:u w:val="single"/>
        </w:rPr>
        <w:t>RED-LINE DRAWINGS</w:t>
      </w:r>
    </w:p>
    <w:p>
      <w:pPr>
        <w:pStyle w:val="Normal"/>
        <w:spacing w:before="0" w:after="180"/>
        <w:ind w:start="1170" w:end="0"/>
        <w:rPr>
          <w:sz w:val="24"/>
        </w:rPr>
      </w:pPr>
      <w:r>
        <w:rPr>
          <w:sz w:val="24"/>
        </w:rPr>
        <w:t>Contractor shall “red-line” any and all field instrumentation and control changes, including piping and tubing routing and instrument locations, on their respective drawings and bills of material to Company’s authorized representative within 10 days after the completion of construction. Changes shall be shown on all affected drawings including, but not to P and ID’s, details, loop sheets, etc.</w:t>
      </w:r>
    </w:p>
    <w:p>
      <w:pPr>
        <w:pStyle w:val="Normal"/>
        <w:spacing w:before="0" w:after="180"/>
        <w:ind w:start="1170" w:end="0"/>
        <w:rPr>
          <w:sz w:val="24"/>
        </w:rPr>
      </w:pPr>
      <w:r>
        <w:rPr>
          <w:sz w:val="24"/>
        </w:rPr>
      </w:r>
    </w:p>
    <w:p>
      <w:pPr>
        <w:pStyle w:val="Normal"/>
        <w:spacing w:before="0" w:after="180"/>
        <w:ind w:start="1170" w:end="0"/>
        <w:rPr>
          <w:sz w:val="24"/>
        </w:rPr>
      </w:pPr>
      <w:r>
        <w:rPr>
          <w:sz w:val="24"/>
        </w:rPr>
      </w:r>
    </w:p>
    <w:p>
      <w:pPr>
        <w:pStyle w:val="Normal"/>
        <w:spacing w:before="0" w:after="180"/>
        <w:ind w:start="720" w:end="0"/>
        <w:rPr>
          <w:sz w:val="24"/>
        </w:rPr>
      </w:pPr>
      <w:r>
        <w:rPr>
          <w:sz w:val="24"/>
        </w:rPr>
        <w:t xml:space="preserve">  </w:t>
      </w:r>
      <w:r>
        <w:rPr>
          <w:sz w:val="24"/>
        </w:rPr>
        <w:tab/>
        <w:t xml:space="preserve"> </w:t>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ind w:start="720" w:end="0"/>
        <w:rPr>
          <w:sz w:val="24"/>
        </w:rPr>
      </w:pPr>
      <w:r>
        <w:rPr>
          <w:sz w:val="24"/>
        </w:rPr>
      </w:r>
    </w:p>
    <w:p>
      <w:pPr>
        <w:pStyle w:val="Normal"/>
        <w:spacing w:before="0" w:after="180"/>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790" w:type="dxa"/>
      <w:jc w:val="start"/>
      <w:tblInd w:w="378" w:type="dxa"/>
      <w:tblLayout w:type="fixed"/>
      <w:tblCellMar>
        <w:top w:w="0" w:type="dxa"/>
        <w:start w:w="108" w:type="dxa"/>
        <w:bottom w:w="0" w:type="dxa"/>
        <w:end w:w="108" w:type="dxa"/>
      </w:tblCellMar>
    </w:tblPr>
    <w:tblGrid>
      <w:gridCol w:w="2790"/>
    </w:tblGrid>
    <w:tr>
      <w:trPr>
        <w:trHeight w:val="262" w:hRule="atLeast"/>
      </w:trPr>
      <w:tc>
        <w:tcPr>
          <w:tcW w:w="2790" w:type="dxa"/>
          <w:tcBorders>
            <w:top w:val="single" w:sz="4" w:space="0" w:color="000000"/>
            <w:start w:val="single" w:sz="4" w:space="0" w:color="000000"/>
            <w:bottom w:val="single" w:sz="4" w:space="0" w:color="000000"/>
            <w:end w:val="single" w:sz="4" w:space="0" w:color="000000"/>
          </w:tcBorders>
          <w:vAlign w:val="bottom"/>
        </w:tcPr>
        <w:p>
          <w:pPr>
            <w:pStyle w:val="Footer"/>
            <w:rPr>
              <w:sz w:val="22"/>
            </w:rPr>
          </w:pPr>
          <w:r>
            <w:rPr>
              <w:sz w:val="22"/>
            </w:rPr>
            <w:t>Forerunner Corp</w:t>
          </w:r>
        </w:p>
      </w:tc>
    </w:tr>
    <w:tr>
      <w:trPr>
        <w:trHeight w:val="137" w:hRule="atLeast"/>
      </w:trPr>
      <w:tc>
        <w:tcPr>
          <w:tcW w:w="2790" w:type="dxa"/>
          <w:tcBorders>
            <w:top w:val="single" w:sz="4" w:space="0" w:color="000000"/>
            <w:start w:val="single" w:sz="4" w:space="0" w:color="000000"/>
            <w:bottom w:val="single" w:sz="4" w:space="0" w:color="000000"/>
            <w:end w:val="single" w:sz="4" w:space="0" w:color="000000"/>
          </w:tcBorders>
          <w:vAlign w:val="bottom"/>
        </w:tcPr>
        <w:p>
          <w:pPr>
            <w:pStyle w:val="Footer"/>
            <w:rPr>
              <w:sz w:val="22"/>
            </w:rPr>
          </w:pPr>
          <w:r>
            <w:rPr>
              <w:sz w:val="22"/>
            </w:rPr>
            <w:fldChar w:fldCharType="begin"/>
          </w:r>
          <w:r>
            <w:rPr>
              <w:sz w:val="22"/>
            </w:rPr>
            <w:instrText xml:space="preserve"> DATE \@"MM\/dd\/yy" </w:instrText>
          </w:r>
          <w:r>
            <w:rPr>
              <w:sz w:val="22"/>
            </w:rPr>
            <w:fldChar w:fldCharType="separate"/>
          </w:r>
          <w:r>
            <w:rPr>
              <w:sz w:val="22"/>
            </w:rPr>
            <w:t>09/28/25</w:t>
          </w:r>
          <w:r>
            <w:rPr>
              <w:sz w:val="22"/>
            </w:rPr>
            <w:fldChar w:fldCharType="end"/>
          </w:r>
        </w:p>
      </w:tc>
    </w:tr>
    <w:tr>
      <w:trPr>
        <w:trHeight w:val="137" w:hRule="atLeast"/>
      </w:trPr>
      <w:tc>
        <w:tcPr>
          <w:tcW w:w="2790" w:type="dxa"/>
          <w:tcBorders>
            <w:top w:val="single" w:sz="4" w:space="0" w:color="000000"/>
            <w:start w:val="single" w:sz="4" w:space="0" w:color="000000"/>
            <w:bottom w:val="single" w:sz="4" w:space="0" w:color="000000"/>
            <w:end w:val="single" w:sz="4" w:space="0" w:color="000000"/>
          </w:tcBorders>
          <w:vAlign w:val="bottom"/>
        </w:tcPr>
        <w:p>
          <w:pPr>
            <w:pStyle w:val="Footer"/>
            <w:rPr/>
          </w:pPr>
          <w:r>
            <w:rPr>
              <w:sz w:val="22"/>
            </w:rPr>
            <w:t xml:space="preserve">Rev. 0     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r>
            <w:rPr>
              <w:sz w:val="22"/>
            </w:rPr>
            <w:t xml:space="preserve"> </w:t>
          </w:r>
        </w:p>
      </w:tc>
    </w:tr>
  </w:tbl>
  <w:p>
    <w:pPr>
      <w:pStyle w:val="Footer"/>
      <w:jc w:val="cen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078" w:type="dxa"/>
      <w:jc w:val="start"/>
      <w:tblInd w:w="0" w:type="dxa"/>
      <w:tblLayout w:type="fixed"/>
      <w:tblCellMar>
        <w:top w:w="0" w:type="dxa"/>
        <w:start w:w="108" w:type="dxa"/>
        <w:bottom w:w="0" w:type="dxa"/>
        <w:end w:w="108" w:type="dxa"/>
      </w:tblCellMar>
    </w:tblPr>
    <w:tblGrid>
      <w:gridCol w:w="3078"/>
    </w:tblGrid>
    <w:tr>
      <w:trPr/>
      <w:tc>
        <w:tcPr>
          <w:tcW w:w="3078" w:type="dxa"/>
          <w:tcBorders>
            <w:top w:val="single" w:sz="4" w:space="0" w:color="000000"/>
            <w:start w:val="single" w:sz="4" w:space="0" w:color="000000"/>
            <w:bottom w:val="single" w:sz="4" w:space="0" w:color="000000"/>
            <w:end w:val="single" w:sz="4" w:space="0" w:color="000000"/>
          </w:tcBorders>
        </w:tcPr>
        <w:p>
          <w:pPr>
            <w:pStyle w:val="Header"/>
            <w:rPr>
              <w:sz w:val="22"/>
            </w:rPr>
          </w:pPr>
          <w:r>
            <w:rPr>
              <w:sz w:val="22"/>
            </w:rPr>
            <w:t>Enron North America</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sz w:val="22"/>
            </w:rPr>
          </w:pPr>
          <w:r>
            <w:rPr>
              <w:sz w:val="22"/>
            </w:rPr>
            <w:t>Powder River</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sz w:val="22"/>
            </w:rPr>
          </w:pPr>
          <w:r>
            <w:rPr>
              <w:sz w:val="22"/>
            </w:rPr>
            <w:t>Construction Specification</w:t>
          </w:r>
        </w:p>
      </w:tc>
    </w:tr>
  </w:tbl>
  <w:p>
    <w:pPr>
      <w:pStyle w:val="Header"/>
      <w:rPr>
        <w:sz w:val="22"/>
      </w:rPr>
    </w:pPr>
    <w:r>
      <w:rPr>
        <w:sz w:val="22"/>
      </w:rPr>
    </w:r>
  </w:p>
  <w:p>
    <w:pPr>
      <w:pStyle w:val="Header"/>
      <w:jc w:val="center"/>
      <w:rPr>
        <w:rFonts w:ascii="Arial" w:hAnsi="Arial" w:cs="Arial"/>
        <w:b/>
        <w:sz w:val="28"/>
      </w:rPr>
    </w:pPr>
    <w:r>
      <w:rPr>
        <w:rFonts w:cs="Arial" w:ascii="Arial" w:hAnsi="Arial"/>
        <w:b/>
        <w:sz w:val="28"/>
      </w:rPr>
      <w:t>Instrumentation Work</w:t>
    </w:r>
  </w:p>
  <w:p>
    <w:pPr>
      <w:pStyle w:val="Head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170"/>
        </w:tabs>
        <w:ind w:start="1170" w:hanging="1170"/>
      </w:pPr>
      <w:rPr/>
    </w:lvl>
    <w:lvl w:ilvl="1">
      <w:start w:val="7"/>
      <w:numFmt w:val="decimal"/>
      <w:lvlText w:val="%1.%2"/>
      <w:lvlJc w:val="start"/>
      <w:pPr>
        <w:tabs>
          <w:tab w:val="num" w:pos="1170"/>
        </w:tabs>
        <w:ind w:start="1170" w:hanging="1170"/>
      </w:pPr>
      <w:rPr/>
    </w:lvl>
    <w:lvl w:ilvl="2">
      <w:start w:val="1"/>
      <w:numFmt w:val="decimal"/>
      <w:lvlText w:val="%1.%2.%3"/>
      <w:lvlJc w:val="start"/>
      <w:pPr>
        <w:tabs>
          <w:tab w:val="num" w:pos="1170"/>
        </w:tabs>
        <w:ind w:start="1170" w:hanging="1170"/>
      </w:pPr>
      <w:rPr/>
    </w:lvl>
    <w:lvl w:ilvl="3">
      <w:start w:val="1"/>
      <w:numFmt w:val="decimal"/>
      <w:lvlText w:val="%1.%2.%3.%4"/>
      <w:lvlJc w:val="start"/>
      <w:pPr>
        <w:tabs>
          <w:tab w:val="num" w:pos="1170"/>
        </w:tabs>
        <w:ind w:start="1170" w:hanging="1170"/>
      </w:pPr>
      <w:rPr/>
    </w:lvl>
    <w:lvl w:ilvl="4">
      <w:start w:val="1"/>
      <w:numFmt w:val="decimal"/>
      <w:lvlText w:val="%1.%2.%3.%4.%5"/>
      <w:lvlJc w:val="start"/>
      <w:pPr>
        <w:tabs>
          <w:tab w:val="num" w:pos="1170"/>
        </w:tabs>
        <w:ind w:start="1170" w:hanging="1170"/>
      </w:pPr>
      <w:rPr/>
    </w:lvl>
    <w:lvl w:ilvl="5">
      <w:start w:val="1"/>
      <w:numFmt w:val="decimal"/>
      <w:lvlText w:val="%1.%2.%3.%4.%5.%6"/>
      <w:lvlJc w:val="start"/>
      <w:pPr>
        <w:tabs>
          <w:tab w:val="num" w:pos="1170"/>
        </w:tabs>
        <w:ind w:start="1170" w:hanging="117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6"/>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4">
    <w:lvl w:ilvl="0">
      <w:start w:val="6"/>
      <w:numFmt w:val="decimal"/>
      <w:lvlText w:val="%1"/>
      <w:lvlJc w:val="start"/>
      <w:pPr>
        <w:tabs>
          <w:tab w:val="num" w:pos="1170"/>
        </w:tabs>
        <w:ind w:start="1170" w:hanging="1170"/>
      </w:pPr>
      <w:rPr/>
    </w:lvl>
    <w:lvl w:ilvl="1">
      <w:start w:val="8"/>
      <w:numFmt w:val="decimal"/>
      <w:lvlText w:val="%1.%2"/>
      <w:lvlJc w:val="start"/>
      <w:pPr>
        <w:tabs>
          <w:tab w:val="num" w:pos="1170"/>
        </w:tabs>
        <w:ind w:start="1170" w:hanging="1170"/>
      </w:pPr>
      <w:rPr/>
    </w:lvl>
    <w:lvl w:ilvl="2">
      <w:start w:val="2"/>
      <w:numFmt w:val="decimal"/>
      <w:lvlText w:val="%1.%2.%3"/>
      <w:lvlJc w:val="start"/>
      <w:pPr>
        <w:tabs>
          <w:tab w:val="num" w:pos="1170"/>
        </w:tabs>
        <w:ind w:start="1170" w:hanging="1170"/>
      </w:pPr>
      <w:rPr/>
    </w:lvl>
    <w:lvl w:ilvl="3">
      <w:start w:val="1"/>
      <w:numFmt w:val="decimal"/>
      <w:lvlText w:val="%1.%2.%3.%4"/>
      <w:lvlJc w:val="start"/>
      <w:pPr>
        <w:tabs>
          <w:tab w:val="num" w:pos="1170"/>
        </w:tabs>
        <w:ind w:start="1170" w:hanging="1170"/>
      </w:pPr>
      <w:rPr/>
    </w:lvl>
    <w:lvl w:ilvl="4">
      <w:start w:val="1"/>
      <w:numFmt w:val="decimal"/>
      <w:lvlText w:val="%1.%2.%3.%4.%5"/>
      <w:lvlJc w:val="start"/>
      <w:pPr>
        <w:tabs>
          <w:tab w:val="num" w:pos="1170"/>
        </w:tabs>
        <w:ind w:start="1170" w:hanging="1170"/>
      </w:pPr>
      <w:rPr/>
    </w:lvl>
    <w:lvl w:ilvl="5">
      <w:start w:val="1"/>
      <w:numFmt w:val="decimal"/>
      <w:lvlText w:val="%1.%2.%3.%4.%5.%6"/>
      <w:lvlJc w:val="start"/>
      <w:pPr>
        <w:tabs>
          <w:tab w:val="num" w:pos="1170"/>
        </w:tabs>
        <w:ind w:start="1170" w:hanging="117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6"/>
      <w:numFmt w:val="decimal"/>
      <w:lvlText w:val="%1"/>
      <w:lvlJc w:val="start"/>
      <w:pPr>
        <w:tabs>
          <w:tab w:val="num" w:pos="1200"/>
        </w:tabs>
        <w:ind w:start="1200" w:hanging="1200"/>
      </w:pPr>
      <w:rPr/>
    </w:lvl>
    <w:lvl w:ilvl="1">
      <w:start w:val="6"/>
      <w:numFmt w:val="decimal"/>
      <w:lvlText w:val="%1.%2"/>
      <w:lvlJc w:val="start"/>
      <w:pPr>
        <w:tabs>
          <w:tab w:val="num" w:pos="1200"/>
        </w:tabs>
        <w:ind w:start="1200" w:hanging="1200"/>
      </w:pPr>
      <w:rPr/>
    </w:lvl>
    <w:lvl w:ilvl="2">
      <w:start w:val="2"/>
      <w:numFmt w:val="decimal"/>
      <w:lvlText w:val="%1.%2.%3"/>
      <w:lvlJc w:val="start"/>
      <w:pPr>
        <w:tabs>
          <w:tab w:val="num" w:pos="1200"/>
        </w:tabs>
        <w:ind w:start="1200" w:hanging="1200"/>
      </w:pPr>
      <w:rPr/>
    </w:lvl>
    <w:lvl w:ilvl="3">
      <w:start w:val="4"/>
      <w:numFmt w:val="decimal"/>
      <w:lvlText w:val="%1.%2.%3.%4"/>
      <w:lvlJc w:val="start"/>
      <w:pPr>
        <w:tabs>
          <w:tab w:val="num" w:pos="1200"/>
        </w:tabs>
        <w:ind w:start="1200" w:hanging="1200"/>
      </w:pPr>
      <w:rPr/>
    </w:lvl>
    <w:lvl w:ilvl="4">
      <w:start w:val="1"/>
      <w:numFmt w:val="decimal"/>
      <w:lvlText w:val="%1.%2.%3.%4.%5"/>
      <w:lvlJc w:val="start"/>
      <w:pPr>
        <w:tabs>
          <w:tab w:val="num" w:pos="1200"/>
        </w:tabs>
        <w:ind w:start="1200" w:hanging="1200"/>
      </w:pPr>
      <w:rPr/>
    </w:lvl>
    <w:lvl w:ilvl="5">
      <w:start w:val="1"/>
      <w:numFmt w:val="decimal"/>
      <w:lvlText w:val="%1.%2.%3.%4.%5.%6"/>
      <w:lvlJc w:val="start"/>
      <w:pPr>
        <w:tabs>
          <w:tab w:val="num" w:pos="1200"/>
        </w:tabs>
        <w:ind w:start="1200" w:hanging="120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6"/>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6"/>
      <w:numFmt w:val="decimal"/>
      <w:lvlText w:val="%1"/>
      <w:lvlJc w:val="start"/>
      <w:pPr>
        <w:tabs>
          <w:tab w:val="num" w:pos="1440"/>
        </w:tabs>
        <w:ind w:start="1440" w:hanging="1440"/>
      </w:pPr>
      <w:rPr/>
    </w:lvl>
    <w:lvl w:ilvl="1">
      <w:start w:val="6"/>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2"/>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6"/>
      <w:numFmt w:val="decimal"/>
      <w:lvlText w:val="%1"/>
      <w:lvlJc w:val="start"/>
      <w:pPr>
        <w:tabs>
          <w:tab w:val="num" w:pos="1440"/>
        </w:tabs>
        <w:ind w:start="1440" w:hanging="1440"/>
      </w:pPr>
      <w:rPr/>
    </w:lvl>
    <w:lvl w:ilvl="1">
      <w:start w:val="6"/>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1440" w:start="1440" w:end="0"/>
    </w:pPr>
    <w:rPr>
      <w:sz w:val="24"/>
    </w:rPr>
  </w:style>
  <w:style w:type="paragraph" w:styleId="BodyTextIndent3">
    <w:name w:val="Body Text Indent 3"/>
    <w:basedOn w:val="Normal"/>
    <w:qFormat/>
    <w:pPr>
      <w:ind w:hanging="1170" w:start="117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1999-08-23T14:18:00Z</dcterms:created>
  <dc:creator>Bill Groskopf</dc:creator>
  <dc:description/>
  <dc:language>en-CA</dc:language>
  <cp:lastModifiedBy>Creg R. Hughes</cp:lastModifiedBy>
  <cp:lastPrinted>1999-08-23T10:50:00Z</cp:lastPrinted>
  <dcterms:modified xsi:type="dcterms:W3CDTF">1999-08-23T14:22:00Z</dcterms:modified>
  <cp:revision>4</cp:revision>
  <dc:subject/>
  <dc:title>6</dc:title>
</cp:coreProperties>
</file>