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Insert 1.</w:t>
      </w:r>
    </w:p>
    <w:p>
      <w:pPr>
        <w:pStyle w:val="Normal"/>
        <w:rPr>
          <w:sz w:val="28"/>
        </w:rPr>
      </w:pPr>
      <w:r>
        <w:rPr>
          <w:sz w:val="28"/>
        </w:rPr>
      </w:r>
    </w:p>
    <w:p>
      <w:pPr>
        <w:pStyle w:val="Normal"/>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3708"/>
        <w:gridCol w:w="2250"/>
        <w:gridCol w:w="2898"/>
      </w:tblGrid>
      <w:tr>
        <w:trPr/>
        <w:tc>
          <w:tcPr>
            <w:tcW w:w="3708" w:type="dxa"/>
            <w:tcBorders/>
          </w:tcPr>
          <w:p>
            <w:pPr>
              <w:pStyle w:val="Normal"/>
              <w:jc w:val="center"/>
              <w:rPr>
                <w:sz w:val="28"/>
              </w:rPr>
            </w:pPr>
            <w:r>
              <w:rPr>
                <w:sz w:val="28"/>
              </w:rPr>
              <w:t xml:space="preserve">Level of Imbalance In Excess </w:t>
            </w:r>
          </w:p>
          <w:p>
            <w:pPr>
              <w:pStyle w:val="Normal"/>
              <w:jc w:val="center"/>
              <w:rPr>
                <w:sz w:val="28"/>
              </w:rPr>
            </w:pPr>
            <w:r>
              <w:rPr>
                <w:sz w:val="28"/>
              </w:rPr>
              <w:t>of +/- 40,000 MMBtu</w:t>
            </w:r>
          </w:p>
        </w:tc>
        <w:tc>
          <w:tcPr>
            <w:tcW w:w="5148" w:type="dxa"/>
            <w:gridSpan w:val="2"/>
            <w:tcBorders/>
          </w:tcPr>
          <w:p>
            <w:pPr>
              <w:pStyle w:val="Normal"/>
              <w:jc w:val="center"/>
              <w:rPr>
                <w:sz w:val="28"/>
              </w:rPr>
            </w:pPr>
            <w:r>
              <w:rPr>
                <w:sz w:val="28"/>
              </w:rPr>
              <w:t>Cash Out Tier</w:t>
            </w:r>
          </w:p>
        </w:tc>
      </w:tr>
      <w:tr>
        <w:trPr/>
        <w:tc>
          <w:tcPr>
            <w:tcW w:w="3708" w:type="dxa"/>
            <w:tcBorders/>
          </w:tcPr>
          <w:p>
            <w:pPr>
              <w:pStyle w:val="Normal"/>
              <w:snapToGrid w:val="false"/>
              <w:rPr>
                <w:sz w:val="28"/>
              </w:rPr>
            </w:pPr>
            <w:r>
              <w:rPr>
                <w:sz w:val="28"/>
              </w:rPr>
            </w:r>
          </w:p>
        </w:tc>
        <w:tc>
          <w:tcPr>
            <w:tcW w:w="2250" w:type="dxa"/>
            <w:tcBorders/>
          </w:tcPr>
          <w:p>
            <w:pPr>
              <w:pStyle w:val="Normal"/>
              <w:rPr/>
            </w:pPr>
            <w:r>
              <w:rPr/>
              <w:t>Gas Owed to NNG</w:t>
            </w:r>
          </w:p>
        </w:tc>
        <w:tc>
          <w:tcPr>
            <w:tcW w:w="2898" w:type="dxa"/>
            <w:tcBorders/>
          </w:tcPr>
          <w:p>
            <w:pPr>
              <w:pStyle w:val="Normal"/>
              <w:rPr/>
            </w:pPr>
            <w:r>
              <w:rPr/>
              <w:t>Gas Owed to MidAmerican</w:t>
            </w:r>
          </w:p>
        </w:tc>
      </w:tr>
      <w:tr>
        <w:trPr/>
        <w:tc>
          <w:tcPr>
            <w:tcW w:w="3708" w:type="dxa"/>
            <w:tcBorders/>
          </w:tcPr>
          <w:p>
            <w:pPr>
              <w:pStyle w:val="Normal"/>
              <w:rPr/>
            </w:pPr>
            <w:r>
              <w:rPr/>
              <w:t>+/- 20,000 MMBtu</w:t>
            </w:r>
          </w:p>
        </w:tc>
        <w:tc>
          <w:tcPr>
            <w:tcW w:w="2250" w:type="dxa"/>
            <w:tcBorders/>
          </w:tcPr>
          <w:p>
            <w:pPr>
              <w:pStyle w:val="Normal"/>
              <w:rPr/>
            </w:pPr>
            <w:r>
              <w:rPr/>
              <w:t>1.0</w:t>
            </w:r>
          </w:p>
        </w:tc>
        <w:tc>
          <w:tcPr>
            <w:tcW w:w="2898" w:type="dxa"/>
            <w:tcBorders/>
          </w:tcPr>
          <w:p>
            <w:pPr>
              <w:pStyle w:val="Normal"/>
              <w:rPr/>
            </w:pPr>
            <w:r>
              <w:rPr/>
              <w:t>1.0</w:t>
            </w:r>
          </w:p>
        </w:tc>
      </w:tr>
      <w:tr>
        <w:trPr/>
        <w:tc>
          <w:tcPr>
            <w:tcW w:w="3708" w:type="dxa"/>
            <w:tcBorders/>
          </w:tcPr>
          <w:p>
            <w:pPr>
              <w:pStyle w:val="Normal"/>
              <w:rPr/>
            </w:pPr>
            <w:r>
              <w:rPr/>
              <w:t>+/- 60,000 MMBtu</w:t>
            </w:r>
          </w:p>
        </w:tc>
        <w:tc>
          <w:tcPr>
            <w:tcW w:w="2250" w:type="dxa"/>
            <w:tcBorders/>
          </w:tcPr>
          <w:p>
            <w:pPr>
              <w:pStyle w:val="Normal"/>
              <w:rPr/>
            </w:pPr>
            <w:r>
              <w:rPr/>
              <w:t>1.1</w:t>
            </w:r>
          </w:p>
        </w:tc>
        <w:tc>
          <w:tcPr>
            <w:tcW w:w="2898" w:type="dxa"/>
            <w:tcBorders/>
          </w:tcPr>
          <w:p>
            <w:pPr>
              <w:pStyle w:val="Normal"/>
              <w:rPr/>
            </w:pPr>
            <w:r>
              <w:rPr/>
              <w:t xml:space="preserve">  </w:t>
            </w:r>
            <w:r>
              <w:rPr/>
              <w:t>.9</w:t>
            </w:r>
          </w:p>
        </w:tc>
      </w:tr>
      <w:tr>
        <w:trPr/>
        <w:tc>
          <w:tcPr>
            <w:tcW w:w="3708" w:type="dxa"/>
            <w:tcBorders/>
          </w:tcPr>
          <w:p>
            <w:pPr>
              <w:pStyle w:val="Normal"/>
              <w:rPr/>
            </w:pPr>
            <w:r>
              <w:rPr/>
              <w:t>Greater than +/- 60,000 MMBtu</w:t>
            </w:r>
          </w:p>
        </w:tc>
        <w:tc>
          <w:tcPr>
            <w:tcW w:w="2250" w:type="dxa"/>
            <w:tcBorders/>
          </w:tcPr>
          <w:p>
            <w:pPr>
              <w:pStyle w:val="Normal"/>
              <w:rPr/>
            </w:pPr>
            <w:r>
              <w:rPr/>
              <w:t>1.2</w:t>
            </w:r>
          </w:p>
        </w:tc>
        <w:tc>
          <w:tcPr>
            <w:tcW w:w="2898" w:type="dxa"/>
            <w:tcBorders/>
          </w:tcPr>
          <w:p>
            <w:pPr>
              <w:pStyle w:val="Normal"/>
              <w:rPr/>
            </w:pPr>
            <w:r>
              <w:rPr/>
              <w:t xml:space="preserve">  </w:t>
            </w:r>
            <w:r>
              <w:rPr/>
              <w:t>.8</w:t>
            </w:r>
          </w:p>
        </w:tc>
      </w:tr>
      <w:tr>
        <w:trPr/>
        <w:tc>
          <w:tcPr>
            <w:tcW w:w="3708" w:type="dxa"/>
            <w:tcBorders/>
          </w:tcPr>
          <w:p>
            <w:pPr>
              <w:pStyle w:val="Normal"/>
              <w:snapToGrid w:val="false"/>
              <w:rPr/>
            </w:pPr>
            <w:r>
              <w:rPr/>
            </w:r>
          </w:p>
        </w:tc>
        <w:tc>
          <w:tcPr>
            <w:tcW w:w="2250" w:type="dxa"/>
            <w:tcBorders/>
          </w:tcPr>
          <w:p>
            <w:pPr>
              <w:pStyle w:val="Normal"/>
              <w:snapToGrid w:val="false"/>
              <w:rPr/>
            </w:pPr>
            <w:r>
              <w:rPr/>
            </w:r>
          </w:p>
        </w:tc>
        <w:tc>
          <w:tcPr>
            <w:tcW w:w="2898" w:type="dxa"/>
            <w:tcBorders/>
          </w:tcPr>
          <w:p>
            <w:pPr>
              <w:pStyle w:val="Normal"/>
              <w:snapToGrid w:val="false"/>
              <w:rPr/>
            </w:pPr>
            <w:r>
              <w:rPr/>
            </w:r>
          </w:p>
        </w:tc>
      </w:tr>
    </w:tbl>
    <w:p>
      <w:pPr>
        <w:pStyle w:val="Normal"/>
        <w:rPr/>
      </w:pPr>
      <w:r>
        <w:rPr/>
      </w:r>
    </w:p>
    <w:p>
      <w:pPr>
        <w:pStyle w:val="Normal"/>
        <w:rPr/>
      </w:pPr>
      <w:r>
        <w:rPr/>
      </w:r>
    </w:p>
    <w:p>
      <w:pPr>
        <w:pStyle w:val="BodyText"/>
        <w:rPr/>
      </w:pPr>
      <w:r>
        <w:rPr/>
        <w:t>The monthly imbalance volume will be dollar valued using daily pricing and then the dollar valued imbalance will be multiplied times the applicable Cash Out Tier to determine the cash out price for the subject month.  To determine the applicable Average Daily Price(s) at which the monthly imbalance will be cashed out, the aggregate monthly imbalance volume shall be allocated to specific days beginning with the amount of daily imbalance that existed on the final day of the subject month, if any, and assigning the monthly imbalance to days in reverse order until the entire monthly imbalance has been assigned to specific days.  For example, if the total monthly imbalance for a month is – 70,000 MMBtu (i.e. MidAmerican is short), the applicable Cash Out Tier is 1.2.  The 70,000 monthly imbalance volume will be assigned to days on which the daily imbalance was negative (MidAmerican is short), beginning with  31.</w:t>
      </w:r>
    </w:p>
    <w:p>
      <w:pPr>
        <w:pStyle w:val="Normal"/>
        <w:jc w:val="both"/>
        <w:rPr/>
      </w:pPr>
      <w:r>
        <w:rPr/>
      </w:r>
    </w:p>
    <w:p>
      <w:pPr>
        <w:pStyle w:val="Normal"/>
        <w:jc w:val="both"/>
        <w:rPr/>
      </w:pPr>
      <w:r>
        <w:rPr/>
        <w:t>Assuming MidAmerican’s daily balance positions were as shown below:</w:t>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both"/>
              <w:rPr/>
            </w:pPr>
            <w:r>
              <w:rPr/>
              <w:t>Day of the Month</w:t>
            </w:r>
          </w:p>
        </w:tc>
        <w:tc>
          <w:tcPr>
            <w:tcW w:w="4428" w:type="dxa"/>
            <w:tcBorders/>
          </w:tcPr>
          <w:p>
            <w:pPr>
              <w:pStyle w:val="Normal"/>
              <w:jc w:val="center"/>
              <w:rPr/>
            </w:pPr>
            <w:r>
              <w:rPr/>
              <w:t>Actual imbalance by day</w:t>
            </w:r>
          </w:p>
        </w:tc>
      </w:tr>
      <w:tr>
        <w:trPr/>
        <w:tc>
          <w:tcPr>
            <w:tcW w:w="4428" w:type="dxa"/>
            <w:tcBorders/>
          </w:tcPr>
          <w:p>
            <w:pPr>
              <w:pStyle w:val="Normal"/>
              <w:jc w:val="both"/>
              <w:rPr/>
            </w:pPr>
            <w:r>
              <w:rPr/>
              <w:t xml:space="preserve"> </w:t>
            </w:r>
            <w:r>
              <w:rPr/>
              <w:t>31</w:t>
            </w:r>
          </w:p>
        </w:tc>
        <w:tc>
          <w:tcPr>
            <w:tcW w:w="4428" w:type="dxa"/>
            <w:tcBorders/>
          </w:tcPr>
          <w:p>
            <w:pPr>
              <w:pStyle w:val="Normal"/>
              <w:jc w:val="both"/>
              <w:rPr/>
            </w:pPr>
            <w:r>
              <w:rPr/>
              <w:t>-19,000 (i.e. short)</w:t>
            </w:r>
          </w:p>
        </w:tc>
      </w:tr>
      <w:tr>
        <w:trPr/>
        <w:tc>
          <w:tcPr>
            <w:tcW w:w="4428" w:type="dxa"/>
            <w:tcBorders/>
          </w:tcPr>
          <w:p>
            <w:pPr>
              <w:pStyle w:val="Normal"/>
              <w:jc w:val="both"/>
              <w:rPr/>
            </w:pPr>
            <w:r>
              <w:rPr/>
              <w:t xml:space="preserve"> </w:t>
            </w:r>
            <w:r>
              <w:rPr/>
              <w:t>30</w:t>
            </w:r>
          </w:p>
        </w:tc>
        <w:tc>
          <w:tcPr>
            <w:tcW w:w="4428" w:type="dxa"/>
            <w:tcBorders/>
          </w:tcPr>
          <w:p>
            <w:pPr>
              <w:pStyle w:val="Normal"/>
              <w:jc w:val="both"/>
              <w:rPr/>
            </w:pPr>
            <w:r>
              <w:rPr/>
              <w:t>-18,000</w:t>
            </w:r>
          </w:p>
        </w:tc>
      </w:tr>
      <w:tr>
        <w:trPr/>
        <w:tc>
          <w:tcPr>
            <w:tcW w:w="4428" w:type="dxa"/>
            <w:tcBorders/>
          </w:tcPr>
          <w:p>
            <w:pPr>
              <w:pStyle w:val="Normal"/>
              <w:jc w:val="both"/>
              <w:rPr/>
            </w:pPr>
            <w:r>
              <w:rPr/>
              <w:t xml:space="preserve"> </w:t>
            </w:r>
            <w:r>
              <w:rPr/>
              <w:t>29</w:t>
            </w:r>
          </w:p>
        </w:tc>
        <w:tc>
          <w:tcPr>
            <w:tcW w:w="4428" w:type="dxa"/>
            <w:tcBorders/>
          </w:tcPr>
          <w:p>
            <w:pPr>
              <w:pStyle w:val="Normal"/>
              <w:jc w:val="both"/>
              <w:rPr/>
            </w:pPr>
            <w:r>
              <w:rPr/>
              <w:t>+16,000 (i.e., long)</w:t>
            </w:r>
          </w:p>
        </w:tc>
      </w:tr>
      <w:tr>
        <w:trPr/>
        <w:tc>
          <w:tcPr>
            <w:tcW w:w="4428" w:type="dxa"/>
            <w:tcBorders/>
          </w:tcPr>
          <w:p>
            <w:pPr>
              <w:pStyle w:val="Normal"/>
              <w:jc w:val="both"/>
              <w:rPr/>
            </w:pPr>
            <w:r>
              <w:rPr/>
              <w:t xml:space="preserve"> </w:t>
            </w:r>
            <w:r>
              <w:rPr/>
              <w:t>28</w:t>
            </w:r>
          </w:p>
        </w:tc>
        <w:tc>
          <w:tcPr>
            <w:tcW w:w="4428" w:type="dxa"/>
            <w:tcBorders/>
          </w:tcPr>
          <w:p>
            <w:pPr>
              <w:pStyle w:val="Normal"/>
              <w:jc w:val="both"/>
              <w:rPr/>
            </w:pPr>
            <w:r>
              <w:rPr/>
              <w:t>-20,000</w:t>
            </w:r>
          </w:p>
        </w:tc>
      </w:tr>
      <w:tr>
        <w:trPr/>
        <w:tc>
          <w:tcPr>
            <w:tcW w:w="4428" w:type="dxa"/>
            <w:tcBorders/>
          </w:tcPr>
          <w:p>
            <w:pPr>
              <w:pStyle w:val="Normal"/>
              <w:jc w:val="both"/>
              <w:rPr/>
            </w:pPr>
            <w:r>
              <w:rPr/>
              <w:t xml:space="preserve"> </w:t>
            </w:r>
            <w:r>
              <w:rPr/>
              <w:t>27</w:t>
            </w:r>
          </w:p>
        </w:tc>
        <w:tc>
          <w:tcPr>
            <w:tcW w:w="4428" w:type="dxa"/>
            <w:tcBorders/>
          </w:tcPr>
          <w:p>
            <w:pPr>
              <w:pStyle w:val="Normal"/>
              <w:jc w:val="both"/>
              <w:rPr/>
            </w:pPr>
            <w:r>
              <w:rPr/>
              <w:t>-19,000</w:t>
            </w:r>
          </w:p>
        </w:tc>
      </w:tr>
      <w:tr>
        <w:trPr/>
        <w:tc>
          <w:tcPr>
            <w:tcW w:w="4428" w:type="dxa"/>
            <w:tcBorders/>
          </w:tcPr>
          <w:p>
            <w:pPr>
              <w:pStyle w:val="Normal"/>
              <w:snapToGrid w:val="false"/>
              <w:jc w:val="both"/>
              <w:rPr/>
            </w:pPr>
            <w:r>
              <w:rPr/>
            </w:r>
          </w:p>
        </w:tc>
        <w:tc>
          <w:tcPr>
            <w:tcW w:w="4428" w:type="dxa"/>
            <w:tcBorders/>
          </w:tcPr>
          <w:p>
            <w:pPr>
              <w:pStyle w:val="Normal"/>
              <w:snapToGrid w:val="false"/>
              <w:jc w:val="both"/>
              <w:rPr/>
            </w:pPr>
            <w:r>
              <w:rPr/>
            </w:r>
          </w:p>
        </w:tc>
      </w:tr>
    </w:tbl>
    <w:p>
      <w:pPr>
        <w:pStyle w:val="Normal"/>
        <w:jc w:val="both"/>
        <w:rPr/>
      </w:pPr>
      <w:r>
        <w:rPr/>
      </w:r>
    </w:p>
    <w:p>
      <w:pPr>
        <w:pStyle w:val="Normal"/>
        <w:jc w:val="both"/>
        <w:rPr/>
      </w:pPr>
      <w:r>
        <w:rPr/>
        <w:t>The aggregate -70,000 monthly imbalance would be assigned to days as indicated:</w:t>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1998"/>
        <w:gridCol w:w="3240"/>
        <w:gridCol w:w="3618"/>
      </w:tblGrid>
      <w:tr>
        <w:trPr/>
        <w:tc>
          <w:tcPr>
            <w:tcW w:w="1998" w:type="dxa"/>
            <w:tcBorders/>
          </w:tcPr>
          <w:p>
            <w:pPr>
              <w:pStyle w:val="Normal"/>
              <w:jc w:val="both"/>
              <w:rPr/>
            </w:pPr>
            <w:r>
              <w:rPr/>
              <w:t>Day of the Month</w:t>
            </w:r>
          </w:p>
        </w:tc>
        <w:tc>
          <w:tcPr>
            <w:tcW w:w="3240" w:type="dxa"/>
            <w:tcBorders/>
          </w:tcPr>
          <w:p>
            <w:pPr>
              <w:pStyle w:val="Normal"/>
              <w:jc w:val="both"/>
              <w:rPr/>
            </w:pPr>
            <w:r>
              <w:rPr/>
              <w:t>Imbalance Quantity Assigned</w:t>
            </w:r>
          </w:p>
        </w:tc>
        <w:tc>
          <w:tcPr>
            <w:tcW w:w="3618" w:type="dxa"/>
            <w:tcBorders/>
          </w:tcPr>
          <w:p>
            <w:pPr>
              <w:pStyle w:val="Normal"/>
              <w:snapToGrid w:val="false"/>
              <w:jc w:val="both"/>
              <w:rPr/>
            </w:pPr>
            <w:r>
              <w:rPr/>
            </w:r>
          </w:p>
        </w:tc>
      </w:tr>
      <w:tr>
        <w:trPr/>
        <w:tc>
          <w:tcPr>
            <w:tcW w:w="1998" w:type="dxa"/>
            <w:tcBorders/>
          </w:tcPr>
          <w:p>
            <w:pPr>
              <w:pStyle w:val="Normal"/>
              <w:jc w:val="both"/>
              <w:rPr/>
            </w:pPr>
            <w:r>
              <w:rPr/>
              <w:t xml:space="preserve"> </w:t>
            </w:r>
            <w:r>
              <w:rPr/>
              <w:t>31</w:t>
            </w:r>
          </w:p>
        </w:tc>
        <w:tc>
          <w:tcPr>
            <w:tcW w:w="3240" w:type="dxa"/>
            <w:tcBorders/>
          </w:tcPr>
          <w:p>
            <w:pPr>
              <w:pStyle w:val="Normal"/>
              <w:jc w:val="both"/>
              <w:rPr/>
            </w:pPr>
            <w:r>
              <w:rPr/>
              <w:t>19,000</w:t>
            </w:r>
          </w:p>
        </w:tc>
        <w:tc>
          <w:tcPr>
            <w:tcW w:w="3618" w:type="dxa"/>
            <w:tcBorders/>
          </w:tcPr>
          <w:p>
            <w:pPr>
              <w:pStyle w:val="Normal"/>
              <w:jc w:val="both"/>
              <w:rPr/>
            </w:pPr>
            <w:r>
              <w:rPr/>
              <w:t>MidAmerican was short by 19,000</w:t>
            </w:r>
          </w:p>
        </w:tc>
      </w:tr>
      <w:tr>
        <w:trPr/>
        <w:tc>
          <w:tcPr>
            <w:tcW w:w="1998" w:type="dxa"/>
            <w:tcBorders/>
          </w:tcPr>
          <w:p>
            <w:pPr>
              <w:pStyle w:val="Normal"/>
              <w:jc w:val="both"/>
              <w:rPr/>
            </w:pPr>
            <w:r>
              <w:rPr/>
              <w:t xml:space="preserve"> </w:t>
            </w:r>
            <w:r>
              <w:rPr/>
              <w:t>30</w:t>
            </w:r>
          </w:p>
        </w:tc>
        <w:tc>
          <w:tcPr>
            <w:tcW w:w="3240" w:type="dxa"/>
            <w:tcBorders/>
          </w:tcPr>
          <w:p>
            <w:pPr>
              <w:pStyle w:val="Normal"/>
              <w:jc w:val="both"/>
              <w:rPr/>
            </w:pPr>
            <w:r>
              <w:rPr/>
              <w:t>18,000</w:t>
            </w:r>
          </w:p>
        </w:tc>
        <w:tc>
          <w:tcPr>
            <w:tcW w:w="3618" w:type="dxa"/>
            <w:tcBorders/>
          </w:tcPr>
          <w:p>
            <w:pPr>
              <w:pStyle w:val="Normal"/>
              <w:jc w:val="both"/>
              <w:rPr/>
            </w:pPr>
            <w:r>
              <w:rPr/>
              <w:t>MidAmerican was short by 18,000</w:t>
            </w:r>
          </w:p>
        </w:tc>
      </w:tr>
      <w:tr>
        <w:trPr/>
        <w:tc>
          <w:tcPr>
            <w:tcW w:w="1998" w:type="dxa"/>
            <w:tcBorders/>
          </w:tcPr>
          <w:p>
            <w:pPr>
              <w:pStyle w:val="Normal"/>
              <w:jc w:val="both"/>
              <w:rPr/>
            </w:pPr>
            <w:r>
              <w:rPr/>
              <w:t xml:space="preserve"> </w:t>
            </w:r>
            <w:r>
              <w:rPr/>
              <w:t>29</w:t>
            </w:r>
          </w:p>
        </w:tc>
        <w:tc>
          <w:tcPr>
            <w:tcW w:w="3240" w:type="dxa"/>
            <w:tcBorders/>
          </w:tcPr>
          <w:p>
            <w:pPr>
              <w:pStyle w:val="Normal"/>
              <w:jc w:val="both"/>
              <w:rPr/>
            </w:pPr>
            <w:r>
              <w:rPr/>
              <w:t>-0-</w:t>
            </w:r>
          </w:p>
        </w:tc>
        <w:tc>
          <w:tcPr>
            <w:tcW w:w="3618" w:type="dxa"/>
            <w:tcBorders/>
          </w:tcPr>
          <w:p>
            <w:pPr>
              <w:pStyle w:val="Normal"/>
              <w:jc w:val="both"/>
              <w:rPr/>
            </w:pPr>
            <w:r>
              <w:rPr/>
              <w:t>MidAmerican was long by 16,000 on this day</w:t>
            </w:r>
          </w:p>
        </w:tc>
      </w:tr>
      <w:tr>
        <w:trPr/>
        <w:tc>
          <w:tcPr>
            <w:tcW w:w="1998" w:type="dxa"/>
            <w:tcBorders/>
          </w:tcPr>
          <w:p>
            <w:pPr>
              <w:pStyle w:val="Normal"/>
              <w:jc w:val="both"/>
              <w:rPr/>
            </w:pPr>
            <w:r>
              <w:rPr/>
              <w:t xml:space="preserve"> </w:t>
            </w:r>
            <w:r>
              <w:rPr/>
              <w:t>28</w:t>
            </w:r>
          </w:p>
        </w:tc>
        <w:tc>
          <w:tcPr>
            <w:tcW w:w="3240" w:type="dxa"/>
            <w:tcBorders/>
          </w:tcPr>
          <w:p>
            <w:pPr>
              <w:pStyle w:val="Normal"/>
              <w:jc w:val="both"/>
              <w:rPr/>
            </w:pPr>
            <w:r>
              <w:rPr/>
              <w:t>20,000</w:t>
            </w:r>
          </w:p>
        </w:tc>
        <w:tc>
          <w:tcPr>
            <w:tcW w:w="3618" w:type="dxa"/>
            <w:tcBorders/>
          </w:tcPr>
          <w:p>
            <w:pPr>
              <w:pStyle w:val="Normal"/>
              <w:jc w:val="both"/>
              <w:rPr/>
            </w:pPr>
            <w:r>
              <w:rPr/>
              <w:t>MidAmerican was short by 20,000</w:t>
            </w:r>
          </w:p>
        </w:tc>
      </w:tr>
      <w:tr>
        <w:trPr/>
        <w:tc>
          <w:tcPr>
            <w:tcW w:w="1998" w:type="dxa"/>
            <w:tcBorders/>
          </w:tcPr>
          <w:p>
            <w:pPr>
              <w:pStyle w:val="Normal"/>
              <w:jc w:val="both"/>
              <w:rPr/>
            </w:pPr>
            <w:r>
              <w:rPr/>
              <w:t xml:space="preserve"> </w:t>
            </w:r>
            <w:r>
              <w:rPr/>
              <w:t>27</w:t>
            </w:r>
          </w:p>
        </w:tc>
        <w:tc>
          <w:tcPr>
            <w:tcW w:w="3240" w:type="dxa"/>
            <w:tcBorders/>
          </w:tcPr>
          <w:p>
            <w:pPr>
              <w:pStyle w:val="Normal"/>
              <w:jc w:val="both"/>
              <w:rPr/>
            </w:pPr>
            <w:r>
              <w:rPr/>
              <w:t>13,000</w:t>
            </w:r>
          </w:p>
        </w:tc>
        <w:tc>
          <w:tcPr>
            <w:tcW w:w="3618" w:type="dxa"/>
            <w:tcBorders/>
          </w:tcPr>
          <w:p>
            <w:pPr>
              <w:pStyle w:val="Normal"/>
              <w:jc w:val="both"/>
              <w:rPr/>
            </w:pPr>
            <w:r>
              <w:rPr/>
              <w:t>MidAmerican was short by 19,000 but only 13,000 of the monthly imbalance remains to be assigned</w:t>
            </w:r>
          </w:p>
        </w:tc>
      </w:tr>
      <w:tr>
        <w:trPr/>
        <w:tc>
          <w:tcPr>
            <w:tcW w:w="1998" w:type="dxa"/>
            <w:tcBorders/>
          </w:tcPr>
          <w:p>
            <w:pPr>
              <w:pStyle w:val="Normal"/>
              <w:snapToGrid w:val="false"/>
              <w:jc w:val="both"/>
              <w:rPr/>
            </w:pPr>
            <w:r>
              <w:rPr/>
            </w:r>
          </w:p>
        </w:tc>
        <w:tc>
          <w:tcPr>
            <w:tcW w:w="3240" w:type="dxa"/>
            <w:tcBorders/>
          </w:tcPr>
          <w:p>
            <w:pPr>
              <w:pStyle w:val="Normal"/>
              <w:snapToGrid w:val="false"/>
              <w:jc w:val="both"/>
              <w:rPr/>
            </w:pPr>
            <w:r>
              <w:rPr/>
            </w:r>
          </w:p>
        </w:tc>
        <w:tc>
          <w:tcPr>
            <w:tcW w:w="3618" w:type="dxa"/>
            <w:tcBorders/>
          </w:tcPr>
          <w:p>
            <w:pPr>
              <w:pStyle w:val="Normal"/>
              <w:snapToGrid w:val="false"/>
              <w:jc w:val="both"/>
              <w:rPr/>
            </w:pPr>
            <w:r>
              <w:rPr/>
            </w:r>
          </w:p>
        </w:tc>
      </w:tr>
    </w:tbl>
    <w:p>
      <w:pPr>
        <w:pStyle w:val="Normal"/>
        <w:jc w:val="both"/>
        <w:rPr/>
      </w:pPr>
      <w:r>
        <w:rPr/>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2000-09-14T11:51:00Z</dcterms:created>
  <dc:creator>Enron</dc:creator>
  <dc:description/>
  <dc:language>en-CA</dc:language>
  <cp:lastModifiedBy>Enron</cp:lastModifiedBy>
  <cp:lastPrinted>2000-09-14T12:15:00Z</cp:lastPrinted>
  <dcterms:modified xsi:type="dcterms:W3CDTF">2000-09-14T14:46:00Z</dcterms:modified>
  <cp:revision>26</cp:revision>
  <dc:subject/>
  <dc:title>Insert 1</dc:title>
</cp:coreProperties>
</file>