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Insert into Enron MSA, Sect. 10 Representations, Warranties and Covenants for interstate communications services:</w:t>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b/>
          <w:bCs/>
        </w:rPr>
        <w:tab/>
      </w:r>
      <w:r>
        <w:rPr/>
        <w:t>Customer acknowledges that Seller has no ability to determine whether the communications traffic carried by the point-to-point Circuit(s) is jurisdictionally interstate or intrastate.  Customer represents and warrants that the communications traffic to be carried by the Circuit(s) shall be jurisdictionally interstate, pursuant to the Federal Communications Commission’s mixed-use “10% Rule”(47 CFR 36.154, 4 FCC Rcd. 1352).  Should Customer’s use of the Circuit(s) ever become jurisdictionally intrastate, any such Circuit(s) shall be subject to the jurisdiction of the relevant state Public Utilities Commission, and such Circuit(s) shall be provided in accordance with, and under the provisions of, the applicable Seller’s or Seller’s affiliate carrier’s Tariff or Tariffs on file with the relevant state Public Utilities Commission.  A copy of such Tariff or Tariffs is available for inspection at the offices of Seller or Seller’s affiliate carrier.  In the event the Service provided to Customer is subject to any such Tariff or Tariffs, then the Agreement shall be subject to such changes or modifications by the relevant state Public Utilities Commission as such Commission may, from time to time, direct in the exercise of its jurisdiction.</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75" w:leader="none"/>
        <w:tab w:val="right" w:pos="935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75" w:leader="none"/>
        <w:tab w:val="right" w:pos="93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center"/>
      <w:pPr>
        <w:tabs>
          <w:tab w:val="num" w:pos="0"/>
        </w:tabs>
        <w:ind w:start="0" w:hanging="0"/>
      </w:pPr>
      <w:rPr>
        <w:caps/>
        <w:sz w:val="24"/>
        <w:i w:val="false"/>
        <w:b/>
        <w:rFonts w:ascii="Times New Roman" w:hAnsi="Times New Roman" w:cs="Times New Roman"/>
      </w:rPr>
    </w:lvl>
    <w:lvl w:ilvl="1">
      <w:start w:val="1"/>
      <w:numFmt w:val="upperRoman"/>
      <w:lvlText w:val="%2."/>
      <w:lvlJc w:val="start"/>
      <w:pPr>
        <w:tabs>
          <w:tab w:val="num" w:pos="720"/>
        </w:tabs>
        <w:ind w:start="720" w:hanging="720"/>
      </w:pPr>
      <w:rPr>
        <w:caps/>
        <w:sz w:val="24"/>
        <w:i w:val="false"/>
        <w:b/>
        <w:rFonts w:ascii="Times New Roman" w:hAnsi="Times New Roman" w:cs="Times New Roman"/>
      </w:rPr>
    </w:lvl>
    <w:lvl w:ilvl="2">
      <w:start w:val="1"/>
      <w:numFmt w:val="upperLetter"/>
      <w:lvlText w:val="%3."/>
      <w:lvlJc w:val="start"/>
      <w:pPr>
        <w:tabs>
          <w:tab w:val="num" w:pos="1440"/>
        </w:tabs>
        <w:ind w:start="1440" w:hanging="720"/>
      </w:pPr>
      <w:rPr>
        <w:sz w:val="24"/>
        <w:i w:val="false"/>
        <w:b/>
        <w:rFonts w:ascii="Times New Roman" w:hAnsi="Times New Roman" w:cs="Times New Roman"/>
      </w:rPr>
    </w:lvl>
    <w:lvl w:ilvl="3">
      <w:start w:val="1"/>
      <w:numFmt w:val="decimal"/>
      <w:lvlText w:val="%4."/>
      <w:lvlJc w:val="start"/>
      <w:pPr>
        <w:tabs>
          <w:tab w:val="num" w:pos="2160"/>
        </w:tabs>
        <w:ind w:start="2160" w:hanging="720"/>
      </w:pPr>
      <w:rPr>
        <w:sz w:val="24"/>
        <w:i w:val="false"/>
        <w:b/>
        <w:rFonts w:ascii="Times New Roman" w:hAnsi="Times New Roman" w:cs="Times New Roman"/>
      </w:rPr>
    </w:lvl>
    <w:lvl w:ilvl="4">
      <w:start w:val="1"/>
      <w:numFmt w:val="upperRoman"/>
      <w:lvlText w:val="%5."/>
      <w:lvlJc w:val="start"/>
      <w:pPr>
        <w:tabs>
          <w:tab w:val="num" w:pos="720"/>
        </w:tabs>
        <w:ind w:start="0" w:hanging="0"/>
      </w:pPr>
      <w:rPr>
        <w:sz w:val="24"/>
        <w:i w:val="false"/>
        <w:b/>
        <w:rFonts w:ascii="Times New Roman" w:hAnsi="Times New Roman" w:cs="Times New Roman"/>
      </w:rPr>
    </w:lvl>
    <w:lvl w:ilvl="5">
      <w:start w:val="1"/>
      <w:numFmt w:val="decimal"/>
      <w:lvlText w:val="Issue No. %6:"/>
      <w:lvlJc w:val="start"/>
      <w:pPr>
        <w:tabs>
          <w:tab w:val="num" w:pos="1440"/>
        </w:tabs>
        <w:ind w:start="0" w:hanging="0"/>
      </w:pPr>
      <w:rPr>
        <w:sz w:val="24"/>
        <w:i w:val="false"/>
        <w:b/>
        <w:rFonts w:ascii="Times New Roman Bold;Times New Roman" w:hAnsi="Times New Roman Bold;Times New Roman" w:cs="Times New Roman Bold;Times New Roman"/>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caps/>
      <w:szCs w:val="20"/>
    </w:rPr>
  </w:style>
  <w:style w:type="paragraph" w:styleId="Heading2">
    <w:name w:val="heading 2"/>
    <w:basedOn w:val="Normal"/>
    <w:next w:val="Normal"/>
    <w:qFormat/>
    <w:pPr>
      <w:keepNext w:val="true"/>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Normal"/>
    <w:qFormat/>
    <w:pPr>
      <w:keepNext w:val="true"/>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Normal"/>
    <w:qFormat/>
    <w:pPr>
      <w:keepNext w:val="true"/>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Normal"/>
    <w:qFormat/>
    <w:pPr>
      <w:keepNext w:val="true"/>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2">
    <w:name w:val="WW8Num3z2"/>
    <w:qFormat/>
    <w:rPr>
      <w:rFonts w:ascii="Times New Roman" w:hAnsi="Times New Roman" w:cs="Times New Roman"/>
      <w:b/>
      <w:i w:val="false"/>
      <w:sz w:val="24"/>
    </w:rPr>
  </w:style>
  <w:style w:type="character" w:styleId="WW8Num3z5">
    <w:name w:val="WW8Num3z5"/>
    <w:qFormat/>
    <w:rPr>
      <w:rFonts w:ascii="Times New Roman Bold;Times New Roman" w:hAnsi="Times New Roman Bold;Times New Roman" w:cs="Times New Roman Bold;Times New Roman"/>
      <w:b/>
      <w:i w:val="false"/>
      <w:sz w:val="24"/>
    </w:rPr>
  </w:style>
  <w:style w:type="character" w:styleId="WW8Num3z6">
    <w:name w:val="WW8Num3z6"/>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ind w:hanging="360" w:start="360" w:end="0"/>
    </w:pPr>
    <w:rPr>
      <w:sz w:val="20"/>
      <w:szCs w:val="20"/>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bered">
    <w:name w:val="Numbered"/>
    <w:basedOn w:val="Normal"/>
    <w:qFormat/>
    <w:pPr>
      <w:numPr>
        <w:ilvl w:val="0"/>
        <w:numId w:val="2"/>
      </w:numPr>
      <w:tabs>
        <w:tab w:val="clear" w:pos="720"/>
      </w:tabs>
      <w:spacing w:before="0" w:after="240"/>
      <w:ind w:hanging="715" w:start="1430" w:end="0"/>
    </w:pPr>
    <w:rPr/>
  </w:style>
  <w:style w:type="paragraph" w:styleId="Bulleted">
    <w:name w:val="Bulleted"/>
    <w:basedOn w:val="Normal"/>
    <w:qFormat/>
    <w:pPr>
      <w:numPr>
        <w:ilvl w:val="0"/>
        <w:numId w:val="3"/>
      </w:numPr>
      <w:tabs>
        <w:tab w:val="clear" w:pos="720"/>
      </w:tabs>
      <w:spacing w:before="0" w:after="240"/>
      <w:ind w:hanging="0" w:start="11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2000-11-09T14:38:00Z</dcterms:created>
  <dc:creator>Blumenfeld &amp; Cohen</dc:creator>
  <dc:description/>
  <dc:language>en-CA</dc:language>
  <cp:lastModifiedBy>Blumenfeld &amp; Cohen</cp:lastModifiedBy>
  <dcterms:modified xsi:type="dcterms:W3CDTF">2000-11-09T14:38:00Z</dcterms:modified>
  <cp:revision>2</cp:revision>
  <dc:subject/>
  <dc:title>Insert into Enron MSA for interstate communications services issue:</dc:title>
</cp:coreProperties>
</file>