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 xml:space="preserve">SECURITIES AND EXCHANGE COMMISSION (CVM) </w:t>
      </w:r>
    </w:p>
    <w:p>
      <w:pPr>
        <w:pStyle w:val="Normal"/>
        <w:jc w:val="center"/>
        <w:rPr>
          <w:rFonts w:ascii="Times New Roman" w:hAnsi="Times New Roman" w:cs="Times New Roman"/>
          <w:b/>
          <w:lang w:val="en-US"/>
        </w:rPr>
      </w:pPr>
      <w:r>
        <w:rPr>
          <w:rFonts w:cs="Times New Roman" w:ascii="Times New Roman" w:hAnsi="Times New Roman"/>
          <w:b/>
          <w:lang w:val="en-US"/>
        </w:rPr>
        <w:t>INSTRUCTION N. 325 OF JANUARY 27, 2000</w:t>
      </w:r>
    </w:p>
    <w:p>
      <w:pPr>
        <w:pStyle w:val="Header"/>
        <w:tabs>
          <w:tab w:val="clear" w:pos="4419"/>
          <w:tab w:val="clear" w:pos="8838"/>
        </w:tabs>
        <w:rPr>
          <w:rFonts w:ascii="Times New Roman" w:hAnsi="Times New Roman" w:cs="Times New Roman"/>
          <w:b/>
          <w:lang w:val="en-US"/>
        </w:rPr>
      </w:pPr>
      <w:r>
        <w:rPr>
          <w:rFonts w:cs="Times New Roman" w:ascii="Times New Roman" w:hAnsi="Times New Roman"/>
          <w:b/>
          <w:lang w:val="en-US"/>
        </w:rPr>
      </w:r>
    </w:p>
    <w:p>
      <w:pPr>
        <w:pStyle w:val="Header"/>
        <w:tabs>
          <w:tab w:val="clear" w:pos="4419"/>
          <w:tab w:val="clear" w:pos="8838"/>
        </w:tabs>
        <w:rPr>
          <w:rFonts w:ascii="Times New Roman" w:hAnsi="Times New Roman" w:cs="Times New Roman"/>
          <w:b/>
          <w:lang w:val="en-US"/>
        </w:rPr>
      </w:pPr>
      <w:r>
        <w:rPr>
          <w:rFonts w:cs="Times New Roman" w:ascii="Times New Roman" w:hAnsi="Times New Roman"/>
          <w:b/>
          <w:lang w:val="en-US"/>
        </w:rPr>
      </w:r>
    </w:p>
    <w:p>
      <w:pPr>
        <w:pStyle w:val="Header"/>
        <w:tabs>
          <w:tab w:val="clear" w:pos="4419"/>
          <w:tab w:val="clear" w:pos="8838"/>
        </w:tabs>
        <w:rPr>
          <w:rFonts w:ascii="Times New Roman" w:hAnsi="Times New Roman" w:cs="Times New Roman"/>
          <w:lang w:val="en-US"/>
        </w:rPr>
      </w:pPr>
      <w:r>
        <w:rPr>
          <w:rFonts w:cs="Times New Roman" w:ascii="Times New Roman" w:hAnsi="Times New Roman"/>
          <w:lang w:val="en-US"/>
        </w:rPr>
      </w:r>
    </w:p>
    <w:p>
      <w:pPr>
        <w:pStyle w:val="Header"/>
        <w:tabs>
          <w:tab w:val="clear" w:pos="4419"/>
          <w:tab w:val="clear" w:pos="8838"/>
        </w:tabs>
        <w:rPr>
          <w:rFonts w:ascii="Times New Roman" w:hAnsi="Times New Roman" w:cs="Times New Roman"/>
          <w:lang w:val="en-US"/>
        </w:rPr>
      </w:pPr>
      <w:r>
        <w:rPr>
          <w:rFonts w:cs="Times New Roman" w:ascii="Times New Roman" w:hAnsi="Times New Roman"/>
          <w:lang w:val="en-US"/>
        </w:rPr>
      </w:r>
    </w:p>
    <w:p>
      <w:pPr>
        <w:pStyle w:val="Header"/>
        <w:tabs>
          <w:tab w:val="clear" w:pos="4419"/>
          <w:tab w:val="clear" w:pos="8838"/>
        </w:tabs>
        <w:rPr>
          <w:rFonts w:ascii="Times New Roman" w:hAnsi="Times New Roman" w:cs="Times New Roman"/>
          <w:lang w:val="en-US"/>
        </w:rPr>
      </w:pPr>
      <w:r>
        <w:rPr>
          <w:rFonts w:cs="Times New Roman" w:ascii="Times New Roman" w:hAnsi="Times New Roman"/>
          <w:lang w:val="en-US"/>
        </w:rPr>
      </w:r>
    </w:p>
    <w:p>
      <w:pPr>
        <w:pStyle w:val="BodyTextIndent"/>
        <w:rPr>
          <w:rFonts w:ascii="Times New Roman" w:hAnsi="Times New Roman" w:cs="Times New Roman"/>
        </w:rPr>
      </w:pPr>
      <w:r>
        <w:rPr>
          <w:rFonts w:cs="Times New Roman" w:ascii="Times New Roman" w:hAnsi="Times New Roman"/>
        </w:rPr>
        <w:t>Provides for the registration of non-resident investor with the Brazilian Securities and Exchange Commission as referred to in National Monetary Council (CMN) Resolution N. 2689 of January 26, 2000, and makes other provisions.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r>
    </w:p>
    <w:p>
      <w:pPr>
        <w:pStyle w:val="BodyText"/>
        <w:rPr>
          <w:rFonts w:ascii="Times New Roman" w:hAnsi="Times New Roman" w:cs="Times New Roman"/>
        </w:rPr>
      </w:pPr>
      <w:r>
        <w:rPr>
          <w:rFonts w:cs="Times New Roman" w:ascii="Times New Roman" w:hAnsi="Times New Roman"/>
        </w:rPr>
        <w:t>The President of the Securities and Exchange Commission (CVM) announces that the Executive Board, at a meeting held on this date and based on the provisions in art. 8, I of Law N. 6385 of December 7, 1976 and in National Monetary Council (CNM) Resolution N. 2689 of January 26, 2000, HAS RESOLVED to issue the following Instruction: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1.</w:t>
        <w:tab/>
        <w:tab/>
        <w:t>This Instruction provides general rules for the registration of non-resident investor with the CVM as per the terms of CMN Resolution N. 2689 of January 26, 2000.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2.</w:t>
        <w:tab/>
        <w:tab/>
        <w:t>For purposes of the provisions in art. 3, III of CMN Resolution N. 2689/00, any group or single investor, whether an individual or legal entity, fund or other collective investment entity, residing, headquartered or domiciled abroad may register with the CVM.</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Sole paragraph.</w:t>
        <w:tab/>
        <w:t>Only investors qualified under item I.5, items "a" through "g" of the Annex to CMN Resolution N. 2689/00 may hold an omnibus account.</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3.</w:t>
        <w:tab/>
        <w:tab/>
        <w:t>Prior to initiating activities in Brazil and after filling in the form in the Annex to CMN Resolution N. 2689/00, non-resident investor must, through their representatives, register with the CVM.</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1.</w:t>
        <w:tab/>
        <w:t>The registration number assigned by the CVM must be shown in connection with all operations carried out on behalf of each investor participating in an omnibus account or holding an own account so as to allow for the identification of the final participants in the operations and to ensure segregation among the orders of the account holder and each of the account participants.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2.</w:t>
        <w:tab/>
        <w:t>Representatives must, at the time of applying for registration by electronic means, send the information contained in the Annex to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§3.</w:t>
        <w:tab/>
        <w:t>Non-resident investors that are already registered with the CVM are required to fill out the form attached to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§4.</w:t>
        <w:tab/>
        <w:t>The CVM will approve or deny the registration within a maximum of twenty-four hours after the application made by the representative dealt with in art. 3, I of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4.</w:t>
        <w:tab/>
        <w:tab/>
        <w:t>The representative dealt with in art. 3, I CMN Resolution N. 2689/00 must either be an individual residing and domiciled in Brazil or a legal entity legally incorporated and qualified to operate in Brazil, in further observance of the provisions in art. 3, §2 of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5.</w:t>
        <w:tab/>
        <w:tab/>
        <w:t>Non-resident investor that intend to operate as account holder must apply for registration with the CVM and its  representatives must, whenever requested, submit the following documentation: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w:t>
        <w:tab/>
        <w:t>the form described in the Annex to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II.</w:t>
        <w:tab/>
        <w:t>an agreement executed as per the terms if art. 5, I of CMN Resolution N. 2689/00;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III.</w:t>
        <w:tab/>
        <w:t>a securities custody agreement executed between the non-resident investor and an institution authorized by the CVM to provide such service;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IV.</w:t>
        <w:tab/>
        <w:t>the form dealt with in item I of this article for each investor participating in the account.</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§1.</w:t>
        <w:tab/>
        <w:t>Non-resident investor may hold and participate in one or more accounts and, if they choose to maintain their securities in separate custody accounts or at more than one custodian institution, the custody agreement must contain a clause providing for the operating procedures with respect to the accounts, including as to the information to be furnished to the holder and the representatives.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§2.</w:t>
        <w:tab/>
        <w:t>The holder of a group account may operate its own funds in this account, provided that registration has been applied for in its name for such purpose.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6.</w:t>
        <w:tab/>
        <w:tab/>
        <w:t>The holder, its representative, depositary institutions or entities providing custody and registration services must, when requested, supply the CVM with documentation showing, per participant, the transactions effected, the assets making up the portfolio, the custody operations or any other additional information requested.</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7.</w:t>
        <w:tab/>
        <w:tab/>
        <w:t>The representative must electronically submit a monthly report by the fifth day of the following month showing information in connection with the non-resident investors, in accordance with the database structure and programs supplied by the CVM.</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Sole paragraph.</w:t>
        <w:tab/>
        <w:t>The Superintendency of Institutional Investor Relations of the CVM is hereby authorized to create, alter, include or suppress the programs referred to in the main section as well as alter the periodicity of the information is required to be submitted.</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8.</w:t>
        <w:tab/>
        <w:tab/>
        <w:t>Prior authorization of the CVM is required for transfers of custody positions between non-resident investors occurring abroad as a result of merger, incorporation, spin-off and other corporate alterations as well as those originating from succession by reason of decease.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Sole paragraph.</w:t>
        <w:tab/>
        <w:t>Transfers of securities between different accounts in which a non-resident investor participates must be notified to the CVM.</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9.</w:t>
        <w:tab/>
        <w:tab/>
        <w:t>The representative of non-resident investor must provide the CVM with prior notice of the cancellation of the representation agreement.</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10.</w:t>
        <w:tab/>
        <w:t>Securities portfolios held in Brazil by institutional investors incorporated abroad as per the Annex IV to CVM Resolution N. 1289 of March 20, 1987 must be compliant with the provisions in CMN Resolution N. 2689/00 by July 1, 2000.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11.</w:t>
        <w:tab/>
        <w:t>The CVM may suspend or cancel registration for any non-resident investor that fails to comply with the provisions in arts. 3, 4 and 5 of this Instruction, based on art. 9, §1, II of Law N. 6385 of December 7, 1976, without prejudice to other applicable penalties.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12.</w:t>
        <w:tab/>
        <w:t>For purposes of the provisions in art. 11, §3 of Law N. 6385/76, noncompliance with the provisions in arts. 3, 5, 6, 9 and 10 of this Instruction shall be considered serious violations.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Art. 13.</w:t>
        <w:tab/>
        <w:t>CVM Instructions N. 169 of January 2, 1992; N. 210 of April 15, 1994; and N. 242 of January 26, 1996 are hereby revoked.</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Art. 14. </w:t>
        <w:tab/>
        <w:t>This Instruction shall become effective on March 31, 2000.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Original signed by </w:t>
      </w:r>
    </w:p>
    <w:p>
      <w:pPr>
        <w:pStyle w:val="BodyText"/>
        <w:rPr>
          <w:rFonts w:ascii="Times New Roman" w:hAnsi="Times New Roman" w:cs="Times New Roman"/>
        </w:rPr>
      </w:pPr>
      <w:r>
        <w:rPr>
          <w:rFonts w:cs="Times New Roman" w:ascii="Times New Roman" w:hAnsi="Times New Roman"/>
        </w:rPr>
        <w:t>FRANCISCO DA COSTA E SILVA</w:t>
      </w:r>
    </w:p>
    <w:p>
      <w:pPr>
        <w:pStyle w:val="BodyText"/>
        <w:rPr>
          <w:rFonts w:ascii="Times New Roman" w:hAnsi="Times New Roman" w:cs="Times New Roman"/>
        </w:rPr>
      </w:pPr>
      <w:r>
        <w:rPr>
          <w:rFonts w:cs="Times New Roman" w:ascii="Times New Roman" w:hAnsi="Times New Roman"/>
        </w:rPr>
        <w:t>President</w:t>
      </w:r>
    </w:p>
    <w:sectPr>
      <w:footerReference w:type="default" r:id="rId2"/>
      <w:type w:val="nextPage"/>
      <w:pgSz w:w="12240" w:h="15840"/>
      <w:pgMar w:left="1701" w:right="1701"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mallCaps/>
        <w:sz w:val="12"/>
      </w:rPr>
    </w:pPr>
    <w:r>
      <w:rPr>
        <w:rFonts w:cs="Arial Narrow" w:ascii="Arial Narrow" w:hAnsi="Arial Narrow"/>
        <w:smallCaps/>
        <w:sz w:val="12"/>
      </w:rPr>
      <w:t xml:space="preserve">Tradução Não Juramentada / Free Translation </w:t>
    </w:r>
  </w:p>
  <w:p>
    <w:pPr>
      <w:pStyle w:val="Footer"/>
      <w:rPr/>
    </w:pPr>
    <w:r>
      <w:fldChar w:fldCharType="begin"/>
    </w:r>
    <w:r>
      <w:rPr>
        <w:sz w:val="12"/>
        <w:rFonts w:cs="Arial Narrow" w:ascii="Arial Narrow" w:hAnsi="Arial Narrow"/>
        <w:lang w:val="en-CA"/>
      </w:rPr>
      <w:instrText xml:space="preserve"> USERINITIALS  \* LOWER </w:instrText>
    </w:r>
    <w:r>
      <w:rPr>
        <w:rFonts w:cs="Arial Narrow" w:ascii="Arial Narrow" w:hAnsi="Arial Narrow"/>
        <w:sz w:val="12"/>
        <w:lang w:val="en-CA"/>
      </w:rPr>
    </w:r>
    <w:r>
      <w:rPr>
        <w:sz w:val="12"/>
        <w:rFonts w:cs="Arial Narrow" w:ascii="Arial Narrow" w:hAnsi="Arial Narrow"/>
        <w:lang w:val="en-CA"/>
      </w:rPr>
      <w:fldChar w:fldCharType="separate"/>
    </w:r>
    <w:r>
      <w:rPr>
        <w:rFonts w:cs="Arial Narrow" w:ascii="Arial Narrow" w:hAnsi="Arial Narrow"/>
        <w:sz w:val="12"/>
        <w:lang w:val="en-CA"/>
      </w:rPr>
      <w:t>t</w:t>
    </w:r>
    <w:r>
      <w:rPr>
        <w:rFonts w:cs="Arial Narrow" w:ascii="Arial Narrow" w:hAnsi="Arial Narrow"/>
        <w:sz w:val="12"/>
        <w:lang w:val="en-CA"/>
      </w:rPr>
    </w:r>
    <w:r>
      <w:rPr>
        <w:sz w:val="12"/>
        <w:rFonts w:cs="Arial Narrow" w:ascii="Arial Narrow" w:hAnsi="Arial Narrow"/>
        <w:lang w:val="en-CA"/>
      </w:rPr>
      <w:fldChar w:fldCharType="end"/>
    </w:r>
    <w:r>
      <w:rPr>
        <w:rFonts w:cs="Arial Narrow" w:ascii="Arial Narrow" w:hAnsi="Arial Narrow"/>
        <w:sz w:val="12"/>
      </w:rPr>
      <w:t xml:space="preserve"> </w:t>
    </w:r>
    <w:r>
      <w:rPr>
        <w:rFonts w:cs="Arial Narrow" w:ascii="Arial Narrow" w:hAnsi="Arial Narrow"/>
        <w:sz w:val="12"/>
      </w:rPr>
      <w:fldChar w:fldCharType="begin"/>
    </w:r>
    <w:r>
      <w:rPr>
        <w:sz w:val="12"/>
        <w:rFonts w:cs="Arial Narrow" w:ascii="Arial Narrow" w:hAnsi="Arial Narrow"/>
      </w:rPr>
      <w:instrText xml:space="preserve"> DATE \@"dd/MM/yyyy" </w:instrText>
    </w:r>
    <w:r>
      <w:rPr>
        <w:sz w:val="12"/>
        <w:rFonts w:cs="Arial Narrow" w:ascii="Arial Narrow" w:hAnsi="Arial Narrow"/>
      </w:rPr>
      <w:fldChar w:fldCharType="separate"/>
    </w:r>
    <w:r>
      <w:rPr>
        <w:sz w:val="12"/>
        <w:rFonts w:cs="Arial Narrow" w:ascii="Arial Narrow" w:hAnsi="Arial Narrow"/>
      </w:rPr>
      <w:t>28/09/2025</w:t>
    </w:r>
    <w:r>
      <w:rPr>
        <w:sz w:val="12"/>
        <w:rFonts w:cs="Arial Narrow" w:ascii="Arial Narrow" w:hAnsi="Arial Narrow"/>
      </w:rPr>
      <w:fldChar w:fldCharType="end"/>
    </w:r>
    <w:r>
      <w:rPr>
        <w:rFonts w:cs="Arial Narrow" w:ascii="Arial Narrow" w:hAnsi="Arial Narrow"/>
        <w:sz w:val="12"/>
      </w:rPr>
      <w:t xml:space="preserve"> </w:t>
    </w:r>
    <w:r>
      <w:rPr>
        <w:rFonts w:cs="Arial Narrow" w:ascii="Arial Narrow" w:hAnsi="Arial Narrow"/>
        <w:sz w:val="12"/>
      </w:rPr>
      <w:fldChar w:fldCharType="begin"/>
    </w:r>
    <w:r>
      <w:rPr>
        <w:sz w:val="12"/>
        <w:rFonts w:cs="Arial Narrow" w:ascii="Arial Narrow" w:hAnsi="Arial Narrow"/>
      </w:rPr>
      <w:instrText xml:space="preserve"> DATE \@"dd/MM/yyyy" </w:instrText>
    </w:r>
    <w:r>
      <w:rPr>
        <w:sz w:val="12"/>
        <w:rFonts w:cs="Arial Narrow" w:ascii="Arial Narrow" w:hAnsi="Arial Narrow"/>
      </w:rPr>
      <w:fldChar w:fldCharType="separate"/>
    </w:r>
    <w:r>
      <w:rPr>
        <w:sz w:val="12"/>
        <w:rFonts w:cs="Arial Narrow" w:ascii="Arial Narrow" w:hAnsi="Arial Narrow"/>
      </w:rPr>
      <w:t>28/09/2025</w:t>
    </w:r>
    <w:r>
      <w:rPr>
        <w:sz w:val="12"/>
        <w:rFonts w:cs="Arial Narrow" w:ascii="Arial Narrow" w:hAnsi="Arial Narrow"/>
      </w:rPr>
      <w:fldChar w:fldCharType="end"/>
    </w:r>
    <w:r>
      <w:rPr>
        <w:rFonts w:cs="Arial Narrow" w:ascii="Arial Narrow" w:hAnsi="Arial Narrow"/>
        <w:sz w:val="12"/>
      </w:rPr>
      <w:t xml:space="preserve"> </w:t>
    </w:r>
    <w:r>
      <w:rPr>
        <w:rFonts w:cs="Arial Narrow" w:ascii="Arial Narrow" w:hAnsi="Arial Narrow"/>
        <w:sz w:val="12"/>
      </w:rPr>
      <w:fldChar w:fldCharType="begin"/>
    </w:r>
    <w:r>
      <w:rPr>
        <w:sz w:val="12"/>
        <w:rFonts w:cs="Arial Narrow" w:ascii="Arial Narrow" w:hAnsi="Arial Narrow"/>
      </w:rPr>
      <w:instrText xml:space="preserve"> NUMCHARS \* ARABIC </w:instrText>
    </w:r>
    <w:r>
      <w:rPr>
        <w:sz w:val="12"/>
        <w:rFonts w:cs="Arial Narrow" w:ascii="Arial Narrow" w:hAnsi="Arial Narrow"/>
      </w:rPr>
      <w:fldChar w:fldCharType="separate"/>
    </w:r>
    <w:r>
      <w:rPr>
        <w:sz w:val="12"/>
        <w:rFonts w:cs="Arial Narrow" w:ascii="Arial Narrow" w:hAnsi="Arial Narrow"/>
      </w:rPr>
      <w:t>0</w:t>
    </w:r>
    <w:r>
      <w:rPr>
        <w:sz w:val="12"/>
        <w:rFonts w:cs="Arial Narrow" w:ascii="Arial Narrow" w:hAnsi="Arial Narrow"/>
      </w:rPr>
      <w:fldChar w:fldCharType="end"/>
    </w:r>
    <w:r>
      <w:rPr>
        <w:rFonts w:cs="Arial Narrow" w:ascii="Arial Narrow" w:hAnsi="Arial Narrow"/>
        <w:sz w:val="16"/>
      </w:rPr>
      <w:tab/>
      <w:t xml:space="preserve"> </w:t>
    </w:r>
    <w:r>
      <w:rPr>
        <w:rFonts w:cs="Arial Narrow" w:ascii="Arial Narrow" w:hAnsi="Arial Narrow"/>
        <w:sz w:val="28"/>
      </w:rPr>
      <w:fldChar w:fldCharType="begin"/>
    </w:r>
    <w:r>
      <w:rPr>
        <w:sz w:val="28"/>
        <w:rFonts w:cs="Arial Narrow" w:ascii="Arial Narrow" w:hAnsi="Arial Narrow"/>
      </w:rPr>
      <w:instrText xml:space="preserve"> PAGE </w:instrText>
    </w:r>
    <w:r>
      <w:rPr>
        <w:sz w:val="28"/>
        <w:rFonts w:cs="Arial Narrow" w:ascii="Arial Narrow" w:hAnsi="Arial Narrow"/>
      </w:rPr>
      <w:fldChar w:fldCharType="separate"/>
    </w:r>
    <w:r>
      <w:rPr>
        <w:sz w:val="28"/>
        <w:rFonts w:cs="Arial Narrow" w:ascii="Arial Narrow" w:hAnsi="Arial Narrow"/>
      </w:rPr>
      <w:t>3</w:t>
    </w:r>
    <w:r>
      <w:rPr>
        <w:sz w:val="28"/>
        <w:rFonts w:cs="Arial Narrow" w:ascii="Arial Narrow" w:hAnsi="Arial Narrow"/>
      </w:rPr>
      <w:fldChar w:fldCharType="end"/>
    </w:r>
    <w:r>
      <w:rPr>
        <w:rFonts w:cs="Arial Narrow" w:ascii="Arial Narrow" w:hAnsi="Arial Narrow"/>
        <w:sz w:val="28"/>
      </w:rPr>
      <w:t>/</w:t>
    </w:r>
    <w:r>
      <w:rPr>
        <w:rFonts w:cs="Arial Narrow" w:ascii="Arial Narrow" w:hAnsi="Arial Narrow"/>
        <w:sz w:val="28"/>
      </w:rPr>
      <w:fldChar w:fldCharType="begin"/>
    </w:r>
    <w:r>
      <w:rPr>
        <w:sz w:val="28"/>
        <w:rFonts w:cs="Arial Narrow" w:ascii="Arial Narrow" w:hAnsi="Arial Narrow"/>
      </w:rPr>
      <w:instrText xml:space="preserve"> NUMPAGES \* ARABIC </w:instrText>
    </w:r>
    <w:r>
      <w:rPr>
        <w:sz w:val="28"/>
        <w:rFonts w:cs="Arial Narrow" w:ascii="Arial Narrow" w:hAnsi="Arial Narrow"/>
      </w:rPr>
      <w:fldChar w:fldCharType="separate"/>
    </w:r>
    <w:r>
      <w:rPr>
        <w:sz w:val="28"/>
        <w:rFonts w:cs="Arial Narrow" w:ascii="Arial Narrow" w:hAnsi="Arial Narrow"/>
      </w:rPr>
      <w:t>3</w:t>
    </w:r>
    <w:r>
      <w:rPr>
        <w:sz w:val="28"/>
        <w:rFonts w:cs="Arial Narrow" w:ascii="Arial Narrow" w:hAnsi="Arial Narrow"/>
      </w:rPr>
      <w:fldChar w:fldCharType="end"/>
    </w:r>
    <w:r>
      <w:rPr>
        <w:rFonts w:cs="Arial Narrow" w:ascii="Arial Narrow" w:hAnsi="Arial Narrow"/>
        <w:sz w:val="28"/>
      </w:rPr>
      <w:tab/>
    </w: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/mnt/main-storage/datasets/enron-docs/doc/Ins325a.doc</w:t>
    </w:r>
    <w:r>
      <w:rPr>
        <w:sz w:val="12"/>
        <w:rFonts w:cs="Arial Narrow" w:ascii="Arial Narrow" w:hAnsi="Arial Narrow"/>
      </w:rPr>
      <w:fldChar w:fldCharType="end"/>
    </w:r>
    <w:r>
      <w:rPr>
        <w:rFonts w:cs="Arial Narrow" w:ascii="Arial Narrow" w:hAnsi="Arial Narrow"/>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pt-BR" w:eastAsia="zh-CN" w:bidi="hi-I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lang w:val="en-US"/>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
    <w:name w:val="Body Text Indent"/>
    <w:basedOn w:val="Normal"/>
    <w:pPr>
      <w:ind w:hanging="0" w:start="4536" w:end="0"/>
      <w:jc w:val="both"/>
    </w:pPr>
    <w:rPr>
      <w:rFonts w:ascii="Arial Narrow" w:hAnsi="Arial Narrow" w:cs="Arial Narrow"/>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Tradução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2000-02-10T20:00:00Z</dcterms:created>
  <dc:creator>WILLIAM</dc:creator>
  <dc:description/>
  <dc:language>en-CA</dc:language>
  <cp:lastModifiedBy>TFTS</cp:lastModifiedBy>
  <cp:lastPrinted>2000-02-10T19:26:00Z</cp:lastPrinted>
  <dcterms:modified xsi:type="dcterms:W3CDTF">2000-05-03T17:43:00Z</dcterms:modified>
  <cp:revision>6</cp:revision>
  <dc:subject/>
  <dc:title>Instrução CVM no. 325, de 27 de janeiro de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o">
    <vt:lpwstr>XXXXX</vt:lpwstr>
  </property>
  <property fmtid="{D5CDD505-2E9C-101B-9397-08002B2CF9AE}" pid="3" name="Débito">
    <vt:lpwstr>XXXXX / XXXXX</vt:lpwstr>
  </property>
  <property fmtid="{D5CDD505-2E9C-101B-9397-08002B2CF9AE}" pid="4" name="Origem">
    <vt:lpwstr>XXXXX</vt:lpwstr>
  </property>
  <property fmtid="{D5CDD505-2E9C-101B-9397-08002B2CF9AE}" pid="5" name="Recebido de">
    <vt:lpwstr>XXXXX</vt:lpwstr>
  </property>
</Properties>
</file>