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pacing w:lineRule="auto" w:line="240" w:before="130" w:after="130"/>
        <w:jc w:val="center"/>
        <w:rPr>
          <w:b/>
          <w:bCs/>
          <w:sz w:val="28"/>
        </w:rPr>
      </w:pPr>
      <w:r>
        <w:rPr>
          <w:b/>
          <w:bCs/>
          <w:sz w:val="28"/>
        </w:rPr>
        <w:t>KPMG Innovative Strategies Group</w:t>
      </w:r>
    </w:p>
    <w:p>
      <w:pPr>
        <w:pStyle w:val="BodyText"/>
        <w:widowControl w:val="false"/>
        <w:spacing w:lineRule="auto" w:line="240" w:before="0" w:after="0"/>
        <w:rPr>
          <w:b/>
          <w:bCs/>
          <w:sz w:val="24"/>
        </w:rPr>
      </w:pPr>
      <w:r>
        <w:rPr>
          <w:b/>
          <w:bCs/>
          <w:sz w:val="24"/>
        </w:rPr>
      </w:r>
    </w:p>
    <w:p>
      <w:pPr>
        <w:pStyle w:val="BodyText"/>
        <w:widowControl w:val="false"/>
        <w:spacing w:lineRule="auto" w:line="240"/>
        <w:rPr>
          <w:b/>
          <w:bCs/>
          <w:i/>
          <w:i/>
          <w:iCs/>
          <w:sz w:val="24"/>
        </w:rPr>
      </w:pPr>
      <w:r>
        <w:rPr>
          <w:b/>
          <w:bCs/>
          <w:i/>
          <w:iCs/>
          <w:sz w:val="24"/>
        </w:rPr>
        <w:t>Overview of the Innovative Strategies Group</w:t>
      </w:r>
    </w:p>
    <w:p>
      <w:pPr>
        <w:pStyle w:val="BodyText"/>
        <w:widowControl w:val="false"/>
        <w:spacing w:lineRule="auto" w:line="240"/>
        <w:rPr>
          <w:sz w:val="24"/>
        </w:rPr>
      </w:pPr>
      <w:r>
        <w:rPr>
          <w:sz w:val="24"/>
        </w:rPr>
        <w:t>The Innovative Strategies group is a team of specialized Personal Financial Planning professionals that deliver integrated income and transfer tax strategies for individuals with significant ordinary income and/or highly appreciated property.</w:t>
      </w:r>
    </w:p>
    <w:p>
      <w:pPr>
        <w:pStyle w:val="BodyText"/>
        <w:widowControl w:val="false"/>
        <w:spacing w:lineRule="auto" w:line="240"/>
        <w:rPr>
          <w:b/>
          <w:bCs/>
          <w:i/>
          <w:i/>
          <w:iCs/>
          <w:sz w:val="24"/>
        </w:rPr>
      </w:pPr>
      <w:r>
        <w:rPr>
          <w:b/>
          <w:bCs/>
          <w:i/>
          <w:iCs/>
          <w:sz w:val="24"/>
        </w:rPr>
        <w:t>Innovative Strategies Group Objectives</w:t>
      </w:r>
    </w:p>
    <w:p>
      <w:pPr>
        <w:pStyle w:val="BodyText"/>
        <w:widowControl w:val="false"/>
        <w:numPr>
          <w:ilvl w:val="0"/>
          <w:numId w:val="4"/>
        </w:numPr>
        <w:spacing w:lineRule="auto" w:line="240" w:before="130" w:after="0"/>
        <w:rPr>
          <w:sz w:val="24"/>
        </w:rPr>
      </w:pPr>
      <w:r>
        <w:rPr>
          <w:sz w:val="24"/>
        </w:rPr>
        <w:t>Understanding and meeting the unique financial planning needs of our high net worth clients</w:t>
      </w:r>
    </w:p>
    <w:p>
      <w:pPr>
        <w:pStyle w:val="BodyText"/>
        <w:widowControl w:val="false"/>
        <w:numPr>
          <w:ilvl w:val="0"/>
          <w:numId w:val="4"/>
        </w:numPr>
        <w:spacing w:lineRule="auto" w:line="240"/>
        <w:rPr>
          <w:sz w:val="24"/>
        </w:rPr>
      </w:pPr>
      <w:r>
        <w:rPr>
          <w:sz w:val="24"/>
        </w:rPr>
        <w:t>Creating a “portfolio” of tax strategies that links the tax “risk” of individual strategies with the potential “return”</w:t>
      </w:r>
    </w:p>
    <w:p>
      <w:pPr>
        <w:pStyle w:val="BodyText"/>
        <w:widowControl w:val="false"/>
        <w:spacing w:lineRule="auto" w:line="240"/>
        <w:rPr>
          <w:b/>
          <w:bCs/>
          <w:i/>
          <w:i/>
          <w:iCs/>
          <w:sz w:val="24"/>
        </w:rPr>
      </w:pPr>
      <w:r>
        <w:rPr>
          <w:b/>
          <w:bCs/>
          <w:i/>
          <w:iCs/>
          <w:sz w:val="24"/>
        </w:rPr>
        <w:t>Innovative Strategies “Portfolio”</w:t>
      </w:r>
    </w:p>
    <w:p>
      <w:pPr>
        <w:pStyle w:val="BodyText"/>
        <w:widowControl w:val="false"/>
        <w:numPr>
          <w:ilvl w:val="0"/>
          <w:numId w:val="3"/>
        </w:numPr>
        <w:spacing w:lineRule="auto" w:line="240" w:before="130" w:after="0"/>
        <w:rPr>
          <w:sz w:val="24"/>
        </w:rPr>
      </w:pPr>
      <w:r>
        <w:rPr>
          <w:sz w:val="24"/>
        </w:rPr>
        <w:t xml:space="preserve">Stock Option and Restricted Stock Strategies </w:t>
      </w:r>
    </w:p>
    <w:p>
      <w:pPr>
        <w:pStyle w:val="BodyText"/>
        <w:widowControl w:val="false"/>
        <w:numPr>
          <w:ilvl w:val="0"/>
          <w:numId w:val="3"/>
        </w:numPr>
        <w:spacing w:lineRule="auto" w:line="240" w:before="130" w:after="0"/>
        <w:rPr>
          <w:sz w:val="24"/>
        </w:rPr>
      </w:pPr>
      <w:r>
        <w:rPr>
          <w:sz w:val="24"/>
        </w:rPr>
        <w:t xml:space="preserve">Concentrated Equity Position Monetization Strategies </w:t>
      </w:r>
    </w:p>
    <w:p>
      <w:pPr>
        <w:pStyle w:val="BodyText"/>
        <w:widowControl w:val="false"/>
        <w:numPr>
          <w:ilvl w:val="0"/>
          <w:numId w:val="3"/>
        </w:numPr>
        <w:spacing w:lineRule="auto" w:line="240" w:before="130" w:after="0"/>
        <w:rPr>
          <w:sz w:val="24"/>
        </w:rPr>
      </w:pPr>
      <w:r>
        <w:rPr>
          <w:sz w:val="24"/>
        </w:rPr>
        <w:t>Capital Transaction Strategies</w:t>
      </w:r>
    </w:p>
    <w:p>
      <w:pPr>
        <w:pStyle w:val="BodyText"/>
        <w:widowControl w:val="false"/>
        <w:numPr>
          <w:ilvl w:val="0"/>
          <w:numId w:val="3"/>
        </w:numPr>
        <w:spacing w:lineRule="auto" w:line="240"/>
        <w:rPr>
          <w:sz w:val="24"/>
        </w:rPr>
      </w:pPr>
      <w:r>
        <w:rPr>
          <w:sz w:val="24"/>
        </w:rPr>
        <w:t>Estate Planning Strategies</w:t>
      </w:r>
    </w:p>
    <w:p>
      <w:pPr>
        <w:pStyle w:val="BodyText"/>
        <w:widowControl w:val="false"/>
        <w:spacing w:lineRule="auto" w:line="240"/>
        <w:rPr>
          <w:b/>
          <w:bCs/>
          <w:i/>
          <w:i/>
          <w:iCs/>
          <w:sz w:val="24"/>
        </w:rPr>
      </w:pPr>
      <w:r>
        <w:rPr>
          <w:b/>
          <w:bCs/>
          <w:i/>
          <w:iCs/>
          <w:sz w:val="24"/>
        </w:rPr>
        <w:t>Innovative Strategies Group Services</w:t>
      </w:r>
    </w:p>
    <w:p>
      <w:pPr>
        <w:pStyle w:val="BodyText"/>
        <w:widowControl w:val="false"/>
        <w:numPr>
          <w:ilvl w:val="0"/>
          <w:numId w:val="2"/>
        </w:numPr>
        <w:spacing w:lineRule="auto" w:line="240" w:before="130" w:after="0"/>
        <w:rPr>
          <w:sz w:val="28"/>
        </w:rPr>
      </w:pPr>
      <w:r>
        <w:rPr>
          <w:sz w:val="24"/>
        </w:rPr>
        <w:t>Develop cutting-edge income and transfer tax strategies</w:t>
      </w:r>
    </w:p>
    <w:p>
      <w:pPr>
        <w:pStyle w:val="BodyText"/>
        <w:widowControl w:val="false"/>
        <w:numPr>
          <w:ilvl w:val="0"/>
          <w:numId w:val="2"/>
        </w:numPr>
        <w:spacing w:lineRule="auto" w:line="240" w:before="130" w:after="0"/>
        <w:rPr>
          <w:sz w:val="28"/>
        </w:rPr>
      </w:pPr>
      <w:r>
        <w:rPr>
          <w:sz w:val="24"/>
        </w:rPr>
        <w:t>Assist clients to determine whether particular strategies are compatible with their objectives</w:t>
      </w:r>
    </w:p>
    <w:p>
      <w:pPr>
        <w:pStyle w:val="BodyText"/>
        <w:widowControl w:val="false"/>
        <w:numPr>
          <w:ilvl w:val="0"/>
          <w:numId w:val="2"/>
        </w:numPr>
        <w:spacing w:lineRule="auto" w:line="240" w:before="130" w:after="0"/>
        <w:rPr>
          <w:sz w:val="28"/>
        </w:rPr>
      </w:pPr>
      <w:r>
        <w:rPr>
          <w:sz w:val="24"/>
        </w:rPr>
        <w:t>Coordinate implementation of strategies</w:t>
      </w:r>
      <w:r>
        <w:br w:type="page"/>
      </w:r>
    </w:p>
    <w:p>
      <w:pPr>
        <w:pStyle w:val="BodyText"/>
        <w:widowControl w:val="false"/>
        <w:spacing w:lineRule="auto" w:line="240"/>
        <w:jc w:val="center"/>
        <w:rPr>
          <w:b/>
          <w:bCs/>
          <w:sz w:val="28"/>
        </w:rPr>
      </w:pPr>
      <w:r>
        <w:rPr>
          <w:b/>
          <w:bCs/>
          <w:sz w:val="28"/>
        </w:rPr>
        <w:t>KPMG’s “Option Diversification Vehicle</w:t>
      </w:r>
    </w:p>
    <w:p>
      <w:pPr>
        <w:pStyle w:val="BodyText"/>
        <w:widowControl w:val="false"/>
        <w:spacing w:lineRule="auto" w:line="240" w:before="0" w:after="0"/>
        <w:rPr>
          <w:b/>
          <w:bCs/>
          <w:i/>
          <w:i/>
          <w:iCs/>
          <w:sz w:val="24"/>
        </w:rPr>
      </w:pPr>
      <w:r>
        <w:rPr>
          <w:b/>
          <w:bCs/>
          <w:i/>
          <w:iCs/>
          <w:sz w:val="24"/>
        </w:rPr>
      </w:r>
    </w:p>
    <w:p>
      <w:pPr>
        <w:pStyle w:val="BodyText"/>
        <w:widowControl w:val="false"/>
        <w:spacing w:lineRule="auto" w:line="240" w:before="0" w:after="130"/>
        <w:rPr>
          <w:b/>
          <w:bCs/>
          <w:i/>
          <w:i/>
          <w:iCs/>
          <w:sz w:val="24"/>
        </w:rPr>
      </w:pPr>
      <w:r>
        <w:rPr>
          <w:b/>
          <w:bCs/>
          <w:i/>
          <w:iCs/>
          <w:sz w:val="24"/>
        </w:rPr>
        <w:t xml:space="preserve">Overview of the Option Diversification Vehicle </w:t>
      </w:r>
    </w:p>
    <w:p>
      <w:pPr>
        <w:pStyle w:val="BodyText"/>
        <w:widowControl w:val="false"/>
        <w:spacing w:lineRule="auto" w:line="240"/>
        <w:rPr>
          <w:sz w:val="24"/>
        </w:rPr>
      </w:pPr>
      <w:r>
        <w:rPr>
          <w:sz w:val="24"/>
        </w:rPr>
        <w:t>The Option Diversification Vehicle (“ODV”) has the following benefits:</w:t>
      </w:r>
    </w:p>
    <w:p>
      <w:pPr>
        <w:pStyle w:val="BodyText"/>
        <w:widowControl w:val="false"/>
        <w:numPr>
          <w:ilvl w:val="0"/>
          <w:numId w:val="5"/>
        </w:numPr>
        <w:spacing w:lineRule="auto" w:line="240"/>
        <w:rPr>
          <w:sz w:val="24"/>
        </w:rPr>
      </w:pPr>
      <w:r>
        <w:rPr>
          <w:sz w:val="24"/>
        </w:rPr>
        <w:t>Allows executives and/or directors to monetize some or all of their nonqualified stock options without current income recognition;</w:t>
      </w:r>
    </w:p>
    <w:p>
      <w:pPr>
        <w:pStyle w:val="BodyText"/>
        <w:widowControl w:val="false"/>
        <w:numPr>
          <w:ilvl w:val="0"/>
          <w:numId w:val="5"/>
        </w:numPr>
        <w:spacing w:lineRule="auto" w:line="240" w:before="0" w:after="0"/>
        <w:rPr>
          <w:color w:val="000000"/>
          <w:sz w:val="24"/>
        </w:rPr>
      </w:pPr>
      <w:r>
        <w:rPr>
          <w:sz w:val="24"/>
        </w:rPr>
        <w:t>Allows  diversification o</w:t>
      </w:r>
      <w:r>
        <w:rPr>
          <w:color w:val="000000"/>
          <w:sz w:val="24"/>
        </w:rPr>
        <w:t>f a concentrated portfolio holding on a tax-deferred basis; and</w:t>
      </w:r>
    </w:p>
    <w:p>
      <w:pPr>
        <w:pStyle w:val="BodyText"/>
        <w:widowControl w:val="false"/>
        <w:numPr>
          <w:ilvl w:val="0"/>
          <w:numId w:val="5"/>
        </w:numPr>
        <w:spacing w:lineRule="auto" w:line="240"/>
        <w:rPr>
          <w:sz w:val="24"/>
        </w:rPr>
      </w:pPr>
      <w:r>
        <w:rPr>
          <w:color w:val="000000"/>
          <w:sz w:val="24"/>
        </w:rPr>
        <w:t>Provides annual payments to executives/directors based on the options’ pre-tax value.</w:t>
      </w:r>
    </w:p>
    <w:p>
      <w:pPr>
        <w:pStyle w:val="BodyText"/>
        <w:widowControl w:val="false"/>
        <w:spacing w:lineRule="auto" w:line="240"/>
        <w:rPr>
          <w:b/>
          <w:bCs/>
          <w:i/>
          <w:i/>
          <w:iCs/>
          <w:sz w:val="24"/>
        </w:rPr>
      </w:pPr>
      <w:r>
        <w:rPr>
          <w:b/>
          <w:bCs/>
          <w:i/>
          <w:iCs/>
          <w:sz w:val="24"/>
        </w:rPr>
        <w:t>Structure</w:t>
      </w:r>
    </w:p>
    <w:p>
      <w:pPr>
        <w:pStyle w:val="BodyText"/>
        <w:widowControl w:val="false"/>
        <w:spacing w:lineRule="auto" w:line="240"/>
        <w:rPr>
          <w:sz w:val="24"/>
        </w:rPr>
      </w:pPr>
      <w:r>
        <w:rPr>
          <w:sz w:val="24"/>
        </w:rPr>
        <w:t>To implement ODV, the nonqualified stock option plan may need to be amended to allow limited transfers of options.  The executive/director sells his options to a family partnership with the purchase price due in 10 years.  Annual interest payments would be made in the interim.  It is anticipated the family partnership will exercise the options, sell the stock, and use the proceeds of the sale to diversify its investments on a tax-deferred basis.</w:t>
      </w:r>
    </w:p>
    <w:p>
      <w:pPr>
        <w:pStyle w:val="BodyText"/>
        <w:widowControl w:val="false"/>
        <w:spacing w:lineRule="auto" w:line="240"/>
        <w:rPr>
          <w:b/>
          <w:bCs/>
          <w:i/>
          <w:i/>
          <w:iCs/>
          <w:sz w:val="24"/>
        </w:rPr>
      </w:pPr>
      <w:r>
        <w:rPr>
          <w:b/>
          <w:bCs/>
          <w:i/>
          <w:iCs/>
          <w:sz w:val="24"/>
        </w:rPr>
        <w:t>Tax Implications</w:t>
      </w:r>
    </w:p>
    <w:p>
      <w:pPr>
        <w:pStyle w:val="BodyText"/>
        <w:widowControl w:val="false"/>
        <w:spacing w:lineRule="auto" w:line="240"/>
        <w:rPr>
          <w:b/>
          <w:bCs/>
          <w:sz w:val="24"/>
        </w:rPr>
      </w:pPr>
      <w:r>
        <w:rPr>
          <w:sz w:val="24"/>
        </w:rPr>
        <w:t>This strategy defers recognition of ordinary income until the sale price is received by the executive/director (i.e., 10 years).  In addition, it avoids the recognition of additional ordinary income as a consequence of the family partnership’s exercise of the options.  Finally, investment of the proceeds from the sale of company stock, based on the partnership’s investment approach, may generate long-term capital gain income.</w:t>
      </w:r>
    </w:p>
    <w:p>
      <w:pPr>
        <w:pStyle w:val="BodyText"/>
        <w:widowControl w:val="false"/>
        <w:spacing w:lineRule="auto" w:line="240"/>
        <w:rPr>
          <w:b/>
          <w:bCs/>
          <w:i/>
          <w:i/>
          <w:iCs/>
          <w:sz w:val="24"/>
        </w:rPr>
      </w:pPr>
      <w:r>
        <w:rPr>
          <w:b/>
          <w:bCs/>
          <w:i/>
          <w:iCs/>
          <w:sz w:val="24"/>
        </w:rPr>
        <w:t>Advantage of ODV</w:t>
      </w:r>
    </w:p>
    <w:p>
      <w:pPr>
        <w:pStyle w:val="BodyText"/>
        <w:widowControl w:val="false"/>
        <w:spacing w:lineRule="auto" w:line="240"/>
        <w:rPr>
          <w:sz w:val="24"/>
        </w:rPr>
      </w:pPr>
      <w:r>
        <w:rPr>
          <w:sz w:val="24"/>
        </w:rPr>
        <w:t>ODV delays the taxable event for 10 years and allows the executive/director to diversify their investments on a tax-deferred basis.  The strategy is ideal for executives and directors with expiring options or those that want to diversify while the stock price is high.</w:t>
      </w:r>
    </w:p>
    <w:p>
      <w:pPr>
        <w:pStyle w:val="KPMGNormal"/>
        <w:spacing w:lineRule="atLeast" w:line="260"/>
        <w:rPr/>
      </w:pPr>
      <w:r>
        <w:rPr/>
        <w:t>The above discussion is general in nature and does not constitute an opinion.  Thus, no action should be taken based on the contents of this memorandum without specific consultation with a competent advisor.</w:t>
      </w:r>
    </w:p>
    <w:p>
      <w:pPr>
        <w:pStyle w:val="BodyText"/>
        <w:widowControl w:val="false"/>
        <w:spacing w:lineRule="auto" w:line="240"/>
        <w:rPr>
          <w:sz w:val="24"/>
        </w:rPr>
      </w:pPr>
      <w:r>
        <w:rPr>
          <w:sz w:val="24"/>
        </w:rPr>
      </w:r>
      <w:r>
        <w:br w:type="page"/>
      </w:r>
    </w:p>
    <w:p>
      <w:pPr>
        <w:pStyle w:val="BodyText"/>
        <w:widowControl w:val="false"/>
        <w:spacing w:lineRule="auto" w:line="240"/>
        <w:jc w:val="center"/>
        <w:rPr>
          <w:b/>
          <w:bCs/>
          <w:sz w:val="28"/>
        </w:rPr>
      </w:pPr>
      <w:r>
        <w:rPr>
          <w:b/>
          <w:bCs/>
          <w:sz w:val="28"/>
        </w:rPr>
        <w:t>KPMG’s “Restricted Stock Diversification Vehicle</w:t>
      </w:r>
    </w:p>
    <w:p>
      <w:pPr>
        <w:pStyle w:val="BodyText"/>
        <w:widowControl w:val="false"/>
        <w:spacing w:lineRule="auto" w:line="240" w:before="0" w:after="0"/>
        <w:rPr>
          <w:b/>
          <w:bCs/>
          <w:i/>
          <w:i/>
          <w:iCs/>
          <w:sz w:val="24"/>
        </w:rPr>
      </w:pPr>
      <w:r>
        <w:rPr>
          <w:b/>
          <w:bCs/>
          <w:i/>
          <w:iCs/>
          <w:sz w:val="24"/>
        </w:rPr>
      </w:r>
    </w:p>
    <w:p>
      <w:pPr>
        <w:pStyle w:val="BodyText"/>
        <w:widowControl w:val="false"/>
        <w:spacing w:lineRule="auto" w:line="240" w:before="0" w:after="130"/>
        <w:rPr>
          <w:b/>
          <w:bCs/>
          <w:i/>
          <w:i/>
          <w:iCs/>
          <w:sz w:val="24"/>
        </w:rPr>
      </w:pPr>
      <w:r>
        <w:rPr>
          <w:b/>
          <w:bCs/>
          <w:i/>
          <w:iCs/>
          <w:sz w:val="24"/>
        </w:rPr>
        <w:t xml:space="preserve">Overview of the Restricted Stock Diversification Vehicle </w:t>
      </w:r>
    </w:p>
    <w:p>
      <w:pPr>
        <w:pStyle w:val="BodyText"/>
        <w:widowControl w:val="false"/>
        <w:spacing w:lineRule="auto" w:line="240"/>
        <w:rPr>
          <w:sz w:val="24"/>
        </w:rPr>
      </w:pPr>
      <w:r>
        <w:rPr>
          <w:sz w:val="24"/>
        </w:rPr>
        <w:t>The Restricted Stock Diversification Vehicle (“RDV”) has the following benefits:</w:t>
      </w:r>
    </w:p>
    <w:p>
      <w:pPr>
        <w:pStyle w:val="BodyText"/>
        <w:widowControl w:val="false"/>
        <w:numPr>
          <w:ilvl w:val="0"/>
          <w:numId w:val="5"/>
        </w:numPr>
        <w:spacing w:lineRule="auto" w:line="240"/>
        <w:rPr>
          <w:sz w:val="24"/>
        </w:rPr>
      </w:pPr>
      <w:r>
        <w:rPr>
          <w:sz w:val="24"/>
        </w:rPr>
        <w:t>Allows executives and/or directors to defer current income recognition at the time of vesting of the restricted stock;</w:t>
      </w:r>
    </w:p>
    <w:p>
      <w:pPr>
        <w:pStyle w:val="BodyText"/>
        <w:widowControl w:val="false"/>
        <w:numPr>
          <w:ilvl w:val="0"/>
          <w:numId w:val="5"/>
        </w:numPr>
        <w:spacing w:lineRule="auto" w:line="240" w:before="0" w:after="0"/>
        <w:rPr>
          <w:color w:val="000000"/>
          <w:sz w:val="24"/>
        </w:rPr>
      </w:pPr>
      <w:r>
        <w:rPr>
          <w:sz w:val="24"/>
        </w:rPr>
        <w:t>Allows  diversification o</w:t>
      </w:r>
      <w:r>
        <w:rPr>
          <w:color w:val="000000"/>
          <w:sz w:val="24"/>
        </w:rPr>
        <w:t>f a concentrated portfolio holding on a tax-deferred basis; and</w:t>
      </w:r>
    </w:p>
    <w:p>
      <w:pPr>
        <w:pStyle w:val="BodyText"/>
        <w:widowControl w:val="false"/>
        <w:numPr>
          <w:ilvl w:val="0"/>
          <w:numId w:val="5"/>
        </w:numPr>
        <w:spacing w:lineRule="auto" w:line="240"/>
        <w:rPr>
          <w:sz w:val="24"/>
        </w:rPr>
      </w:pPr>
      <w:r>
        <w:rPr>
          <w:color w:val="000000"/>
          <w:sz w:val="24"/>
        </w:rPr>
        <w:t>Provides annual payments to executives/directors based on the stock’s pre-tax value.</w:t>
      </w:r>
    </w:p>
    <w:p>
      <w:pPr>
        <w:pStyle w:val="BodyText"/>
        <w:widowControl w:val="false"/>
        <w:spacing w:lineRule="auto" w:line="240"/>
        <w:rPr>
          <w:b/>
          <w:bCs/>
          <w:i/>
          <w:i/>
          <w:iCs/>
          <w:sz w:val="24"/>
        </w:rPr>
      </w:pPr>
      <w:r>
        <w:rPr>
          <w:b/>
          <w:bCs/>
          <w:i/>
          <w:iCs/>
          <w:sz w:val="24"/>
        </w:rPr>
        <w:t>Structure</w:t>
      </w:r>
    </w:p>
    <w:p>
      <w:pPr>
        <w:pStyle w:val="BodyText"/>
        <w:widowControl w:val="false"/>
        <w:spacing w:lineRule="auto" w:line="240"/>
        <w:rPr>
          <w:sz w:val="24"/>
        </w:rPr>
      </w:pPr>
      <w:r>
        <w:rPr>
          <w:sz w:val="24"/>
        </w:rPr>
        <w:t>To implement RDV, the restricted stock plan may need to be amended to allow limited transfers of the restricted stock.  The executive/director sells his restricted stock to a family partnership with the purchase price due in 10 years.  Annual interest payments would be made in the interim.  The family partnership can sell the stock subsequent to vesting and use the proceeds of the sale to diversify its investments on a tax-deferred basis.</w:t>
      </w:r>
    </w:p>
    <w:p>
      <w:pPr>
        <w:pStyle w:val="BodyText"/>
        <w:widowControl w:val="false"/>
        <w:spacing w:lineRule="auto" w:line="240"/>
        <w:rPr>
          <w:b/>
          <w:bCs/>
          <w:i/>
          <w:i/>
          <w:iCs/>
          <w:sz w:val="24"/>
        </w:rPr>
      </w:pPr>
      <w:r>
        <w:rPr>
          <w:b/>
          <w:bCs/>
          <w:i/>
          <w:iCs/>
          <w:sz w:val="24"/>
        </w:rPr>
        <w:t>Tax Implications</w:t>
      </w:r>
    </w:p>
    <w:p>
      <w:pPr>
        <w:pStyle w:val="BodyText"/>
        <w:widowControl w:val="false"/>
        <w:spacing w:lineRule="auto" w:line="240"/>
        <w:rPr>
          <w:b/>
          <w:bCs/>
          <w:sz w:val="24"/>
        </w:rPr>
      </w:pPr>
      <w:r>
        <w:rPr>
          <w:sz w:val="24"/>
        </w:rPr>
        <w:t>This strategy defers recognition of ordinary income until the sale price is received by the executive/director (i.e., 10 years).  Finally, investment of the proceeds from the sale of company stock, based on the partnership’s investment approach, may generate long-term capital gain income.</w:t>
      </w:r>
    </w:p>
    <w:p>
      <w:pPr>
        <w:pStyle w:val="BodyText"/>
        <w:widowControl w:val="false"/>
        <w:spacing w:lineRule="auto" w:line="240"/>
        <w:rPr>
          <w:b/>
          <w:bCs/>
          <w:i/>
          <w:i/>
          <w:iCs/>
          <w:sz w:val="24"/>
        </w:rPr>
      </w:pPr>
      <w:r>
        <w:rPr>
          <w:b/>
          <w:bCs/>
          <w:i/>
          <w:iCs/>
          <w:sz w:val="24"/>
        </w:rPr>
        <w:t>Advantage of RDV</w:t>
      </w:r>
    </w:p>
    <w:p>
      <w:pPr>
        <w:pStyle w:val="BodyText"/>
        <w:widowControl w:val="false"/>
        <w:spacing w:lineRule="auto" w:line="240"/>
        <w:rPr>
          <w:sz w:val="24"/>
        </w:rPr>
      </w:pPr>
      <w:r>
        <w:rPr>
          <w:sz w:val="24"/>
        </w:rPr>
        <w:t xml:space="preserve">RDV delays the taxable event for 10 years and allows the executive/director to diversify their investments on a tax-deferred basis.  </w:t>
      </w:r>
    </w:p>
    <w:p>
      <w:pPr>
        <w:pStyle w:val="KPMGNormal"/>
        <w:spacing w:lineRule="atLeast" w:line="260"/>
        <w:rPr/>
      </w:pPr>
      <w:r>
        <w:rPr/>
        <w:t>The above discussion is general in nature and does not constitute an opinion.  Thus, no action should be taken based on the contents of this memorandum without specific consultation with a competent advisor.</w:t>
      </w:r>
      <w:r>
        <w:br w:type="page"/>
      </w:r>
    </w:p>
    <w:p>
      <w:pPr>
        <w:pStyle w:val="BodyText"/>
        <w:widowControl w:val="false"/>
        <w:spacing w:lineRule="auto" w:line="240"/>
        <w:jc w:val="center"/>
        <w:rPr>
          <w:b/>
          <w:bCs/>
          <w:sz w:val="28"/>
        </w:rPr>
      </w:pPr>
      <w:r>
        <w:rPr>
          <w:b/>
          <w:bCs/>
          <w:sz w:val="28"/>
        </w:rPr>
        <w:t>KPMG’s “Monetization Suite”</w:t>
      </w:r>
    </w:p>
    <w:p>
      <w:pPr>
        <w:pStyle w:val="BodyText"/>
        <w:widowControl w:val="false"/>
        <w:spacing w:lineRule="auto" w:line="240" w:before="0" w:after="0"/>
        <w:rPr>
          <w:b/>
          <w:bCs/>
          <w:i/>
          <w:i/>
          <w:iCs/>
          <w:sz w:val="24"/>
        </w:rPr>
      </w:pPr>
      <w:r>
        <w:rPr>
          <w:b/>
          <w:bCs/>
          <w:i/>
          <w:iCs/>
          <w:sz w:val="24"/>
        </w:rPr>
      </w:r>
    </w:p>
    <w:p>
      <w:pPr>
        <w:pStyle w:val="BodyText"/>
        <w:widowControl w:val="false"/>
        <w:spacing w:lineRule="auto" w:line="240" w:before="0" w:after="130"/>
        <w:rPr>
          <w:b/>
          <w:bCs/>
          <w:i/>
          <w:i/>
          <w:iCs/>
          <w:sz w:val="24"/>
        </w:rPr>
      </w:pPr>
      <w:r>
        <w:rPr>
          <w:b/>
          <w:bCs/>
          <w:i/>
          <w:iCs/>
          <w:sz w:val="24"/>
        </w:rPr>
        <w:t>Overview of the Monetization Suite</w:t>
      </w:r>
    </w:p>
    <w:p>
      <w:pPr>
        <w:pStyle w:val="BodyText"/>
        <w:widowControl w:val="false"/>
        <w:spacing w:lineRule="auto" w:line="240"/>
        <w:rPr>
          <w:sz w:val="24"/>
        </w:rPr>
      </w:pPr>
      <w:r>
        <w:rPr>
          <w:sz w:val="24"/>
        </w:rPr>
        <w:t>KPMG’s Innovative Strategies group has developed a portfolio of strategies to assist investor’s holding concentrated equity positions.  Many of these strategies are “traditional” monetization strategies that KPMG has modified to provide superior benefits.  The Monetization Suite strategies are designed to create one or more of the following benefits:</w:t>
      </w:r>
    </w:p>
    <w:p>
      <w:pPr>
        <w:pStyle w:val="BodyText"/>
        <w:widowControl w:val="false"/>
        <w:numPr>
          <w:ilvl w:val="0"/>
          <w:numId w:val="6"/>
        </w:numPr>
        <w:spacing w:lineRule="auto" w:line="240" w:before="0" w:after="0"/>
        <w:rPr>
          <w:sz w:val="24"/>
        </w:rPr>
      </w:pPr>
      <w:r>
        <w:rPr>
          <w:sz w:val="24"/>
        </w:rPr>
        <w:t>Minimize current income tax consequences on diversification</w:t>
      </w:r>
    </w:p>
    <w:p>
      <w:pPr>
        <w:pStyle w:val="BodyText"/>
        <w:widowControl w:val="false"/>
        <w:numPr>
          <w:ilvl w:val="0"/>
          <w:numId w:val="6"/>
        </w:numPr>
        <w:spacing w:lineRule="auto" w:line="240" w:before="130" w:after="0"/>
        <w:rPr>
          <w:color w:val="000000"/>
          <w:sz w:val="24"/>
        </w:rPr>
      </w:pPr>
      <w:r>
        <w:rPr>
          <w:sz w:val="24"/>
        </w:rPr>
        <w:t>Satisfy the investor’s liquidity requirements</w:t>
      </w:r>
    </w:p>
    <w:p>
      <w:pPr>
        <w:pStyle w:val="BodyText"/>
        <w:widowControl w:val="false"/>
        <w:numPr>
          <w:ilvl w:val="0"/>
          <w:numId w:val="6"/>
        </w:numPr>
        <w:spacing w:lineRule="auto" w:line="240" w:before="130" w:after="0"/>
        <w:rPr>
          <w:color w:val="000000"/>
          <w:sz w:val="24"/>
        </w:rPr>
      </w:pPr>
      <w:r>
        <w:rPr>
          <w:sz w:val="24"/>
        </w:rPr>
        <w:t>Protect the investor’s net worth by reducing investment risk</w:t>
      </w:r>
    </w:p>
    <w:p>
      <w:pPr>
        <w:pStyle w:val="BodyText"/>
        <w:widowControl w:val="false"/>
        <w:numPr>
          <w:ilvl w:val="0"/>
          <w:numId w:val="6"/>
        </w:numPr>
        <w:spacing w:lineRule="auto" w:line="240"/>
        <w:rPr>
          <w:sz w:val="24"/>
        </w:rPr>
      </w:pPr>
      <w:r>
        <w:rPr>
          <w:sz w:val="24"/>
        </w:rPr>
        <w:t>Tax-efficient transfer of assets to investor’s descendents</w:t>
      </w:r>
    </w:p>
    <w:p>
      <w:pPr>
        <w:pStyle w:val="BodyText"/>
        <w:widowControl w:val="false"/>
        <w:spacing w:lineRule="auto" w:line="240"/>
        <w:rPr>
          <w:b/>
          <w:bCs/>
          <w:i/>
          <w:i/>
          <w:iCs/>
          <w:sz w:val="24"/>
        </w:rPr>
      </w:pPr>
      <w:r>
        <w:rPr>
          <w:b/>
          <w:bCs/>
          <w:i/>
          <w:iCs/>
          <w:sz w:val="24"/>
        </w:rPr>
        <w:t>Monetization Suite “Portfolio”</w:t>
      </w:r>
    </w:p>
    <w:p>
      <w:pPr>
        <w:pStyle w:val="BodyText"/>
        <w:widowControl w:val="false"/>
        <w:numPr>
          <w:ilvl w:val="0"/>
          <w:numId w:val="9"/>
        </w:numPr>
        <w:spacing w:lineRule="auto" w:line="240"/>
        <w:rPr>
          <w:sz w:val="24"/>
        </w:rPr>
      </w:pPr>
      <w:r>
        <w:rPr>
          <w:sz w:val="24"/>
        </w:rPr>
        <w:t>Concentrated Equity Diversification Strategy (“CEDS”)</w:t>
      </w:r>
    </w:p>
    <w:p>
      <w:pPr>
        <w:pStyle w:val="BodyText"/>
        <w:widowControl w:val="false"/>
        <w:numPr>
          <w:ilvl w:val="1"/>
          <w:numId w:val="9"/>
        </w:numPr>
        <w:spacing w:lineRule="auto" w:line="240" w:before="0" w:after="0"/>
        <w:rPr>
          <w:sz w:val="24"/>
        </w:rPr>
      </w:pPr>
      <w:r>
        <w:rPr>
          <w:sz w:val="24"/>
        </w:rPr>
        <w:t>Complete diversification of concentrated equity position</w:t>
      </w:r>
    </w:p>
    <w:p>
      <w:pPr>
        <w:pStyle w:val="BodyText"/>
        <w:widowControl w:val="false"/>
        <w:numPr>
          <w:ilvl w:val="1"/>
          <w:numId w:val="9"/>
        </w:numPr>
        <w:spacing w:lineRule="auto" w:line="240" w:before="0" w:after="0"/>
        <w:rPr>
          <w:sz w:val="24"/>
        </w:rPr>
      </w:pPr>
      <w:r>
        <w:rPr>
          <w:sz w:val="24"/>
        </w:rPr>
        <w:t>Deferral of tax consequences</w:t>
      </w:r>
    </w:p>
    <w:p>
      <w:pPr>
        <w:pStyle w:val="BodyText"/>
        <w:widowControl w:val="false"/>
        <w:numPr>
          <w:ilvl w:val="1"/>
          <w:numId w:val="9"/>
        </w:numPr>
        <w:spacing w:lineRule="auto" w:line="240" w:before="0" w:after="0"/>
        <w:rPr>
          <w:sz w:val="24"/>
        </w:rPr>
      </w:pPr>
      <w:r>
        <w:rPr>
          <w:sz w:val="24"/>
        </w:rPr>
        <w:t>Comparable “traditional” strategy:</w:t>
        <w:tab/>
        <w:t>Short Sale Against the Box</w:t>
      </w:r>
    </w:p>
    <w:p>
      <w:pPr>
        <w:pStyle w:val="BodyText"/>
        <w:widowControl w:val="false"/>
        <w:numPr>
          <w:ilvl w:val="0"/>
          <w:numId w:val="9"/>
        </w:numPr>
        <w:spacing w:lineRule="auto" w:line="240"/>
        <w:rPr>
          <w:sz w:val="24"/>
        </w:rPr>
      </w:pPr>
      <w:r>
        <w:rPr>
          <w:sz w:val="24"/>
        </w:rPr>
        <w:t>Concentrated Equity Loan Strategy (“CELS”)</w:t>
      </w:r>
    </w:p>
    <w:p>
      <w:pPr>
        <w:pStyle w:val="BodyText"/>
        <w:widowControl w:val="false"/>
        <w:numPr>
          <w:ilvl w:val="1"/>
          <w:numId w:val="9"/>
        </w:numPr>
        <w:spacing w:lineRule="auto" w:line="240" w:before="0" w:after="0"/>
        <w:rPr>
          <w:sz w:val="24"/>
        </w:rPr>
      </w:pPr>
      <w:r>
        <w:rPr>
          <w:sz w:val="24"/>
        </w:rPr>
        <w:t>Diversification of concentrated equity position</w:t>
      </w:r>
    </w:p>
    <w:p>
      <w:pPr>
        <w:pStyle w:val="BodyText"/>
        <w:widowControl w:val="false"/>
        <w:numPr>
          <w:ilvl w:val="1"/>
          <w:numId w:val="9"/>
        </w:numPr>
        <w:spacing w:lineRule="auto" w:line="240" w:before="0" w:after="0"/>
        <w:rPr>
          <w:sz w:val="24"/>
        </w:rPr>
      </w:pPr>
      <w:r>
        <w:rPr>
          <w:sz w:val="24"/>
        </w:rPr>
        <w:t>Favorable interest deductibility</w:t>
      </w:r>
    </w:p>
    <w:p>
      <w:pPr>
        <w:pStyle w:val="BodyText"/>
        <w:widowControl w:val="false"/>
        <w:numPr>
          <w:ilvl w:val="1"/>
          <w:numId w:val="9"/>
        </w:numPr>
        <w:spacing w:lineRule="auto" w:line="240" w:before="0" w:after="0"/>
        <w:rPr>
          <w:sz w:val="24"/>
        </w:rPr>
      </w:pPr>
      <w:r>
        <w:rPr>
          <w:sz w:val="24"/>
        </w:rPr>
        <w:t>“</w:t>
      </w:r>
      <w:r>
        <w:rPr>
          <w:sz w:val="24"/>
        </w:rPr>
        <w:t>Aging” of equity from short-term to long-term capital asset</w:t>
      </w:r>
    </w:p>
    <w:p>
      <w:pPr>
        <w:pStyle w:val="BodyText"/>
        <w:widowControl w:val="false"/>
        <w:numPr>
          <w:ilvl w:val="1"/>
          <w:numId w:val="9"/>
        </w:numPr>
        <w:spacing w:lineRule="auto" w:line="240" w:before="0" w:after="0"/>
        <w:rPr>
          <w:sz w:val="24"/>
        </w:rPr>
      </w:pPr>
      <w:r>
        <w:rPr>
          <w:sz w:val="24"/>
        </w:rPr>
        <w:t>Comparable “traditional” strategy:</w:t>
        <w:tab/>
        <w:t>Participating Variable Prepaid Forward Contract</w:t>
      </w:r>
    </w:p>
    <w:p>
      <w:pPr>
        <w:pStyle w:val="BodyText"/>
        <w:widowControl w:val="false"/>
        <w:numPr>
          <w:ilvl w:val="0"/>
          <w:numId w:val="9"/>
        </w:numPr>
        <w:spacing w:lineRule="auto" w:line="240"/>
        <w:rPr>
          <w:sz w:val="24"/>
        </w:rPr>
      </w:pPr>
      <w:r>
        <w:rPr>
          <w:sz w:val="24"/>
        </w:rPr>
        <w:t>Stock Like-Kind Exchange (“SLEEK”)</w:t>
      </w:r>
    </w:p>
    <w:p>
      <w:pPr>
        <w:pStyle w:val="BodyText"/>
        <w:widowControl w:val="false"/>
        <w:numPr>
          <w:ilvl w:val="1"/>
          <w:numId w:val="9"/>
        </w:numPr>
        <w:spacing w:lineRule="auto" w:line="240" w:before="0" w:after="0"/>
        <w:rPr>
          <w:sz w:val="24"/>
        </w:rPr>
      </w:pPr>
      <w:r>
        <w:rPr>
          <w:sz w:val="24"/>
        </w:rPr>
        <w:t>Short-term diversification of concentrated equity position</w:t>
      </w:r>
    </w:p>
    <w:p>
      <w:pPr>
        <w:pStyle w:val="BodyText"/>
        <w:widowControl w:val="false"/>
        <w:numPr>
          <w:ilvl w:val="1"/>
          <w:numId w:val="9"/>
        </w:numPr>
        <w:spacing w:lineRule="auto" w:line="240" w:before="0" w:after="0"/>
        <w:rPr>
          <w:sz w:val="24"/>
        </w:rPr>
      </w:pPr>
      <w:r>
        <w:rPr>
          <w:sz w:val="24"/>
        </w:rPr>
        <w:t>Deferral of tax consequences until termination of the SLEEK</w:t>
      </w:r>
    </w:p>
    <w:p>
      <w:pPr>
        <w:pStyle w:val="BodyText"/>
        <w:widowControl w:val="false"/>
        <w:numPr>
          <w:ilvl w:val="1"/>
          <w:numId w:val="9"/>
        </w:numPr>
        <w:spacing w:lineRule="auto" w:line="240" w:before="0" w:after="0"/>
        <w:rPr>
          <w:sz w:val="24"/>
        </w:rPr>
      </w:pPr>
      <w:r>
        <w:rPr>
          <w:sz w:val="24"/>
        </w:rPr>
        <w:t>Unfettered choice of diversified portfolio composition</w:t>
      </w:r>
    </w:p>
    <w:p>
      <w:pPr>
        <w:pStyle w:val="BodyText"/>
        <w:widowControl w:val="false"/>
        <w:numPr>
          <w:ilvl w:val="1"/>
          <w:numId w:val="9"/>
        </w:numPr>
        <w:spacing w:lineRule="auto" w:line="240" w:before="0" w:after="0"/>
        <w:rPr>
          <w:sz w:val="24"/>
        </w:rPr>
      </w:pPr>
      <w:r>
        <w:rPr>
          <w:sz w:val="24"/>
        </w:rPr>
        <w:t>Comparable “traditional” strategy:</w:t>
        <w:tab/>
        <w:t>Private Exchange Fund</w:t>
      </w:r>
    </w:p>
    <w:p>
      <w:pPr>
        <w:pStyle w:val="BodyText"/>
        <w:widowControl w:val="false"/>
        <w:numPr>
          <w:ilvl w:val="0"/>
          <w:numId w:val="9"/>
        </w:numPr>
        <w:spacing w:lineRule="auto" w:line="240"/>
        <w:rPr>
          <w:sz w:val="24"/>
        </w:rPr>
      </w:pPr>
      <w:r>
        <w:rPr>
          <w:sz w:val="24"/>
        </w:rPr>
        <w:t>Investment Diversification Vehicle (“IDV”)</w:t>
      </w:r>
    </w:p>
    <w:p>
      <w:pPr>
        <w:pStyle w:val="BodyText"/>
        <w:widowControl w:val="false"/>
        <w:numPr>
          <w:ilvl w:val="1"/>
          <w:numId w:val="9"/>
        </w:numPr>
        <w:spacing w:lineRule="auto" w:line="240" w:before="0" w:after="0"/>
        <w:rPr>
          <w:sz w:val="24"/>
        </w:rPr>
      </w:pPr>
      <w:r>
        <w:rPr>
          <w:sz w:val="24"/>
        </w:rPr>
        <w:t xml:space="preserve">Current income tax charitable deduction </w:t>
      </w:r>
    </w:p>
    <w:p>
      <w:pPr>
        <w:pStyle w:val="BodyText"/>
        <w:widowControl w:val="false"/>
        <w:numPr>
          <w:ilvl w:val="1"/>
          <w:numId w:val="9"/>
        </w:numPr>
        <w:spacing w:lineRule="auto" w:line="240" w:before="0" w:after="0"/>
        <w:rPr>
          <w:sz w:val="24"/>
        </w:rPr>
      </w:pPr>
      <w:r>
        <w:rPr>
          <w:sz w:val="24"/>
        </w:rPr>
        <w:t>Tax deferral on initial asset sale and on the investment returns of reinvested proceeds</w:t>
      </w:r>
    </w:p>
    <w:p>
      <w:pPr>
        <w:pStyle w:val="BodyText"/>
        <w:widowControl w:val="false"/>
        <w:numPr>
          <w:ilvl w:val="1"/>
          <w:numId w:val="9"/>
        </w:numPr>
        <w:spacing w:lineRule="auto" w:line="240" w:before="0" w:after="0"/>
        <w:rPr>
          <w:sz w:val="24"/>
        </w:rPr>
      </w:pPr>
      <w:r>
        <w:rPr>
          <w:sz w:val="24"/>
        </w:rPr>
        <w:t>Can fulfill investor’s charitable objectives</w:t>
      </w:r>
    </w:p>
    <w:p>
      <w:pPr>
        <w:pStyle w:val="BodyText"/>
        <w:widowControl w:val="false"/>
        <w:numPr>
          <w:ilvl w:val="0"/>
          <w:numId w:val="9"/>
        </w:numPr>
        <w:spacing w:lineRule="auto" w:line="240"/>
        <w:rPr>
          <w:sz w:val="24"/>
        </w:rPr>
      </w:pPr>
      <w:r>
        <w:rPr>
          <w:sz w:val="24"/>
        </w:rPr>
        <w:t>Charitable Limited Partnership (“CLP”)</w:t>
      </w:r>
    </w:p>
    <w:p>
      <w:pPr>
        <w:pStyle w:val="BodyText"/>
        <w:widowControl w:val="false"/>
        <w:numPr>
          <w:ilvl w:val="1"/>
          <w:numId w:val="9"/>
        </w:numPr>
        <w:spacing w:lineRule="auto" w:line="240" w:before="0" w:after="0"/>
        <w:rPr>
          <w:sz w:val="24"/>
        </w:rPr>
      </w:pPr>
      <w:r>
        <w:rPr>
          <w:sz w:val="24"/>
        </w:rPr>
        <w:t>Deferral of income tax on initial asset sale and a current charitable deduction</w:t>
      </w:r>
    </w:p>
    <w:p>
      <w:pPr>
        <w:pStyle w:val="BodyText"/>
        <w:widowControl w:val="false"/>
        <w:numPr>
          <w:ilvl w:val="1"/>
          <w:numId w:val="9"/>
        </w:numPr>
        <w:spacing w:lineRule="auto" w:line="240" w:before="0" w:after="0"/>
        <w:rPr>
          <w:sz w:val="24"/>
        </w:rPr>
      </w:pPr>
      <w:r>
        <w:rPr>
          <w:sz w:val="24"/>
        </w:rPr>
        <w:t>Tax-efficient transfer of wealth to heirs</w:t>
      </w:r>
      <w:r>
        <w:br w:type="page"/>
      </w:r>
    </w:p>
    <w:p>
      <w:pPr>
        <w:pStyle w:val="BodyText"/>
        <w:widowControl w:val="false"/>
        <w:spacing w:lineRule="auto" w:line="240"/>
        <w:jc w:val="center"/>
        <w:rPr>
          <w:b/>
          <w:bCs/>
          <w:sz w:val="28"/>
        </w:rPr>
      </w:pPr>
      <w:r>
        <w:rPr>
          <w:b/>
          <w:bCs/>
          <w:sz w:val="28"/>
        </w:rPr>
        <w:t>KPMG’s Estate Planning Strategies</w:t>
      </w:r>
    </w:p>
    <w:p>
      <w:pPr>
        <w:pStyle w:val="BodyText"/>
        <w:widowControl w:val="false"/>
        <w:spacing w:lineRule="auto" w:line="240" w:before="0" w:after="0"/>
        <w:rPr>
          <w:b/>
          <w:bCs/>
          <w:i/>
          <w:i/>
          <w:iCs/>
          <w:sz w:val="24"/>
        </w:rPr>
      </w:pPr>
      <w:r>
        <w:rPr>
          <w:b/>
          <w:bCs/>
          <w:i/>
          <w:iCs/>
          <w:sz w:val="24"/>
        </w:rPr>
      </w:r>
    </w:p>
    <w:p>
      <w:pPr>
        <w:pStyle w:val="BodyText"/>
        <w:widowControl w:val="false"/>
        <w:spacing w:lineRule="auto" w:line="240" w:before="0" w:after="130"/>
        <w:rPr>
          <w:b/>
          <w:bCs/>
          <w:i/>
          <w:i/>
          <w:iCs/>
          <w:sz w:val="24"/>
        </w:rPr>
      </w:pPr>
      <w:r>
        <w:rPr>
          <w:b/>
          <w:bCs/>
          <w:i/>
          <w:iCs/>
          <w:sz w:val="24"/>
        </w:rPr>
        <w:t>Overview of the Estate Planning Strategies</w:t>
      </w:r>
    </w:p>
    <w:p>
      <w:pPr>
        <w:pStyle w:val="BodyText"/>
        <w:widowControl w:val="false"/>
        <w:spacing w:lineRule="auto" w:line="240"/>
        <w:rPr>
          <w:sz w:val="24"/>
        </w:rPr>
      </w:pPr>
      <w:r>
        <w:rPr>
          <w:sz w:val="24"/>
        </w:rPr>
        <w:t>KPMG’s Innovative Strategies group has developed a portfolio of strategies that facilitate the tax-efficient transfer of assets between individuals.  The Estate Planning strategies are designed to create one or more of the following benefits:</w:t>
      </w:r>
    </w:p>
    <w:p>
      <w:pPr>
        <w:pStyle w:val="BodyText"/>
        <w:widowControl w:val="false"/>
        <w:numPr>
          <w:ilvl w:val="0"/>
          <w:numId w:val="6"/>
        </w:numPr>
        <w:spacing w:lineRule="auto" w:line="240" w:before="0" w:after="0"/>
        <w:rPr>
          <w:sz w:val="24"/>
        </w:rPr>
      </w:pPr>
      <w:r>
        <w:rPr>
          <w:sz w:val="24"/>
        </w:rPr>
        <w:t>Tax-efficient transfer of assets to heirs</w:t>
      </w:r>
    </w:p>
    <w:p>
      <w:pPr>
        <w:pStyle w:val="BodyText"/>
        <w:widowControl w:val="false"/>
        <w:numPr>
          <w:ilvl w:val="0"/>
          <w:numId w:val="6"/>
        </w:numPr>
        <w:spacing w:lineRule="auto" w:line="240" w:before="130" w:after="0"/>
        <w:rPr>
          <w:color w:val="000000"/>
          <w:sz w:val="24"/>
        </w:rPr>
      </w:pPr>
      <w:r>
        <w:rPr>
          <w:color w:val="000000"/>
          <w:sz w:val="24"/>
        </w:rPr>
        <w:t>Give family members the desired amount of control over the transferred assets</w:t>
      </w:r>
    </w:p>
    <w:p>
      <w:pPr>
        <w:pStyle w:val="BodyText"/>
        <w:widowControl w:val="false"/>
        <w:numPr>
          <w:ilvl w:val="0"/>
          <w:numId w:val="6"/>
        </w:numPr>
        <w:spacing w:lineRule="auto" w:line="240"/>
        <w:rPr>
          <w:color w:val="000000"/>
          <w:sz w:val="24"/>
        </w:rPr>
      </w:pPr>
      <w:r>
        <w:rPr>
          <w:color w:val="000000"/>
          <w:sz w:val="24"/>
        </w:rPr>
        <w:t>Meet the transferor’s charitable objectives, if any</w:t>
      </w:r>
    </w:p>
    <w:p>
      <w:pPr>
        <w:pStyle w:val="BodyText"/>
        <w:widowControl w:val="false"/>
        <w:spacing w:lineRule="auto" w:line="240"/>
        <w:rPr>
          <w:b/>
          <w:bCs/>
          <w:i/>
          <w:i/>
          <w:iCs/>
          <w:sz w:val="24"/>
        </w:rPr>
      </w:pPr>
      <w:r>
        <w:rPr>
          <w:b/>
          <w:bCs/>
          <w:i/>
          <w:iCs/>
          <w:sz w:val="24"/>
        </w:rPr>
        <w:t>Estate Planning “Portfolio”</w:t>
      </w:r>
    </w:p>
    <w:p>
      <w:pPr>
        <w:pStyle w:val="BodyText"/>
        <w:widowControl w:val="false"/>
        <w:numPr>
          <w:ilvl w:val="0"/>
          <w:numId w:val="9"/>
        </w:numPr>
        <w:spacing w:lineRule="auto" w:line="240"/>
        <w:rPr>
          <w:sz w:val="24"/>
        </w:rPr>
      </w:pPr>
      <w:r>
        <w:rPr>
          <w:sz w:val="24"/>
        </w:rPr>
        <w:t>Leveraged Private Split Dollar (“LPSD”)</w:t>
      </w:r>
    </w:p>
    <w:p>
      <w:pPr>
        <w:pStyle w:val="BodyText"/>
        <w:widowControl w:val="false"/>
        <w:numPr>
          <w:ilvl w:val="1"/>
          <w:numId w:val="9"/>
        </w:numPr>
        <w:spacing w:lineRule="auto" w:line="240" w:before="0" w:after="0"/>
        <w:rPr>
          <w:sz w:val="24"/>
        </w:rPr>
      </w:pPr>
      <w:r>
        <w:rPr>
          <w:sz w:val="24"/>
        </w:rPr>
        <w:t>Utilizes insurance to shift wealth without triggering transfer tax</w:t>
      </w:r>
    </w:p>
    <w:p>
      <w:pPr>
        <w:pStyle w:val="BodyText"/>
        <w:widowControl w:val="false"/>
        <w:numPr>
          <w:ilvl w:val="1"/>
          <w:numId w:val="9"/>
        </w:numPr>
        <w:spacing w:lineRule="auto" w:line="240" w:before="0" w:after="0"/>
        <w:rPr>
          <w:sz w:val="24"/>
        </w:rPr>
      </w:pPr>
      <w:r>
        <w:rPr>
          <w:sz w:val="24"/>
        </w:rPr>
        <w:t>Multi-generational planning possible without generation-skipping transfer taxation</w:t>
      </w:r>
    </w:p>
    <w:p>
      <w:pPr>
        <w:pStyle w:val="BodyText"/>
        <w:widowControl w:val="false"/>
        <w:numPr>
          <w:ilvl w:val="1"/>
          <w:numId w:val="9"/>
        </w:numPr>
        <w:spacing w:lineRule="auto" w:line="240" w:before="0" w:after="0"/>
        <w:rPr>
          <w:sz w:val="24"/>
        </w:rPr>
      </w:pPr>
      <w:r>
        <w:rPr>
          <w:sz w:val="24"/>
        </w:rPr>
        <w:t>Income tax deferral on investment returns from cash surrender value</w:t>
      </w:r>
    </w:p>
    <w:p>
      <w:pPr>
        <w:pStyle w:val="BodyText"/>
        <w:widowControl w:val="false"/>
        <w:numPr>
          <w:ilvl w:val="0"/>
          <w:numId w:val="9"/>
        </w:numPr>
        <w:spacing w:lineRule="auto" w:line="240"/>
        <w:rPr>
          <w:sz w:val="24"/>
        </w:rPr>
      </w:pPr>
      <w:r>
        <w:rPr>
          <w:sz w:val="24"/>
        </w:rPr>
        <w:t>Two-Generation Investment Diversification Vehicle (“TGIDV”)</w:t>
      </w:r>
    </w:p>
    <w:p>
      <w:pPr>
        <w:pStyle w:val="BodyText"/>
        <w:widowControl w:val="false"/>
        <w:numPr>
          <w:ilvl w:val="1"/>
          <w:numId w:val="9"/>
        </w:numPr>
        <w:spacing w:lineRule="auto" w:line="240" w:before="0" w:after="0"/>
        <w:rPr>
          <w:sz w:val="24"/>
        </w:rPr>
      </w:pPr>
      <w:r>
        <w:rPr>
          <w:sz w:val="24"/>
        </w:rPr>
        <w:t>Utilizes a charitable remainder trust to reduce estate tax on assets</w:t>
      </w:r>
    </w:p>
    <w:p>
      <w:pPr>
        <w:pStyle w:val="BodyText"/>
        <w:widowControl w:val="false"/>
        <w:numPr>
          <w:ilvl w:val="1"/>
          <w:numId w:val="9"/>
        </w:numPr>
        <w:spacing w:lineRule="auto" w:line="240" w:before="0" w:after="0"/>
        <w:rPr>
          <w:sz w:val="24"/>
        </w:rPr>
      </w:pPr>
      <w:r>
        <w:rPr>
          <w:sz w:val="24"/>
        </w:rPr>
        <w:t>Can fulfill investor’s charitable objectives</w:t>
      </w:r>
    </w:p>
    <w:p>
      <w:pPr>
        <w:pStyle w:val="BodyText"/>
        <w:widowControl w:val="false"/>
        <w:numPr>
          <w:ilvl w:val="1"/>
          <w:numId w:val="9"/>
        </w:numPr>
        <w:spacing w:lineRule="auto" w:line="240" w:before="0" w:after="0"/>
        <w:rPr>
          <w:sz w:val="24"/>
        </w:rPr>
      </w:pPr>
      <w:r>
        <w:rPr>
          <w:sz w:val="24"/>
        </w:rPr>
        <w:t xml:space="preserve">Substantial income tax benefits </w:t>
      </w:r>
    </w:p>
    <w:p>
      <w:pPr>
        <w:pStyle w:val="BodyText"/>
        <w:widowControl w:val="false"/>
        <w:numPr>
          <w:ilvl w:val="0"/>
          <w:numId w:val="9"/>
        </w:numPr>
        <w:spacing w:lineRule="auto" w:line="240"/>
        <w:rPr>
          <w:sz w:val="24"/>
        </w:rPr>
      </w:pPr>
      <w:r>
        <w:rPr>
          <w:sz w:val="24"/>
        </w:rPr>
        <w:t>Charitable Limited Partnership (“CLP”)</w:t>
      </w:r>
    </w:p>
    <w:p>
      <w:pPr>
        <w:pStyle w:val="BodyText"/>
        <w:widowControl w:val="false"/>
        <w:numPr>
          <w:ilvl w:val="1"/>
          <w:numId w:val="9"/>
        </w:numPr>
        <w:spacing w:lineRule="auto" w:line="240" w:before="0" w:after="0"/>
        <w:rPr>
          <w:sz w:val="24"/>
        </w:rPr>
      </w:pPr>
      <w:r>
        <w:rPr>
          <w:sz w:val="24"/>
        </w:rPr>
        <w:t xml:space="preserve">Utilizes a limited partnership to reduce the gift tax on wealth transfer </w:t>
      </w:r>
    </w:p>
    <w:p>
      <w:pPr>
        <w:pStyle w:val="BodyText"/>
        <w:widowControl w:val="false"/>
        <w:numPr>
          <w:ilvl w:val="1"/>
          <w:numId w:val="9"/>
        </w:numPr>
        <w:spacing w:lineRule="auto" w:line="240" w:before="0" w:after="0"/>
        <w:rPr>
          <w:sz w:val="24"/>
        </w:rPr>
      </w:pPr>
      <w:r>
        <w:rPr>
          <w:sz w:val="24"/>
        </w:rPr>
        <w:t>Can fulfill investor’s charitable objectives</w:t>
      </w:r>
    </w:p>
    <w:p>
      <w:pPr>
        <w:pStyle w:val="BodyText"/>
        <w:widowControl w:val="false"/>
        <w:numPr>
          <w:ilvl w:val="1"/>
          <w:numId w:val="9"/>
        </w:numPr>
        <w:spacing w:lineRule="auto" w:line="240" w:before="0" w:after="0"/>
        <w:rPr>
          <w:sz w:val="24"/>
        </w:rPr>
      </w:pPr>
      <w:r>
        <w:rPr>
          <w:sz w:val="24"/>
        </w:rPr>
        <w:t>Substantial income tax benefits</w:t>
      </w:r>
    </w:p>
    <w:p>
      <w:pPr>
        <w:pStyle w:val="BodyText"/>
        <w:widowControl w:val="false"/>
        <w:numPr>
          <w:ilvl w:val="0"/>
          <w:numId w:val="9"/>
        </w:numPr>
        <w:spacing w:lineRule="auto" w:line="240"/>
        <w:rPr>
          <w:sz w:val="24"/>
        </w:rPr>
      </w:pPr>
      <w:r>
        <w:rPr>
          <w:sz w:val="24"/>
        </w:rPr>
        <w:t>Appreciation Transfer Trust (“ATT”)</w:t>
      </w:r>
    </w:p>
    <w:p>
      <w:pPr>
        <w:pStyle w:val="BodyText"/>
        <w:widowControl w:val="false"/>
        <w:numPr>
          <w:ilvl w:val="1"/>
          <w:numId w:val="9"/>
        </w:numPr>
        <w:spacing w:lineRule="auto" w:line="240" w:before="0" w:after="0"/>
        <w:rPr>
          <w:sz w:val="24"/>
        </w:rPr>
      </w:pPr>
      <w:r>
        <w:rPr>
          <w:sz w:val="24"/>
        </w:rPr>
        <w:t>Utilizes an asset sale to shift wealth to heirs at discounted values</w:t>
      </w:r>
    </w:p>
    <w:p>
      <w:pPr>
        <w:pStyle w:val="BodyText"/>
        <w:widowControl w:val="false"/>
        <w:numPr>
          <w:ilvl w:val="1"/>
          <w:numId w:val="9"/>
        </w:numPr>
        <w:spacing w:lineRule="auto" w:line="240" w:before="0" w:after="0"/>
        <w:rPr>
          <w:sz w:val="24"/>
        </w:rPr>
      </w:pPr>
      <w:r>
        <w:rPr>
          <w:sz w:val="24"/>
        </w:rPr>
        <w:t>Transferor can retain effective control of transferred assets</w:t>
      </w:r>
    </w:p>
    <w:p>
      <w:pPr>
        <w:pStyle w:val="BodyText"/>
        <w:widowControl w:val="false"/>
        <w:numPr>
          <w:ilvl w:val="1"/>
          <w:numId w:val="9"/>
        </w:numPr>
        <w:spacing w:lineRule="auto" w:line="240" w:before="0" w:after="0"/>
        <w:rPr>
          <w:sz w:val="24"/>
        </w:rPr>
      </w:pPr>
      <w:r>
        <w:rPr>
          <w:sz w:val="24"/>
        </w:rPr>
        <w:t xml:space="preserve">Multi-generational planning possible without generation-skipping transfer taxation </w:t>
      </w:r>
    </w:p>
    <w:p>
      <w:pPr>
        <w:pStyle w:val="BodyText"/>
        <w:widowControl w:val="false"/>
        <w:numPr>
          <w:ilvl w:val="0"/>
          <w:numId w:val="9"/>
        </w:numPr>
        <w:spacing w:lineRule="auto" w:line="240"/>
        <w:rPr>
          <w:sz w:val="24"/>
        </w:rPr>
      </w:pPr>
      <w:r>
        <w:rPr>
          <w:sz w:val="24"/>
        </w:rPr>
        <w:t>Grantor Retained Annuity Trust (“GRAT”)</w:t>
      </w:r>
    </w:p>
    <w:p>
      <w:pPr>
        <w:pStyle w:val="BodyText"/>
        <w:widowControl w:val="false"/>
        <w:numPr>
          <w:ilvl w:val="1"/>
          <w:numId w:val="9"/>
        </w:numPr>
        <w:spacing w:lineRule="auto" w:line="240" w:before="0" w:after="0"/>
        <w:rPr>
          <w:sz w:val="24"/>
        </w:rPr>
      </w:pPr>
      <w:r>
        <w:rPr>
          <w:sz w:val="24"/>
        </w:rPr>
        <w:t>Utilizes a gift of a future interest to shift wealth to heirs at discounted values</w:t>
      </w:r>
    </w:p>
    <w:p>
      <w:pPr>
        <w:pStyle w:val="BodyText"/>
        <w:widowControl w:val="false"/>
        <w:numPr>
          <w:ilvl w:val="1"/>
          <w:numId w:val="9"/>
        </w:numPr>
        <w:spacing w:lineRule="auto" w:line="240" w:before="0" w:after="0"/>
        <w:rPr>
          <w:sz w:val="24"/>
        </w:rPr>
      </w:pPr>
      <w:r>
        <w:rPr>
          <w:sz w:val="24"/>
        </w:rPr>
        <w:t>Transferor can retain effective control of transferred assets</w:t>
      </w:r>
    </w:p>
    <w:p>
      <w:pPr>
        <w:pStyle w:val="BodyText"/>
        <w:widowControl w:val="false"/>
        <w:numPr>
          <w:ilvl w:val="0"/>
          <w:numId w:val="9"/>
        </w:numPr>
        <w:spacing w:lineRule="auto" w:line="240"/>
        <w:rPr>
          <w:sz w:val="24"/>
        </w:rPr>
      </w:pPr>
      <w:r>
        <w:rPr>
          <w:sz w:val="24"/>
        </w:rPr>
        <w:t>Charitable Lead Trust (“CLT”)</w:t>
      </w:r>
    </w:p>
    <w:p>
      <w:pPr>
        <w:pStyle w:val="BodyText"/>
        <w:widowControl w:val="false"/>
        <w:numPr>
          <w:ilvl w:val="1"/>
          <w:numId w:val="9"/>
        </w:numPr>
        <w:spacing w:lineRule="auto" w:line="240" w:before="0" w:after="0"/>
        <w:rPr>
          <w:sz w:val="24"/>
        </w:rPr>
      </w:pPr>
      <w:r>
        <w:rPr>
          <w:sz w:val="24"/>
        </w:rPr>
        <w:t>Utilizes a gift of a future interest to shift wealth to heirs at discounted values</w:t>
      </w:r>
    </w:p>
    <w:p>
      <w:pPr>
        <w:pStyle w:val="BodyText"/>
        <w:widowControl w:val="false"/>
        <w:numPr>
          <w:ilvl w:val="1"/>
          <w:numId w:val="9"/>
        </w:numPr>
        <w:spacing w:lineRule="auto" w:line="240" w:before="0" w:after="0"/>
        <w:rPr>
          <w:sz w:val="24"/>
        </w:rPr>
      </w:pPr>
      <w:r>
        <w:rPr>
          <w:sz w:val="24"/>
        </w:rPr>
        <w:t>Can fulfill investor’s charitable objectives</w:t>
      </w:r>
    </w:p>
    <w:p>
      <w:pPr>
        <w:pStyle w:val="BodyText"/>
        <w:widowControl w:val="false"/>
        <w:numPr>
          <w:ilvl w:val="1"/>
          <w:numId w:val="9"/>
        </w:numPr>
        <w:spacing w:lineRule="auto" w:line="240" w:before="0" w:after="0"/>
        <w:rPr>
          <w:sz w:val="24"/>
        </w:rPr>
      </w:pPr>
      <w:r>
        <w:rPr>
          <w:sz w:val="24"/>
        </w:rPr>
        <w:t>Testamentary version can be used to eliminate estate tax</w:t>
      </w:r>
    </w:p>
    <w:sectPr>
      <w:headerReference w:type="default" r:id="rId2"/>
      <w:footerReference w:type="default" r:id="rId3"/>
      <w:type w:val="nextPage"/>
      <w:pgSz w:w="12240" w:h="15840"/>
      <w:pgMar w:left="1440" w:right="1440" w:gutter="0" w:header="965" w:top="2160" w:footer="734"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ms Rmn">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505"/>
        <w:tab w:val="right" w:pos="9360" w:leader="none"/>
      </w:tabs>
      <w:rPr>
        <w:smallCaps/>
      </w:rPr>
    </w:pPr>
    <w:r>
      <w:rPr>
        <w:smallCaps/>
      </w:rPr>
      <w:tab/>
      <w:t>KPMG LLP Innovative Strategies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i w:val="false"/>
        <w:i w:val="false"/>
        <w:iCs/>
        <w:sz w:val="24"/>
      </w:rPr>
    </w:pPr>
    <w:r>
      <w:rPr>
        <w:i w:val="false"/>
        <w:iCs/>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40"/>
        </w:tabs>
        <w:ind w:start="340" w:hanging="340"/>
      </w:pPr>
      <w:rPr>
        <w:rFonts w:ascii="Wingdings" w:hAnsi="Wingdings" w:cs="Wingdings" w:hint="default"/>
        <w:sz w:val="18"/>
      </w:rPr>
    </w:lvl>
  </w:abstractNum>
  <w:abstractNum w:abstractNumId="8">
    <w:lvl w:ilvl="0">
      <w:start w:val="1"/>
      <w:numFmt w:val="bullet"/>
      <w:lvlText w:val="-"/>
      <w:lvlJc w:val="start"/>
      <w:pPr>
        <w:tabs>
          <w:tab w:val="num" w:pos="680"/>
        </w:tabs>
        <w:ind w:start="680" w:hanging="340"/>
      </w:pPr>
      <w:rPr>
        <w:rFonts w:ascii="Times New Roman" w:hAnsi="Times New Roman" w:cs="Times New Roman"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n"/>
      <w:lvlJc w:val="start"/>
      <w:pPr>
        <w:tabs>
          <w:tab w:val="num" w:pos="340"/>
        </w:tabs>
        <w:ind w:start="340" w:hanging="340"/>
      </w:pPr>
      <w:rPr>
        <w:rFonts w:ascii="Wingdings" w:hAnsi="Wingdings" w:cs="Wingdings" w:hint="default"/>
        <w:sz w:val="18"/>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567"/>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60"/>
    </w:pPr>
    <w:rPr>
      <w:rFonts w:ascii="Times New Roman" w:hAnsi="Times New Roman" w:eastAsia="Times New Roman" w:cs="Times New Roman"/>
      <w:color w:val="auto"/>
      <w:sz w:val="22"/>
      <w:szCs w:val="20"/>
      <w:lang w:val="en-US" w:bidi="ar-SA" w:eastAsia="zh-CN"/>
    </w:rPr>
  </w:style>
  <w:style w:type="paragraph" w:styleId="Heading1">
    <w:name w:val="heading 1"/>
    <w:basedOn w:val="Heading2"/>
    <w:next w:val="BodyText"/>
    <w:qFormat/>
    <w:pPr>
      <w:numPr>
        <w:ilvl w:val="0"/>
        <w:numId w:val="1"/>
      </w:numPr>
      <w:outlineLvl w:val="0"/>
    </w:pPr>
    <w:rPr>
      <w:i w:val="false"/>
    </w:rPr>
  </w:style>
  <w:style w:type="paragraph" w:styleId="Heading2">
    <w:name w:val="heading 2"/>
    <w:basedOn w:val="Heading3"/>
    <w:next w:val="BodyText"/>
    <w:qFormat/>
    <w:pPr>
      <w:numPr>
        <w:ilvl w:val="1"/>
        <w:numId w:val="1"/>
      </w:numPr>
      <w:spacing w:lineRule="atLeast" w:line="280"/>
      <w:outlineLvl w:val="1"/>
    </w:pPr>
    <w:rPr>
      <w:b/>
      <w:sz w:val="24"/>
    </w:rPr>
  </w:style>
  <w:style w:type="paragraph" w:styleId="Heading3">
    <w:name w:val="heading 3"/>
    <w:basedOn w:val="BodyText"/>
    <w:next w:val="BodyText"/>
    <w:qFormat/>
    <w:pPr>
      <w:keepNext w:val="true"/>
      <w:keepLines/>
      <w:numPr>
        <w:ilvl w:val="2"/>
        <w:numId w:val="1"/>
      </w:numPr>
      <w:spacing w:before="130" w:after="0"/>
      <w:outlineLvl w:val="2"/>
    </w:pPr>
    <w:rPr>
      <w:i/>
    </w:rPr>
  </w:style>
  <w:style w:type="paragraph" w:styleId="Heading4">
    <w:name w:val="heading 4"/>
    <w:basedOn w:val="BodyText"/>
    <w:next w:val="BodyText"/>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1z0">
    <w:name w:val="WW8Num1z0"/>
    <w:qFormat/>
    <w:rPr>
      <w:rFonts w:ascii="Wingdings" w:hAnsi="Wingdings" w:cs="Wingdings"/>
      <w:sz w:val="18"/>
    </w:rPr>
  </w:style>
  <w:style w:type="character" w:styleId="WW8Num2z0">
    <w:name w:val="WW8Num2z0"/>
    <w:qFormat/>
    <w:rPr>
      <w:rFonts w:ascii="Wingdings" w:hAnsi="Wingdings" w:cs="Wingdings"/>
      <w:sz w:val="18"/>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Wingdings" w:hAnsi="Wingdings" w:cs="Wingdings"/>
      <w:sz w:val="18"/>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Wingdings" w:hAnsi="Wingdings" w:cs="Wingdings"/>
      <w:sz w:val="18"/>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Times New Roman" w:hAnsi="Times New Roman" w:cs="Times New Roman"/>
    </w:rPr>
  </w:style>
  <w:style w:type="character" w:styleId="WW8Num7z0">
    <w:name w:val="WW8Num7z0"/>
    <w:qFormat/>
    <w:rPr>
      <w:rFonts w:ascii="Wingdings" w:hAnsi="Wingdings" w:cs="Wingdings"/>
      <w:sz w:val="18"/>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sz w:val="18"/>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Tms Rmn" w:hAnsi="Tms Rmn" w:cs="Tms Rmn"/>
    </w:rPr>
  </w:style>
  <w:style w:type="character" w:styleId="WW8Num13z0">
    <w:name w:val="WW8Num13z0"/>
    <w:qFormat/>
    <w:rPr>
      <w:rFonts w:ascii="Wingdings" w:hAnsi="Wingdings" w:cs="Wingdings"/>
      <w:sz w:val="18"/>
    </w:rPr>
  </w:style>
  <w:style w:type="character" w:styleId="WW8Num14z0">
    <w:name w:val="WW8Num14z0"/>
    <w:qFormat/>
    <w:rPr>
      <w:rFonts w:ascii="Wingdings" w:hAnsi="Wingdings" w:cs="Wingdings"/>
      <w:sz w:val="18"/>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Wingdings" w:hAnsi="Wingdings" w:cs="Wingdings"/>
      <w:sz w:val="18"/>
    </w:rPr>
  </w:style>
  <w:style w:type="character" w:styleId="WW8Num16z0">
    <w:name w:val="WW8Num16z0"/>
    <w:qFormat/>
    <w:rPr>
      <w:rFonts w:ascii="Wingdings" w:hAnsi="Wingdings" w:cs="Wingdings"/>
      <w:sz w:val="18"/>
    </w:rPr>
  </w:style>
  <w:style w:type="character" w:styleId="WW8Num17z0">
    <w:name w:val="WW8Num17z0"/>
    <w:qFormat/>
    <w:rPr>
      <w:rFonts w:ascii="Wingdings" w:hAnsi="Wingdings" w:cs="Wingdings"/>
      <w:sz w:val="18"/>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Times New Roman" w:hAnsi="Times New Roman" w:cs="Times New Roman"/>
    </w:rPr>
  </w:style>
  <w:style w:type="character" w:styleId="WW8Num19z0">
    <w:name w:val="WW8Num19z0"/>
    <w:qFormat/>
    <w:rPr>
      <w:rFonts w:ascii="Wingdings" w:hAnsi="Wingdings" w:cs="Wingdings"/>
      <w:sz w:val="18"/>
    </w:rPr>
  </w:style>
  <w:style w:type="character" w:styleId="WW8Num20z0">
    <w:name w:val="WW8Num20z0"/>
    <w:qFormat/>
    <w:rPr>
      <w:rFonts w:ascii="Wingdings" w:hAnsi="Wingdings" w:cs="Wingdings"/>
      <w:sz w:val="18"/>
    </w:rPr>
  </w:style>
  <w:style w:type="character" w:styleId="WW8Num21z0">
    <w:name w:val="WW8Num21z0"/>
    <w:qFormat/>
    <w:rPr>
      <w:rFonts w:ascii="Tms Rmn" w:hAnsi="Tms Rmn" w:cs="Tms Rmn"/>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sz w:val="18"/>
    </w:rPr>
  </w:style>
  <w:style w:type="character" w:styleId="WW8Num22z5">
    <w:name w:val="WW8Num22z5"/>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30" w:after="13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BodyText"/>
    <w:pPr>
      <w:ind w:hanging="0" w:start="340" w:end="0"/>
    </w:pPr>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tabs>
        <w:tab w:val="clear" w:pos="567"/>
        <w:tab w:val="right" w:pos="8505" w:leader="none"/>
      </w:tabs>
    </w:pPr>
    <w:rPr>
      <w:sz w:val="18"/>
    </w:rPr>
  </w:style>
  <w:style w:type="paragraph" w:styleId="Header">
    <w:name w:val="header"/>
    <w:basedOn w:val="Normal"/>
    <w:pPr>
      <w:spacing w:lineRule="exact" w:line="220"/>
      <w:jc w:val="end"/>
    </w:pPr>
    <w:rPr>
      <w:i/>
      <w:sz w:val="18"/>
    </w:rPr>
  </w:style>
  <w:style w:type="paragraph" w:styleId="ListBullet">
    <w:name w:val="List Bullet"/>
    <w:basedOn w:val="BodyText"/>
    <w:qFormat/>
    <w:pPr>
      <w:numPr>
        <w:ilvl w:val="0"/>
        <w:numId w:val="7"/>
      </w:numPr>
      <w:spacing w:before="0" w:after="130"/>
    </w:pPr>
    <w:rPr/>
  </w:style>
  <w:style w:type="paragraph" w:styleId="FootnoteText">
    <w:name w:val="footnote text"/>
    <w:basedOn w:val="Normal"/>
    <w:pPr/>
    <w:rPr>
      <w:sz w:val="18"/>
    </w:rPr>
  </w:style>
  <w:style w:type="paragraph" w:styleId="Signature">
    <w:name w:val="Signature"/>
    <w:basedOn w:val="Normal"/>
    <w:pPr>
      <w:spacing w:lineRule="auto" w:line="240"/>
    </w:pPr>
    <w:rPr/>
  </w:style>
  <w:style w:type="paragraph" w:styleId="Graphic">
    <w:name w:val="Graphic"/>
    <w:basedOn w:val="Signature"/>
    <w:qFormat/>
    <w:pPr>
      <w:pBdr>
        <w:top w:val="single" w:sz="6" w:space="1" w:color="000000"/>
        <w:left w:val="single" w:sz="6" w:space="1" w:color="000000"/>
        <w:bottom w:val="single" w:sz="6" w:space="1" w:color="000000"/>
        <w:right w:val="single" w:sz="6" w:space="1" w:color="000000"/>
      </w:pBdr>
      <w:jc w:val="center"/>
    </w:pPr>
    <w:rPr/>
  </w:style>
  <w:style w:type="paragraph" w:styleId="ListBullet2">
    <w:name w:val="List Bullet 2"/>
    <w:basedOn w:val="ListBullet"/>
    <w:qFormat/>
    <w:pPr>
      <w:numPr>
        <w:ilvl w:val="0"/>
        <w:numId w:val="8"/>
      </w:numPr>
    </w:pPr>
    <w:rPr/>
  </w:style>
  <w:style w:type="paragraph" w:styleId="MacroText">
    <w:name w:val="Macro Text"/>
    <w:qFormat/>
    <w:pPr>
      <w:widowControl/>
      <w:tabs>
        <w:tab w:val="clear" w:pos="567"/>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260"/>
    </w:pPr>
    <w:rPr>
      <w:rFonts w:ascii="Courier New" w:hAnsi="Courier New" w:eastAsia="Times New Roman" w:cs="Courier New"/>
      <w:color w:val="auto"/>
      <w:sz w:val="18"/>
      <w:szCs w:val="20"/>
      <w:lang w:val="en-GB" w:bidi="ar-SA" w:eastAsia="zh-CN"/>
    </w:rPr>
  </w:style>
  <w:style w:type="paragraph" w:styleId="KPMGNormal">
    <w:name w:val="KPMGNormal"/>
    <w:qFormat/>
    <w:pPr>
      <w:widowControl/>
      <w:bidi w:val="0"/>
      <w:spacing w:lineRule="exact" w:line="280"/>
    </w:pPr>
    <w:rPr>
      <w:rFonts w:ascii="Times New Roman" w:hAnsi="Times New Roman" w:eastAsia="Times New Roman" w:cs="Times New Roman"/>
      <w:color w:val="auto"/>
      <w:sz w:val="24"/>
      <w:szCs w:val="20"/>
      <w:lang w:val="en-US" w:bidi="ar-SA" w:eastAsia="zh-CN"/>
    </w:rPr>
  </w:style>
  <w:style w:type="paragraph" w:styleId="KPMGEnvAddr">
    <w:name w:val="KPMGEnvAddr"/>
    <w:basedOn w:val="KPMGNormal"/>
    <w:qFormat/>
    <w:pPr/>
    <w:rPr/>
  </w:style>
  <w:style w:type="paragraph" w:styleId="Bullet1">
    <w:name w:val="Bullet 1"/>
    <w:basedOn w:val="KPMGNormal"/>
    <w:qFormat/>
    <w:pPr>
      <w:numPr>
        <w:ilvl w:val="0"/>
        <w:numId w:val="10"/>
      </w:numPr>
      <w:ind w:hanging="360" w:start="720" w:end="720"/>
    </w:pPr>
    <w:rPr/>
  </w:style>
  <w:style w:type="paragraph" w:styleId="KPMGNormItalic">
    <w:name w:val="KPMGNormItalic"/>
    <w:basedOn w:val="KPMGNormal"/>
    <w:next w:val="KPMGNormal"/>
    <w:qFormat/>
    <w:pPr/>
    <w:rPr>
      <w:i/>
    </w:rPr>
  </w:style>
  <w:style w:type="paragraph" w:styleId="KPMGSteno">
    <w:name w:val="KPMGSteno"/>
    <w:basedOn w:val="KPMGNormal"/>
    <w:qFormat/>
    <w:pPr/>
    <w:rPr/>
  </w:style>
  <w:style w:type="paragraph" w:styleId="KPMGGraphic">
    <w:name w:val="KPMGGraphic"/>
    <w:basedOn w:val="KPMGNormal"/>
    <w:qFormat/>
    <w:pPr>
      <w:spacing w:lineRule="auto" w:line="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2001-03-28T12:43:00Z</dcterms:created>
  <dc:creator>Brian Cumberland</dc:creator>
  <dc:description/>
  <dc:language>en-CA</dc:language>
  <cp:lastModifiedBy>Carol G. Warley</cp:lastModifiedBy>
  <cp:lastPrinted>2001-04-02T15:58:00Z</cp:lastPrinted>
  <dcterms:modified xsi:type="dcterms:W3CDTF">2001-07-08T17:20:00Z</dcterms:modified>
  <cp:revision>74</cp:revision>
  <dc:subject/>
  <dc:title>Blank document</dc:title>
</cp:coreProperties>
</file>