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2"/>
        <w:gridCol w:w="921"/>
        <w:gridCol w:w="922"/>
        <w:gridCol w:w="921"/>
        <w:gridCol w:w="922"/>
        <w:gridCol w:w="922"/>
        <w:gridCol w:w="921"/>
        <w:gridCol w:w="922"/>
        <w:gridCol w:w="921"/>
        <w:gridCol w:w="922"/>
      </w:tblGrid>
      <w:tr>
        <w:trPr>
          <w:trHeight w:val="235" w:hRule="atLeast"/>
        </w:trPr>
        <w:tc>
          <w:tcPr>
            <w:tcW w:w="9216" w:type="dxa"/>
            <w:gridSpan w:val="10"/>
            <w:tcBorders/>
          </w:tcPr>
          <w:p>
            <w:pPr>
              <w:pStyle w:val="Normal"/>
              <w:rPr>
                <w:rFonts w:ascii="Arial" w:hAnsi="Arial" w:cs="Arial"/>
                <w:color w:val="000000"/>
                <w:sz w:val="18"/>
                <w:lang w:eastAsia="en-US"/>
              </w:rPr>
            </w:pPr>
            <w:r>
              <w:rPr/>
              <w:t>Inland Resources, Inc. ("Inland") is a diversified and independent energy company engaged in the acquisition, development and enhancement of oil and gas properties in the western United States.  All of the Company's oil and gas reserves are located in the Monument Butte Field within the Uinta Basin of northeastern Utah.  Inland’s stock is now traded OTC on the NASDAQ under the symbol “INLN”.</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35" w:hRule="atLeast"/>
        </w:trPr>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Inland Resources Inc.</w:t>
      </w:r>
    </w:p>
    <w:p>
      <w:pPr>
        <w:pStyle w:val="Normal"/>
        <w:pBdr>
          <w:top w:val="single" w:sz="12" w:space="1" w:color="000000"/>
          <w:bottom w:val="single" w:sz="12" w:space="1" w:color="000000"/>
        </w:pBdr>
        <w:rPr/>
      </w:pPr>
      <w:r>
        <w:rPr>
          <w:b/>
        </w:rPr>
        <w:t xml:space="preserve">TICKER SYMBOL: </w:t>
      </w:r>
      <w:r>
        <w:rPr/>
        <w:t>INLN</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$4.75</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146,049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/mnt/main-storage/datasets/enron-docs/doc/Inland_Resources.doc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/mnt/main-storage/datasets/enron-docs/doc/Inland_Resources.doc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2000-08-30T21:20:00Z</dcterms:created>
  <dc:creator>mruane</dc:creator>
  <dc:description>MR: 9-20-99 added tax signoff</dc:description>
  <dc:language>en-CA</dc:language>
  <cp:lastModifiedBy>brian schwertner</cp:lastModifiedBy>
  <cp:lastPrinted>2000-08-31T14:08:00Z</cp:lastPrinted>
  <dcterms:modified xsi:type="dcterms:W3CDTF">2000-09-01T18:44:00Z</dcterms:modified>
  <cp:revision>8</cp:revision>
  <dc:subject/>
  <dc:title>ENRON RISK ASSESSMENT AND CONTROL</dc:title>
</cp:coreProperties>
</file>