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Initiatives</w:t>
      </w:r>
    </w:p>
    <w:p>
      <w:pPr>
        <w:pStyle w:val="Normal"/>
        <w:rPr/>
      </w:pPr>
      <w:r>
        <w:rPr/>
      </w:r>
    </w:p>
    <w:p>
      <w:pPr>
        <w:pStyle w:val="Normal"/>
        <w:rPr/>
      </w:pPr>
      <w:r>
        <w:rPr/>
        <w:t xml:space="preserve">Perfect’s planned initiatives fall along 3 key areas: </w:t>
      </w:r>
    </w:p>
    <w:p>
      <w:pPr>
        <w:pStyle w:val="Normal"/>
        <w:rPr/>
      </w:pPr>
      <w:r>
        <w:rPr/>
      </w:r>
    </w:p>
    <w:p>
      <w:pPr>
        <w:pStyle w:val="Normal"/>
        <w:rPr/>
      </w:pPr>
      <w:r>
        <w:rPr/>
        <w:t>Current</w:t>
      </w:r>
    </w:p>
    <w:p>
      <w:pPr>
        <w:pStyle w:val="Normal"/>
        <w:numPr>
          <w:ilvl w:val="0"/>
          <w:numId w:val="2"/>
        </w:numPr>
        <w:rPr/>
      </w:pPr>
      <w:r>
        <w:rPr/>
        <w:t>RFQ Process (steps)</w:t>
      </w:r>
    </w:p>
    <w:p>
      <w:pPr>
        <w:pStyle w:val="Normal"/>
        <w:numPr>
          <w:ilvl w:val="0"/>
          <w:numId w:val="2"/>
        </w:numPr>
        <w:rPr/>
      </w:pPr>
      <w:r>
        <w:rPr/>
        <w:t>User Interface</w:t>
      </w:r>
    </w:p>
    <w:p>
      <w:pPr>
        <w:pStyle w:val="Normal"/>
        <w:numPr>
          <w:ilvl w:val="0"/>
          <w:numId w:val="2"/>
        </w:numPr>
        <w:rPr/>
      </w:pPr>
      <w:r>
        <w:rPr/>
        <w:t>Positioning their RFQ Engine as an infrastructure enabler to exchanges</w:t>
      </w:r>
    </w:p>
    <w:p>
      <w:pPr>
        <w:pStyle w:val="Normal"/>
        <w:numPr>
          <w:ilvl w:val="0"/>
          <w:numId w:val="2"/>
        </w:numPr>
        <w:rPr/>
      </w:pPr>
      <w:r>
        <w:rPr/>
        <w:t>Forming partnerships with other plug-ins to provide a bigger piece of the e-procurement infrastructure.</w:t>
      </w:r>
    </w:p>
    <w:p>
      <w:pPr>
        <w:pStyle w:val="Normal"/>
        <w:rPr/>
      </w:pPr>
      <w:r>
        <w:rPr/>
      </w:r>
    </w:p>
    <w:p>
      <w:pPr>
        <w:pStyle w:val="Normal"/>
        <w:rPr/>
      </w:pPr>
      <w:r>
        <w:rPr/>
        <w:t>Near Term (3-6 months)</w:t>
      </w:r>
    </w:p>
    <w:p>
      <w:pPr>
        <w:pStyle w:val="Normal"/>
        <w:numPr>
          <w:ilvl w:val="0"/>
          <w:numId w:val="3"/>
        </w:numPr>
        <w:rPr/>
      </w:pPr>
      <w:r>
        <w:rPr/>
        <w:t>Gain domain expertise as it pertains to buyers’ preferences and priorities for non-price attributes enabling them to sell this information to sellers as market intelligence.</w:t>
      </w:r>
    </w:p>
    <w:p>
      <w:pPr>
        <w:pStyle w:val="Normal"/>
        <w:numPr>
          <w:ilvl w:val="0"/>
          <w:numId w:val="3"/>
        </w:numPr>
        <w:rPr/>
      </w:pPr>
      <w:r>
        <w:rPr/>
        <w:t>Having a professional services arm, which is mainly responsible for selling set-up/customization/maintenance services to the exchanges.</w:t>
      </w:r>
    </w:p>
    <w:p>
      <w:pPr>
        <w:pStyle w:val="Normal"/>
        <w:rPr/>
      </w:pPr>
      <w:r>
        <w:rPr/>
      </w:r>
    </w:p>
    <w:p>
      <w:pPr>
        <w:pStyle w:val="Normal"/>
        <w:rPr/>
      </w:pPr>
      <w:r>
        <w:rPr/>
        <w:t>Future (6-12 months)</w:t>
      </w:r>
    </w:p>
    <w:p>
      <w:pPr>
        <w:pStyle w:val="Normal"/>
        <w:rPr/>
      </w:pPr>
      <w:r>
        <w:rPr/>
      </w:r>
    </w:p>
    <w:p>
      <w:pPr>
        <w:pStyle w:val="Normal"/>
        <w:numPr>
          <w:ilvl w:val="0"/>
          <w:numId w:val="1"/>
        </w:numPr>
        <w:rPr/>
      </w:pPr>
      <w:r>
        <w:rPr/>
        <w:t>Indicative Bidding</w:t>
      </w:r>
    </w:p>
    <w:p>
      <w:pPr>
        <w:pStyle w:val="Normal"/>
        <w:numPr>
          <w:ilvl w:val="0"/>
          <w:numId w:val="1"/>
        </w:numPr>
        <w:rPr/>
      </w:pPr>
      <w:r>
        <w:rPr/>
        <w:t>Automate Supplier Response to RFQ</w:t>
      </w:r>
    </w:p>
    <w:p>
      <w:pPr>
        <w:pStyle w:val="Normal"/>
        <w:ind w:start="720" w:end="0"/>
        <w:rPr/>
      </w:pPr>
      <w:r>
        <w:rPr/>
      </w:r>
    </w:p>
    <w:p>
      <w:pPr>
        <w:pStyle w:val="Normal"/>
        <w:ind w:start="720" w:end="0"/>
        <w:rPr/>
      </w:pPr>
      <w:r>
        <w:rPr/>
      </w:r>
    </w:p>
    <w:p>
      <w:pPr>
        <w:pStyle w:val="Normal"/>
        <w:rPr/>
      </w:pPr>
      <w:r>
        <w:rPr/>
      </w:r>
    </w:p>
    <w:p>
      <w:pPr>
        <w:pStyle w:val="Normal"/>
        <w:rPr/>
      </w:pPr>
      <w:r>
        <w:rPr/>
      </w:r>
    </w:p>
    <w:p>
      <w:pPr>
        <w:pStyle w:val="Normal"/>
        <w:rPr/>
      </w:pPr>
      <w:r>
        <w:rPr/>
        <w:t>Current initiatives three and four are at the core of their business, whereas three and four are initiatives that are more ‘rational experimentation’ initiatives that could potentially provide additional revenue streams for Perfect.</w:t>
      </w:r>
    </w:p>
    <w:p>
      <w:pPr>
        <w:pStyle w:val="Normal"/>
        <w:rPr/>
      </w:pPr>
      <w:r>
        <w:rPr/>
      </w:r>
    </w:p>
    <w:p>
      <w:pPr>
        <w:pStyle w:val="Normal"/>
        <w:rPr/>
      </w:pPr>
      <w:r>
        <w:rPr/>
        <w:t xml:space="preserve">Under current initiative three, Perfect will work with Commerce one to have a pre-configured RFQ for a particular exchange.  This being the case, the buyer and supplier will not ha e to modify this unless desired..  Supplier can automate this.  Supplier does not even have to know that bids come in, it can go to the RFQ engine, and does a constrained maximization.  Here’s what the buyer wants, here’s what the supplier wants, Comes up with automatic reply based on capabilities of supplier and can respond to RFQ without any effort. </w:t>
      </w:r>
    </w:p>
    <w:p>
      <w:pPr>
        <w:pStyle w:val="Normal"/>
        <w:rPr/>
      </w:pPr>
      <w:r>
        <w:rPr/>
      </w:r>
    </w:p>
    <w:p>
      <w:pPr>
        <w:pStyle w:val="Normal"/>
        <w:rPr/>
      </w:pPr>
      <w:r>
        <w:rPr/>
      </w:r>
    </w:p>
    <w:p>
      <w:pPr>
        <w:pStyle w:val="Normal"/>
        <w:rPr/>
      </w:pPr>
      <w:r>
        <w:rPr/>
        <w:t xml:space="preserve">Initiative three allows Perfect to focus on their core competency, which is designing an economically superior RFQ engine.  </w:t>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object w:dxaOrig="9405" w:dyaOrig="76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6.8pt;margin-top:-539.05pt;width:471.1pt;height:382.25pt;mso-wrap-distance-left:9.05pt;mso-wrap-distance-right:9.05pt;mso-position-horizontal-relative:text;mso-position-vertical-relative:text" filled="f" o:ole="">
            <v:imagedata r:id="rId3" o:title=""/>
            <w10:wrap type="topAndBottom"/>
          </v:shape>
          <o:OLEObject Type="Embed" ProgID="" ShapeID="ole_rId2" DrawAspect="Content" ObjectID="_553957890" r:id="rId2"/>
        </w:object>
      </w:r>
    </w:p>
    <w:p>
      <w:pPr>
        <w:pStyle w:val="Normal"/>
        <w:rPr/>
      </w:pPr>
      <w:r>
        <w:rPr/>
      </w:r>
    </w:p>
    <w:p>
      <w:pPr>
        <w:pStyle w:val="Normal"/>
        <w:rPr/>
      </w:pPr>
      <w:r>
        <w:rPr/>
        <w:t>Proposed Initiatives</w:t>
      </w:r>
    </w:p>
    <w:p>
      <w:pPr>
        <w:pStyle w:val="Normal"/>
        <w:numPr>
          <w:ilvl w:val="0"/>
          <w:numId w:val="4"/>
        </w:numPr>
        <w:rPr/>
      </w:pPr>
      <w:r>
        <w:rPr/>
        <w:t>Get Industry Leaders (end-to-end solution) as customers:  C1, Ariba – Value prop:  Specialized RFQ “Perfect”</w:t>
      </w:r>
    </w:p>
    <w:p>
      <w:pPr>
        <w:pStyle w:val="Normal"/>
        <w:numPr>
          <w:ilvl w:val="0"/>
          <w:numId w:val="4"/>
        </w:numPr>
        <w:rPr/>
      </w:pPr>
      <w:r>
        <w:rPr/>
        <w:t xml:space="preserve">Partner with Best-of-breed:  content + Integration: </w:t>
      </w:r>
    </w:p>
    <w:p>
      <w:pPr>
        <w:pStyle w:val="Normal"/>
        <w:numPr>
          <w:ilvl w:val="0"/>
          <w:numId w:val="4"/>
        </w:numPr>
        <w:rPr/>
      </w:pPr>
      <w:r>
        <w:rPr/>
        <w:t xml:space="preserve">( BIZ MODEL) Hosting model may not be enough:  Licensed software with recurring component. </w:t>
      </w:r>
    </w:p>
    <w:p>
      <w:pPr>
        <w:pStyle w:val="Normal"/>
        <w:numPr>
          <w:ilvl w:val="0"/>
          <w:numId w:val="4"/>
        </w:numPr>
        <w:rPr/>
      </w:pPr>
      <w:r>
        <w:rPr/>
        <w:t>(BIZ MODEL) Subscription fee as a premium value-add service</w:t>
      </w:r>
    </w:p>
    <w:p>
      <w:pPr>
        <w:pStyle w:val="Normal"/>
        <w:numPr>
          <w:ilvl w:val="0"/>
          <w:numId w:val="4"/>
        </w:numPr>
        <w:rPr/>
      </w:pPr>
      <w:r>
        <w:rPr/>
        <w:t>Automated adjustment</w:t>
      </w:r>
    </w:p>
    <w:p>
      <w:pPr>
        <w:pStyle w:val="Normal"/>
        <w:numPr>
          <w:ilvl w:val="0"/>
          <w:numId w:val="4"/>
        </w:numPr>
        <w:rPr/>
      </w:pPr>
      <w:r>
        <w:rPr/>
        <w:t>Bundle with other horizontal value-adds to become an end-to-end solution.</w:t>
      </w:r>
    </w:p>
    <w:p>
      <w:pPr>
        <w:pStyle w:val="Normal"/>
        <w:numPr>
          <w:ilvl w:val="0"/>
          <w:numId w:val="4"/>
        </w:numPr>
        <w:rPr/>
      </w:pPr>
      <w:r>
        <w:rPr/>
        <w:t>Pursue wireless market</w:t>
      </w:r>
    </w:p>
    <w:p>
      <w:pPr>
        <w:pStyle w:val="Normal"/>
        <w:numPr>
          <w:ilvl w:val="0"/>
          <w:numId w:val="4"/>
        </w:numPr>
        <w:rPr/>
      </w:pPr>
      <w:r>
        <w:rPr/>
        <w:t>AIAZ??</w:t>
      </w:r>
    </w:p>
    <w:p>
      <w:pPr>
        <w:pStyle w:val="Normal"/>
        <w:rPr/>
      </w:pPr>
      <w:r>
        <w:rPr/>
      </w:r>
    </w:p>
    <w:p>
      <w:pPr>
        <w:pStyle w:val="Normal"/>
        <w:rPr/>
      </w:pPr>
      <w:r>
        <w:rPr/>
        <w:t>Pros and Cons to Proposed Initiative # 6 – Bundling…</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Pros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Cons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Attributes of Attractive Partners</w:t>
            </w:r>
          </w:p>
        </w:tc>
      </w:tr>
      <w:tr>
        <w:trPr/>
        <w:tc>
          <w:tcPr>
            <w:tcW w:w="2952" w:type="dxa"/>
            <w:tcBorders>
              <w:start w:val="single" w:sz="4" w:space="0" w:color="000000"/>
              <w:end w:val="single" w:sz="4" w:space="0" w:color="000000"/>
            </w:tcBorders>
          </w:tcPr>
          <w:p>
            <w:pPr>
              <w:pStyle w:val="Normal"/>
              <w:rPr/>
            </w:pPr>
            <w:r>
              <w:rPr/>
              <w:t>Added Solution Flexibility</w:t>
            </w:r>
          </w:p>
        </w:tc>
        <w:tc>
          <w:tcPr>
            <w:tcW w:w="2952" w:type="dxa"/>
            <w:tcBorders>
              <w:start w:val="single" w:sz="4" w:space="0" w:color="000000"/>
              <w:end w:val="single" w:sz="4" w:space="0" w:color="000000"/>
            </w:tcBorders>
          </w:tcPr>
          <w:p>
            <w:pPr>
              <w:pStyle w:val="Normal"/>
              <w:rPr/>
            </w:pPr>
            <w:r>
              <w:rPr/>
              <w:t>Channel Conflict</w:t>
            </w:r>
          </w:p>
        </w:tc>
        <w:tc>
          <w:tcPr>
            <w:tcW w:w="2952" w:type="dxa"/>
            <w:tcBorders>
              <w:start w:val="single" w:sz="4" w:space="0" w:color="000000"/>
              <w:end w:val="single" w:sz="4" w:space="0" w:color="000000"/>
            </w:tcBorders>
          </w:tcPr>
          <w:p>
            <w:pPr>
              <w:pStyle w:val="Normal"/>
              <w:rPr/>
            </w:pPr>
            <w:r>
              <w:rPr/>
              <w:t>Channel increase</w:t>
            </w:r>
          </w:p>
        </w:tc>
      </w:tr>
      <w:tr>
        <w:trPr/>
        <w:tc>
          <w:tcPr>
            <w:tcW w:w="2952" w:type="dxa"/>
            <w:tcBorders>
              <w:start w:val="single" w:sz="4" w:space="0" w:color="000000"/>
              <w:end w:val="single" w:sz="4" w:space="0" w:color="000000"/>
            </w:tcBorders>
          </w:tcPr>
          <w:p>
            <w:pPr>
              <w:pStyle w:val="Normal"/>
              <w:rPr/>
            </w:pPr>
            <w:r>
              <w:rPr/>
              <w:t>Co Branding Potential, increased channels</w:t>
            </w:r>
          </w:p>
        </w:tc>
        <w:tc>
          <w:tcPr>
            <w:tcW w:w="2952" w:type="dxa"/>
            <w:tcBorders>
              <w:start w:val="single" w:sz="4" w:space="0" w:color="000000"/>
              <w:end w:val="single" w:sz="4" w:space="0" w:color="000000"/>
            </w:tcBorders>
          </w:tcPr>
          <w:p>
            <w:pPr>
              <w:pStyle w:val="Normal"/>
              <w:rPr/>
            </w:pPr>
            <w:r>
              <w:rPr/>
              <w:t>Risk of Commoditization (damages differentiation/uniqueness)</w:t>
            </w:r>
          </w:p>
        </w:tc>
        <w:tc>
          <w:tcPr>
            <w:tcW w:w="2952" w:type="dxa"/>
            <w:tcBorders>
              <w:start w:val="single" w:sz="4" w:space="0" w:color="000000"/>
              <w:end w:val="single" w:sz="4" w:space="0" w:color="000000"/>
            </w:tcBorders>
          </w:tcPr>
          <w:p>
            <w:pPr>
              <w:pStyle w:val="Normal"/>
              <w:rPr/>
            </w:pPr>
            <w:r>
              <w:rPr/>
              <w:t>Name player</w:t>
            </w:r>
          </w:p>
        </w:tc>
      </w:tr>
      <w:tr>
        <w:trPr/>
        <w:tc>
          <w:tcPr>
            <w:tcW w:w="2952" w:type="dxa"/>
            <w:tcBorders>
              <w:start w:val="single" w:sz="4" w:space="0" w:color="000000"/>
              <w:end w:val="single" w:sz="4" w:space="0" w:color="000000"/>
            </w:tcBorders>
          </w:tcPr>
          <w:p>
            <w:pPr>
              <w:pStyle w:val="Normal"/>
              <w:rPr/>
            </w:pPr>
            <w:r>
              <w:rPr/>
              <w:t xml:space="preserve">Scale potential </w:t>
            </w:r>
          </w:p>
        </w:tc>
        <w:tc>
          <w:tcPr>
            <w:tcW w:w="2952" w:type="dxa"/>
            <w:tcBorders>
              <w:start w:val="single" w:sz="4" w:space="0" w:color="000000"/>
              <w:end w:val="single" w:sz="4" w:space="0" w:color="000000"/>
            </w:tcBorders>
          </w:tcPr>
          <w:p>
            <w:pPr>
              <w:pStyle w:val="Normal"/>
              <w:rPr/>
            </w:pPr>
            <w:r>
              <w:rPr/>
              <w:t>Misaligned interests</w:t>
            </w:r>
          </w:p>
        </w:tc>
        <w:tc>
          <w:tcPr>
            <w:tcW w:w="2952" w:type="dxa"/>
            <w:tcBorders>
              <w:start w:val="single" w:sz="4" w:space="0" w:color="000000"/>
              <w:end w:val="single" w:sz="4" w:space="0" w:color="000000"/>
            </w:tcBorders>
          </w:tcPr>
          <w:p>
            <w:pPr>
              <w:pStyle w:val="Normal"/>
              <w:rPr/>
            </w:pPr>
            <w:r>
              <w:rPr/>
              <w:t>Pure Play</w:t>
            </w:r>
          </w:p>
        </w:tc>
      </w:tr>
      <w:tr>
        <w:trPr/>
        <w:tc>
          <w:tcPr>
            <w:tcW w:w="2952" w:type="dxa"/>
            <w:tcBorders>
              <w:start w:val="single" w:sz="4" w:space="0" w:color="000000"/>
              <w:end w:val="single" w:sz="4" w:space="0" w:color="000000"/>
            </w:tcBorders>
          </w:tcPr>
          <w:p>
            <w:pPr>
              <w:pStyle w:val="Normal"/>
              <w:rPr/>
            </w:pPr>
            <w:r>
              <w:rPr/>
              <w:t>Scope economies</w:t>
            </w:r>
          </w:p>
        </w:tc>
        <w:tc>
          <w:tcPr>
            <w:tcW w:w="2952" w:type="dxa"/>
            <w:tcBorders>
              <w:start w:val="single" w:sz="4" w:space="0" w:color="000000"/>
              <w:end w:val="single" w:sz="4" w:space="0" w:color="000000"/>
            </w:tcBorders>
          </w:tcPr>
          <w:p>
            <w:pPr>
              <w:pStyle w:val="Normal"/>
              <w:rPr/>
            </w:pPr>
            <w:r>
              <w:rPr/>
              <w:t>Reduces strategic flexibility</w:t>
            </w:r>
          </w:p>
        </w:tc>
        <w:tc>
          <w:tcPr>
            <w:tcW w:w="2952" w:type="dxa"/>
            <w:tcBorders>
              <w:start w:val="single" w:sz="4" w:space="0" w:color="000000"/>
              <w:end w:val="single" w:sz="4" w:space="0" w:color="000000"/>
            </w:tcBorders>
          </w:tcPr>
          <w:p>
            <w:pPr>
              <w:pStyle w:val="Normal"/>
              <w:rPr/>
            </w:pPr>
            <w:r>
              <w:rPr/>
              <w:t>Established customer base</w:t>
            </w:r>
          </w:p>
        </w:tc>
      </w:tr>
      <w:tr>
        <w:trPr/>
        <w:tc>
          <w:tcPr>
            <w:tcW w:w="2952" w:type="dxa"/>
            <w:tcBorders>
              <w:start w:val="single" w:sz="4" w:space="0" w:color="000000"/>
              <w:end w:val="single" w:sz="4" w:space="0" w:color="000000"/>
            </w:tcBorders>
          </w:tcPr>
          <w:p>
            <w:pPr>
              <w:pStyle w:val="Normal"/>
              <w:rPr/>
            </w:pPr>
            <w:r>
              <w:rPr/>
              <w:t>Increased negotiating power</w:t>
            </w:r>
          </w:p>
        </w:tc>
        <w:tc>
          <w:tcPr>
            <w:tcW w:w="2952" w:type="dxa"/>
            <w:tcBorders>
              <w:start w:val="single" w:sz="4" w:space="0" w:color="000000"/>
              <w:end w:val="single" w:sz="4" w:space="0" w:color="000000"/>
            </w:tcBorders>
          </w:tcPr>
          <w:p>
            <w:pPr>
              <w:pStyle w:val="Normal"/>
              <w:snapToGrid w:val="false"/>
              <w:rPr/>
            </w:pPr>
            <w:r>
              <w:rPr/>
            </w:r>
          </w:p>
        </w:tc>
        <w:tc>
          <w:tcPr>
            <w:tcW w:w="2952" w:type="dxa"/>
            <w:tcBorders>
              <w:start w:val="single" w:sz="4" w:space="0" w:color="000000"/>
              <w:end w:val="single" w:sz="4" w:space="0" w:color="000000"/>
            </w:tcBorders>
          </w:tcPr>
          <w:p>
            <w:pPr>
              <w:pStyle w:val="Normal"/>
              <w:rPr/>
            </w:pPr>
            <w:r>
              <w:rPr/>
              <w:t>&lt;get this list from Jeff’s customer attributes&gt;</w:t>
            </w:r>
          </w:p>
        </w:tc>
      </w:tr>
      <w:tr>
        <w:trPr/>
        <w:tc>
          <w:tcPr>
            <w:tcW w:w="2952" w:type="dxa"/>
            <w:tcBorders>
              <w:start w:val="single" w:sz="4" w:space="0" w:color="000000"/>
              <w:end w:val="single" w:sz="4" w:space="0" w:color="000000"/>
            </w:tcBorders>
          </w:tcPr>
          <w:p>
            <w:pPr>
              <w:pStyle w:val="Normal"/>
              <w:rPr/>
            </w:pPr>
            <w:r>
              <w:rPr/>
              <w:t>Drives Focus on Core Competency</w:t>
            </w:r>
          </w:p>
        </w:tc>
        <w:tc>
          <w:tcPr>
            <w:tcW w:w="2952" w:type="dxa"/>
            <w:tcBorders>
              <w:start w:val="single" w:sz="4" w:space="0" w:color="000000"/>
              <w:end w:val="single" w:sz="4" w:space="0" w:color="000000"/>
            </w:tcBorders>
          </w:tcPr>
          <w:p>
            <w:pPr>
              <w:pStyle w:val="Normal"/>
              <w:snapToGrid w:val="false"/>
              <w:rPr/>
            </w:pPr>
            <w:r>
              <w:rPr/>
            </w:r>
          </w:p>
        </w:tc>
        <w:tc>
          <w:tcPr>
            <w:tcW w:w="2952" w:type="dxa"/>
            <w:tcBorders>
              <w:start w:val="single" w:sz="4" w:space="0" w:color="000000"/>
              <w:end w:val="single" w:sz="4" w:space="0" w:color="000000"/>
            </w:tcBorders>
          </w:tcPr>
          <w:p>
            <w:pPr>
              <w:pStyle w:val="Normal"/>
              <w:rPr/>
            </w:pPr>
            <w:r>
              <w:rPr/>
              <w:t>Good business model</w:t>
            </w:r>
          </w:p>
        </w:tc>
      </w:tr>
      <w:tr>
        <w:trPr/>
        <w:tc>
          <w:tcPr>
            <w:tcW w:w="2952" w:type="dxa"/>
            <w:tcBorders>
              <w:start w:val="single" w:sz="4" w:space="0" w:color="000000"/>
              <w:bottom w:val="single" w:sz="4" w:space="0" w:color="000000"/>
              <w:end w:val="single" w:sz="4" w:space="0" w:color="000000"/>
            </w:tcBorders>
          </w:tcPr>
          <w:p>
            <w:pPr>
              <w:pStyle w:val="Normal"/>
              <w:snapToGrid w:val="false"/>
              <w:rPr/>
            </w:pPr>
            <w:r>
              <w:rPr/>
            </w:r>
          </w:p>
        </w:tc>
        <w:tc>
          <w:tcPr>
            <w:tcW w:w="2952" w:type="dxa"/>
            <w:tcBorders>
              <w:start w:val="single" w:sz="4" w:space="0" w:color="000000"/>
              <w:bottom w:val="single" w:sz="4" w:space="0" w:color="000000"/>
              <w:end w:val="single" w:sz="4" w:space="0" w:color="000000"/>
            </w:tcBorders>
          </w:tcPr>
          <w:p>
            <w:pPr>
              <w:pStyle w:val="Normal"/>
              <w:snapToGrid w:val="false"/>
              <w:rPr/>
            </w:pPr>
            <w:r>
              <w:rPr/>
            </w:r>
          </w:p>
        </w:tc>
        <w:tc>
          <w:tcPr>
            <w:tcW w:w="2952" w:type="dxa"/>
            <w:tcBorders>
              <w:start w:val="single" w:sz="4" w:space="0" w:color="000000"/>
              <w:bottom w:val="single" w:sz="4" w:space="0" w:color="000000"/>
              <w:end w:val="single" w:sz="4" w:space="0" w:color="000000"/>
            </w:tcBorders>
          </w:tcPr>
          <w:p>
            <w:pPr>
              <w:pStyle w:val="Normal"/>
              <w:rPr/>
            </w:pPr>
            <w:r>
              <w:rPr/>
              <w:t>Profitable</w:t>
            </w:r>
          </w:p>
        </w:tc>
      </w:tr>
    </w:tbl>
    <w:p>
      <w:pPr>
        <w:pStyle w:val="Normal"/>
        <w:rPr/>
      </w:pPr>
      <w:r>
        <w:rPr/>
      </w:r>
    </w:p>
    <w:p>
      <w:pPr>
        <w:pStyle w:val="Normal"/>
        <w:rPr/>
      </w:pPr>
      <w:r>
        <w:rPr/>
        <w:t>Added Flexibility – Perfect can analyze the customer’s environment, and based on their progress in the planned exchange, can provide them with a bigger solution with greater functionality.</w:t>
      </w:r>
    </w:p>
    <w:p>
      <w:pPr>
        <w:pStyle w:val="Normal"/>
        <w:rPr/>
      </w:pPr>
      <w:r>
        <w:rPr/>
      </w:r>
    </w:p>
    <w:p>
      <w:pPr>
        <w:pStyle w:val="Normal"/>
        <w:rPr/>
      </w:pPr>
      <w:r>
        <w:object w:dxaOrig="9405" w:dyaOrig="766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46.8pt;margin-top:-51.05pt;width:471.1pt;height:382.25pt;mso-wrap-distance-left:9.05pt;mso-wrap-distance-right:9.05pt;mso-position-horizontal-relative:text;mso-position-vertical-relative:text" filled="f" o:ole="">
            <v:imagedata r:id="rId5" o:title=""/>
            <w10:wrap type="topAndBottom"/>
          </v:shape>
          <o:OLEObject Type="Embed" ProgID="" ShapeID="ole_rId4" DrawAspect="Content" ObjectID="_483666039" r:id="rId4"/>
        </w:object>
      </w:r>
      <w:r>
        <w:rPr/>
        <w:t>CoBranding Potential – name recognition will increase visibility to customer base….partnering with another company will enable Perfect to use the partner’s name to attract more customers</w:t>
      </w:r>
    </w:p>
    <w:p>
      <w:pPr>
        <w:pStyle w:val="Normal"/>
        <w:rPr/>
      </w:pPr>
      <w:r>
        <w:rPr/>
      </w:r>
    </w:p>
    <w:p>
      <w:pPr>
        <w:pStyle w:val="Normal"/>
        <w:rPr/>
      </w:pPr>
      <w:r>
        <w:rPr/>
        <w:t xml:space="preserve">Scale potential – it’s cheaper for me to provide my service to 1000 customers than to 1 customer – due to increased channels/co-branding, it is likely that the market captured will be larger with partners than without. &lt;Micro book&gt;.  </w:t>
      </w:r>
    </w:p>
    <w:p>
      <w:pPr>
        <w:pStyle w:val="Normal"/>
        <w:rPr/>
      </w:pPr>
      <w:r>
        <w:rPr/>
        <w:t>Scope economies – Partnering with companies with different core competencies enables functionality of solution provided by Perfect to be greater in scope and functionality. &lt; Micro Econ book&gt; This will also enable Perfect &amp; its partners to focus on their core competency.</w:t>
      </w:r>
    </w:p>
    <w:p>
      <w:pPr>
        <w:pStyle w:val="Normal"/>
        <w:rPr/>
      </w:pPr>
      <w:r>
        <w:rPr/>
      </w:r>
    </w:p>
    <w:p>
      <w:pPr>
        <w:pStyle w:val="Normal"/>
        <w:rPr/>
      </w:pPr>
      <w:r>
        <w:rPr/>
        <w:t>Risk of Commoditization – of the partnership.    Since partnerships can be dynamic, If one partnership does get commoditized , Perfect can either dissolve the partnership, or continue w/ the partnership and pursue their point-solution strategy with greater focus.</w:t>
      </w:r>
    </w:p>
    <w:p>
      <w:pPr>
        <w:pStyle w:val="Normal"/>
        <w:rPr/>
      </w:pPr>
      <w:r>
        <w:rPr/>
      </w:r>
    </w:p>
    <w:p>
      <w:pPr>
        <w:pStyle w:val="Normal"/>
        <w:rPr/>
      </w:pPr>
      <w:r>
        <w:rPr/>
        <w:t>Misaligned interests – if a partnership forms, and down the road, each company progresses down different strategies, interest can be misaligned, and place stress on the partnership.</w:t>
      </w:r>
    </w:p>
    <w:p>
      <w:pPr>
        <w:pStyle w:val="Normal"/>
        <w:rPr/>
      </w:pPr>
      <w:r>
        <w:rPr/>
      </w:r>
    </w:p>
    <w:p>
      <w:pPr>
        <w:pStyle w:val="Normal"/>
        <w:rPr/>
      </w:pPr>
      <w:r>
        <w:rPr/>
        <w:t>Reduces strategic flexibility – b/c have complicated decision making, and will now need to convince partner to make a change in direction if market is shifting, etc.</w:t>
      </w:r>
    </w:p>
    <w:p>
      <w:pPr>
        <w:pStyle w:val="Normal"/>
        <w:rPr/>
      </w:pPr>
      <w:r>
        <w:rPr/>
      </w:r>
    </w:p>
    <w:p>
      <w:pPr>
        <w:pStyle w:val="Normal"/>
        <w:rPr/>
      </w:pPr>
      <w:r>
        <w:rPr/>
        <w:t>&lt;Morgan Stanley Report: has list of ~50 plugins – name of game is must have all these oter things….p. 46)</w:t>
      </w:r>
    </w:p>
    <w:p>
      <w:pPr>
        <w:pStyle w:val="Normal"/>
        <w:rPr/>
      </w:pPr>
      <w:r>
        <w:rPr/>
      </w:r>
    </w:p>
    <w:p>
      <w:pPr>
        <w:pStyle w:val="Normal"/>
        <w:rPr/>
      </w:pPr>
      <w:r>
        <w:rPr/>
      </w:r>
    </w:p>
    <w:p>
      <w:pPr>
        <w:pStyle w:val="Normal"/>
        <w:rPr/>
      </w:pPr>
      <w:r>
        <w:rPr/>
        <w:t>Hierarchy:  Top 10 to go for…</w:t>
      </w:r>
    </w:p>
    <w:p>
      <w:pPr>
        <w:pStyle w:val="Normal"/>
        <w:rPr/>
      </w:pPr>
      <w:r>
        <w:rPr/>
      </w:r>
    </w:p>
    <w:p>
      <w:pPr>
        <w:pStyle w:val="Normal"/>
        <w:rPr/>
      </w:pPr>
      <w:r>
        <w:rPr/>
      </w:r>
    </w:p>
    <w:p>
      <w:pPr>
        <w:pStyle w:val="Normal"/>
        <w:rPr/>
      </w:pPr>
      <w:r>
        <w:rPr/>
      </w:r>
    </w:p>
    <w:p>
      <w:pPr>
        <w:pStyle w:val="Normal"/>
        <w:rPr/>
      </w:pPr>
      <w:r>
        <w:rPr/>
      </w:r>
    </w:p>
    <w:p>
      <w:pPr>
        <w:pStyle w:val="Normal"/>
        <w:rPr/>
      </w:pPr>
      <w:r>
        <w:rPr/>
        <w:t>Industry Structure: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Contract</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Dynamic Bid/Ask</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Auction</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Catalog</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Pre-configured</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High volume</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Some systematic buying</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No point negotiating</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Pre-negotiated</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Fluctuating supply/demand</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Excess inventory disposal</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Low volume</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Long-term relationships</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Volatile</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Sourcing</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Differentiated products</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Commodity-like</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Difficult to do dynamic pricing</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Spot-buying</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2000-05-07T15:15:00Z</dcterms:created>
  <dc:creator>Aiaz Kazi</dc:creator>
  <dc:description/>
  <dc:language>en-CA</dc:language>
  <cp:lastModifiedBy>Aiaz Kazi</cp:lastModifiedBy>
  <dcterms:modified xsi:type="dcterms:W3CDTF">2000-05-07T17:32:00Z</dcterms:modified>
  <cp:revision>4</cp:revision>
  <dc:subject/>
  <dc:title>Definitions:</dc:title>
</cp:coreProperties>
</file>