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rPr/>
      </w:pPr>
      <w:r>
        <w:rPr/>
        <w:t>interoffice memorandum</w:t>
      </w:r>
    </w:p>
    <w:p>
      <w:pPr>
        <w:pStyle w:val="MessageHeaderFirst"/>
        <w:rPr/>
      </w:pPr>
      <w:r>
        <w:rPr>
          <w:rStyle w:val="MessageHeaderLabel"/>
        </w:rPr>
        <w:t>to:</w:t>
      </w:r>
      <w:r>
        <w:rPr/>
        <w:tab/>
        <w:t>Larry lawyer</w:t>
      </w:r>
    </w:p>
    <w:p>
      <w:pPr>
        <w:pStyle w:val="MessageHeader"/>
        <w:rPr/>
      </w:pPr>
      <w:r>
        <w:rPr>
          <w:rStyle w:val="MessageHeaderLabel"/>
        </w:rPr>
        <w:t>from:</w:t>
      </w:r>
      <w:r>
        <w:rPr/>
        <w:tab/>
        <w:t>vasant  shanbhogue</w:t>
      </w:r>
    </w:p>
    <w:p>
      <w:pPr>
        <w:pStyle w:val="MessageHeader"/>
        <w:rPr/>
      </w:pPr>
      <w:r>
        <w:rPr>
          <w:rStyle w:val="MessageHeaderLabel"/>
        </w:rPr>
        <w:t>subject:</w:t>
      </w:r>
      <w:r>
        <w:rPr/>
        <w:tab/>
        <w:t>new product origination</w:t>
        <w:tab/>
        <w:tab/>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cc:</w:t>
      </w:r>
      <w:r>
        <w:rPr/>
        <w:tab/>
        <w:t>vince kaminski, nelson neale</w:t>
      </w:r>
    </w:p>
    <w:p>
      <w:pPr>
        <w:pStyle w:val="Normal"/>
        <w:rPr/>
      </w:pPr>
      <w:r>
        <w:rPr/>
        <w:t>Here are some initial thoughts on proceeding with the DuPont analysis ---</w:t>
      </w:r>
    </w:p>
    <w:p>
      <w:pPr>
        <w:pStyle w:val="Normal"/>
        <w:rPr/>
      </w:pPr>
      <w:r>
        <w:rPr/>
      </w:r>
    </w:p>
    <w:p>
      <w:pPr>
        <w:pStyle w:val="BodyText2"/>
        <w:numPr>
          <w:ilvl w:val="0"/>
          <w:numId w:val="2"/>
        </w:numPr>
        <w:rPr/>
      </w:pPr>
      <w:r>
        <w:rPr/>
        <w:t>Identify core commodity exposures, and develop a Value-at-Risk framework ---grouping of commodities, identifying primary and secondary commodities, developing volatility and price assumptions.</w:t>
      </w:r>
    </w:p>
    <w:p>
      <w:pPr>
        <w:pStyle w:val="BodyText2"/>
        <w:numPr>
          <w:ilvl w:val="0"/>
          <w:numId w:val="2"/>
        </w:numPr>
        <w:rPr/>
      </w:pPr>
      <w:r>
        <w:rPr/>
        <w:t>Help DuPont appreciate how the Value-At-Risk tool can be used to evaluate their risk position sensitivities, and to also evaluate future business opportunities.</w:t>
      </w:r>
    </w:p>
    <w:p>
      <w:pPr>
        <w:pStyle w:val="Normal"/>
        <w:numPr>
          <w:ilvl w:val="0"/>
          <w:numId w:val="2"/>
        </w:numPr>
        <w:rPr>
          <w:sz w:val="24"/>
          <w:szCs w:val="18"/>
        </w:rPr>
      </w:pPr>
      <w:r>
        <w:rPr>
          <w:sz w:val="24"/>
          <w:szCs w:val="18"/>
        </w:rPr>
        <w:t>For future purchases and sales contracts, help construct a forward view of prices.  This may involve fundamental analysis of price data, relating prices to supply and demand factors, and past price trends.</w:t>
      </w:r>
    </w:p>
    <w:p>
      <w:pPr>
        <w:pStyle w:val="Normal"/>
        <w:numPr>
          <w:ilvl w:val="0"/>
          <w:numId w:val="2"/>
        </w:numPr>
        <w:rPr>
          <w:sz w:val="24"/>
          <w:szCs w:val="18"/>
        </w:rPr>
      </w:pPr>
      <w:r>
        <w:rPr>
          <w:sz w:val="24"/>
          <w:szCs w:val="18"/>
        </w:rPr>
        <w:t>Identify risk positions that we can help insure, especially tail risk, through our contacts with the insurance community.</w:t>
      </w:r>
    </w:p>
    <w:p>
      <w:pPr>
        <w:pStyle w:val="Normal"/>
        <w:numPr>
          <w:ilvl w:val="0"/>
          <w:numId w:val="2"/>
        </w:numPr>
        <w:rPr>
          <w:sz w:val="24"/>
          <w:szCs w:val="18"/>
        </w:rPr>
      </w:pPr>
      <w:r>
        <w:rPr>
          <w:sz w:val="24"/>
          <w:szCs w:val="18"/>
        </w:rPr>
        <w:t>Identify their cashflow positions, and to the extent they have excess cash, identify ways they can lend it out, and to the extent that they have shortfall of cash, identify ways they can borrow.</w:t>
      </w:r>
    </w:p>
    <w:p>
      <w:pPr>
        <w:pStyle w:val="Normal"/>
        <w:numPr>
          <w:ilvl w:val="0"/>
          <w:numId w:val="2"/>
        </w:numPr>
        <w:rPr>
          <w:sz w:val="24"/>
          <w:szCs w:val="18"/>
        </w:rPr>
      </w:pPr>
      <w:r>
        <w:rPr>
          <w:sz w:val="24"/>
          <w:szCs w:val="18"/>
        </w:rPr>
        <w:t>Similar to (5), but for earnings positions –identify any SFAS 133 issues with them or their suppliers/customers.</w:t>
      </w:r>
    </w:p>
    <w:p>
      <w:pPr>
        <w:pStyle w:val="Normal"/>
        <w:ind w:start="360" w:end="0"/>
        <w:rPr>
          <w:sz w:val="24"/>
          <w:szCs w:val="18"/>
        </w:rPr>
      </w:pPr>
      <w:r>
        <w:rPr>
          <w:sz w:val="24"/>
          <w:szCs w:val="18"/>
        </w:rPr>
      </w:r>
    </w:p>
    <w:p>
      <w:pPr>
        <w:pStyle w:val="Normal"/>
        <w:rPr>
          <w:sz w:val="24"/>
          <w:szCs w:val="18"/>
        </w:rPr>
      </w:pPr>
      <w:r>
        <w:rPr>
          <w:sz w:val="24"/>
          <w:szCs w:val="18"/>
        </w:rPr>
        <w:t>Specifically to DuPont,</w:t>
      </w:r>
    </w:p>
    <w:p>
      <w:pPr>
        <w:pStyle w:val="Normal"/>
        <w:numPr>
          <w:ilvl w:val="0"/>
          <w:numId w:val="3"/>
        </w:numPr>
        <w:rPr>
          <w:sz w:val="24"/>
          <w:szCs w:val="18"/>
        </w:rPr>
      </w:pPr>
      <w:r>
        <w:rPr>
          <w:sz w:val="24"/>
          <w:szCs w:val="18"/>
        </w:rPr>
        <w:t>Identify trends in changing feedstocks for their businesses (for example, more bioengineered products may get used in the future, as compared to petchems).</w:t>
      </w:r>
    </w:p>
    <w:p>
      <w:pPr>
        <w:pStyle w:val="Normal"/>
        <w:numPr>
          <w:ilvl w:val="0"/>
          <w:numId w:val="3"/>
        </w:numPr>
        <w:rPr>
          <w:sz w:val="24"/>
          <w:szCs w:val="18"/>
        </w:rPr>
      </w:pPr>
      <w:r>
        <w:rPr>
          <w:sz w:val="24"/>
          <w:szCs w:val="18"/>
        </w:rPr>
        <w:t>Identify electric power needs, and opportunities for locking in their price.</w:t>
      </w:r>
    </w:p>
    <w:p>
      <w:pPr>
        <w:pStyle w:val="Normal"/>
        <w:numPr>
          <w:ilvl w:val="0"/>
          <w:numId w:val="3"/>
        </w:numPr>
        <w:rPr>
          <w:sz w:val="24"/>
          <w:szCs w:val="18"/>
        </w:rPr>
      </w:pPr>
      <w:r>
        <w:rPr>
          <w:sz w:val="24"/>
          <w:szCs w:val="18"/>
        </w:rPr>
        <w:t>As they operate in 70 countries, identify any F/X risk, interest rate risk, sovereign risk, political risk, as it pertains to cashflow and earnings.</w:t>
      </w:r>
    </w:p>
    <w:p>
      <w:pPr>
        <w:pStyle w:val="Normal"/>
        <w:numPr>
          <w:ilvl w:val="0"/>
          <w:numId w:val="3"/>
        </w:numPr>
        <w:rPr>
          <w:sz w:val="24"/>
          <w:szCs w:val="18"/>
        </w:rPr>
      </w:pPr>
      <w:r>
        <w:rPr>
          <w:sz w:val="24"/>
          <w:szCs w:val="18"/>
        </w:rPr>
        <w:t>Agriculture and Nutrition seems to be their most profitable unit --- maybe we can focus on this to begin with – identify impact of fertilizers on crops, growth potential, weather risk, etc.</w:t>
      </w:r>
    </w:p>
    <w:p>
      <w:pPr>
        <w:pStyle w:val="Normal"/>
        <w:rPr>
          <w:sz w:val="24"/>
          <w:szCs w:val="18"/>
        </w:rPr>
      </w:pPr>
      <w:r>
        <w:rPr>
          <w:sz w:val="24"/>
          <w:szCs w:val="18"/>
        </w:rPr>
      </w:r>
    </w:p>
    <w:p>
      <w:pPr>
        <w:pStyle w:val="Normal"/>
        <w:rPr>
          <w:sz w:val="24"/>
          <w:szCs w:val="18"/>
        </w:rPr>
      </w:pPr>
      <w:r>
        <w:rPr>
          <w:sz w:val="24"/>
          <w:szCs w:val="18"/>
        </w:rPr>
        <w:t>What can we do right now?</w:t>
      </w:r>
    </w:p>
    <w:p>
      <w:pPr>
        <w:pStyle w:val="Normal"/>
        <w:numPr>
          <w:ilvl w:val="0"/>
          <w:numId w:val="4"/>
        </w:numPr>
        <w:rPr>
          <w:sz w:val="24"/>
          <w:szCs w:val="18"/>
        </w:rPr>
      </w:pPr>
      <w:r>
        <w:rPr>
          <w:sz w:val="24"/>
          <w:szCs w:val="18"/>
        </w:rPr>
        <w:t>Set up Value-at-Risk template.</w:t>
      </w:r>
    </w:p>
    <w:p>
      <w:pPr>
        <w:pStyle w:val="Normal"/>
        <w:numPr>
          <w:ilvl w:val="0"/>
          <w:numId w:val="4"/>
        </w:numPr>
        <w:rPr>
          <w:sz w:val="24"/>
          <w:szCs w:val="18"/>
        </w:rPr>
      </w:pPr>
      <w:r>
        <w:rPr>
          <w:sz w:val="24"/>
          <w:szCs w:val="18"/>
        </w:rPr>
        <w:t>Identify commodities that are relevant and for which we can get historical prices, and plan for a fundamental/econometric analysis exercise.</w:t>
      </w:r>
    </w:p>
    <w:p>
      <w:pPr>
        <w:pStyle w:val="Normal"/>
        <w:numPr>
          <w:ilvl w:val="0"/>
          <w:numId w:val="4"/>
        </w:numPr>
        <w:rPr>
          <w:sz w:val="24"/>
          <w:szCs w:val="18"/>
        </w:rPr>
      </w:pPr>
      <w:r>
        <w:rPr>
          <w:sz w:val="24"/>
          <w:szCs w:val="18"/>
        </w:rPr>
        <w:t>List potential finance/tax structures to hedge cashflow/earnings and manage SFAS 133 --- what has Enron done in the past for our internal exposures?</w:t>
      </w:r>
    </w:p>
    <w:p>
      <w:pPr>
        <w:pStyle w:val="Normal"/>
        <w:rPr>
          <w:vanish/>
          <w:sz w:val="24"/>
          <w:szCs w:val="24"/>
        </w:rPr>
      </w:pPr>
      <w:r>
        <w:rPr>
          <w:vanish/>
          <w:sz w:val="24"/>
          <w:szCs w:val="24"/>
        </w:rPr>
      </w:r>
    </w:p>
    <w:p>
      <w:pPr>
        <w:pStyle w:val="BodyText"/>
        <w:spacing w:before="0" w:after="240"/>
        <w:rPr>
          <w:vanish/>
          <w:sz w:val="24"/>
          <w:szCs w:val="24"/>
        </w:rPr>
      </w:pPr>
      <w:r>
        <w:rPr>
          <w:vanish/>
          <w:sz w:val="24"/>
          <w:szCs w:val="24"/>
        </w:rPr>
      </w:r>
    </w:p>
    <w:sectPr>
      <w:footerReference w:type="default" r:id="rId2"/>
      <w:footerReference w:type="first" r:id="rId3"/>
      <w:type w:val="nextPage"/>
      <w:pgSz w:w="12240" w:h="15840"/>
      <w:pgMar w:left="1800" w:right="1800" w:gutter="0" w:header="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2" w:color="000000"/>
      </w:pBdr>
      <w:spacing w:before="600" w:after="0"/>
      <w:ind w:start="4080" w:end="4080"/>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star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2"/>
      <w:szCs w:val="20"/>
      <w:lang w:val="en-US" w:bidi="ar-SA" w:eastAsia="zh-CN"/>
    </w:rPr>
  </w:style>
  <w:style w:type="paragraph" w:styleId="Heading1">
    <w:name w:val="heading 1"/>
    <w:basedOn w:val="Normal"/>
    <w:next w:val="BodyText"/>
    <w:qFormat/>
    <w:pPr>
      <w:keepNext w:val="true"/>
      <w:keepLines/>
      <w:numPr>
        <w:ilvl w:val="0"/>
        <w:numId w:val="1"/>
      </w:numPr>
      <w:spacing w:lineRule="atLeast" w:line="240" w:before="0" w:after="180"/>
      <w:jc w:val="center"/>
      <w:outlineLvl w:val="0"/>
    </w:pPr>
    <w:rPr>
      <w:caps/>
      <w:spacing w:val="20"/>
      <w:kern w:val="2"/>
      <w:sz w:val="18"/>
    </w:rPr>
  </w:style>
  <w:style w:type="paragraph" w:styleId="Heading2">
    <w:name w:val="heading 2"/>
    <w:basedOn w:val="Normal"/>
    <w:next w:val="BodyText"/>
    <w:qFormat/>
    <w:pPr>
      <w:keepNext w:val="true"/>
      <w:keepLines/>
      <w:numPr>
        <w:ilvl w:val="1"/>
        <w:numId w:val="1"/>
      </w:numPr>
      <w:spacing w:lineRule="atLeast" w:line="240" w:before="0" w:after="170"/>
      <w:outlineLvl w:val="1"/>
    </w:pPr>
    <w:rPr>
      <w:rFonts w:ascii="Garamond" w:hAnsi="Garamond" w:cs="Garamond"/>
      <w:caps/>
      <w:kern w:val="2"/>
      <w:sz w:val="22"/>
    </w:rPr>
  </w:style>
  <w:style w:type="paragraph" w:styleId="Heading3">
    <w:name w:val="heading 3"/>
    <w:basedOn w:val="Normal"/>
    <w:next w:val="BodyText"/>
    <w:qFormat/>
    <w:pPr>
      <w:keepNext w:val="true"/>
      <w:keepLines/>
      <w:numPr>
        <w:ilvl w:val="2"/>
        <w:numId w:val="1"/>
      </w:numPr>
      <w:spacing w:lineRule="atLeast" w:line="240" w:before="0" w:after="240"/>
      <w:outlineLvl w:val="2"/>
    </w:pPr>
    <w:rPr>
      <w:rFonts w:ascii="Garamond" w:hAnsi="Garamond" w:cs="Garamond"/>
      <w:i/>
      <w:kern w:val="2"/>
      <w:sz w:val="22"/>
    </w:rPr>
  </w:style>
  <w:style w:type="paragraph" w:styleId="Heading4">
    <w:name w:val="heading 4"/>
    <w:basedOn w:val="Normal"/>
    <w:next w:val="BodyText"/>
    <w:qFormat/>
    <w:pPr>
      <w:keepNext w:val="true"/>
      <w:keepLines/>
      <w:numPr>
        <w:ilvl w:val="3"/>
        <w:numId w:val="1"/>
      </w:numPr>
      <w:spacing w:lineRule="atLeast" w:line="240"/>
      <w:outlineLvl w:val="3"/>
    </w:pPr>
    <w:rPr>
      <w:caps/>
      <w:kern w:val="2"/>
      <w:sz w:val="18"/>
    </w:rPr>
  </w:style>
  <w:style w:type="paragraph" w:styleId="Heading5">
    <w:name w:val="heading 5"/>
    <w:basedOn w:val="Normal"/>
    <w:next w:val="BodyText"/>
    <w:qFormat/>
    <w:pPr>
      <w:keepNext w:val="true"/>
      <w:keepLines/>
      <w:numPr>
        <w:ilvl w:val="4"/>
        <w:numId w:val="1"/>
      </w:numPr>
      <w:spacing w:lineRule="atLeast" w:line="240"/>
      <w:outlineLvl w:val="4"/>
    </w:pPr>
    <w:rPr>
      <w:rFonts w:ascii="Garamond" w:hAnsi="Garamond" w:cs="Garamond"/>
      <w:kern w:val="2"/>
      <w:sz w:val="22"/>
    </w:rPr>
  </w:style>
  <w:style w:type="character" w:styleId="DefaultParagraphFont">
    <w:name w:val="Default Paragraph Font"/>
    <w:qFormat/>
    <w:rPr/>
  </w:style>
  <w:style w:type="character" w:styleId="MessageHeaderLabel">
    <w:name w:val="Message Header Label"/>
    <w:qFormat/>
    <w:rPr>
      <w:b/>
      <w:sz w:val="18"/>
    </w:rPr>
  </w:style>
  <w:style w:type="character" w:styleId="PageNumber">
    <w:name w:val="page number"/>
    <w:rPr/>
  </w:style>
  <w:style w:type="character" w:styleId="Slogan">
    <w:name w:val="Slogan"/>
    <w:basedOn w:val="DefaultParagraphFont"/>
    <w:qFormat/>
    <w:rPr>
      <w:i/>
      <w:spacing w:val="70"/>
      <w:sz w:val="21"/>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jc w:val="both"/>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next w:val="Normal"/>
    <w:qFormat/>
    <w:pPr>
      <w:spacing w:lineRule="atLeast" w:line="220"/>
    </w:pPr>
    <w:rPr>
      <w:rFonts w:ascii="Garamond" w:hAnsi="Garamond" w:cs="Garamond"/>
      <w:sz w:val="22"/>
    </w:rPr>
  </w:style>
  <w:style w:type="paragraph" w:styleId="CompanyName">
    <w:name w:val="Company Name"/>
    <w:basedOn w:val="BodyText"/>
    <w:qFormat/>
    <w:pPr>
      <w:keepLines/>
      <w:spacing w:before="0" w:after="40"/>
      <w:ind w:hanging="0" w:start="0" w:end="0"/>
      <w:jc w:val="center"/>
    </w:pPr>
    <w:rPr>
      <w:caps/>
      <w:spacing w:val="75"/>
    </w:rPr>
  </w:style>
  <w:style w:type="paragraph" w:styleId="DocumentLabel">
    <w:name w:val="Document Label"/>
    <w:next w:val="Normal"/>
    <w:qFormat/>
    <w:pPr>
      <w:widowControl/>
      <w:pBdr>
        <w:top w:val="double" w:sz="6" w:space="8" w:color="808080"/>
        <w:bottom w:val="double" w:sz="6" w:space="8" w:color="808080"/>
      </w:pBdr>
      <w:bidi w:val="0"/>
      <w:spacing w:lineRule="atLeast" w:line="240" w:before="0" w:after="40"/>
      <w:jc w:val="center"/>
    </w:pPr>
    <w:rPr>
      <w:rFonts w:ascii="Garamond" w:hAnsi="Garamond" w:eastAsia="Times New Roman" w:cs="Garamond"/>
      <w:b/>
      <w:caps/>
      <w:color w:val="auto"/>
      <w:spacing w:val="20"/>
      <w:sz w:val="18"/>
      <w:szCs w:val="20"/>
      <w:lang w:val="en-US" w:bidi="ar-SA" w:eastAsia="zh-CN"/>
    </w:rPr>
  </w:style>
  <w:style w:type="paragraph" w:styleId="Enclosure">
    <w:name w:val="Enclosure"/>
    <w:basedOn w:val="BodyText"/>
    <w:next w:val="Normal"/>
    <w:qFormat/>
    <w:pPr>
      <w:keepLines/>
      <w:spacing w:before="220" w:after="240"/>
      <w:ind w:hanging="0" w:start="0" w:end="0"/>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ind w:hanging="0" w:start="0" w:end="-240"/>
      <w:jc w:val="center"/>
    </w:pPr>
    <w:rPr>
      <w:kern w:val="2"/>
    </w:rPr>
  </w:style>
  <w:style w:type="paragraph" w:styleId="Header">
    <w:name w:val="header"/>
    <w:basedOn w:val="HeaderBase"/>
    <w:pPr>
      <w:spacing w:before="0" w:after="660"/>
      <w:ind w:hanging="0" w:start="0" w:end="0"/>
      <w:jc w:val="center"/>
    </w:pPr>
    <w:rPr>
      <w:caps/>
      <w:kern w:val="2"/>
      <w:sz w:val="18"/>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MessageHeader">
    <w:name w:val="Message Header"/>
    <w:basedOn w:val="BodyText"/>
    <w:qFormat/>
    <w:pPr>
      <w:keepLines/>
      <w:spacing w:before="0" w:after="120"/>
      <w:ind w:hanging="1080" w:start="1080" w:end="0"/>
      <w:jc w:val="start"/>
    </w:pPr>
    <w:rPr>
      <w:caps/>
      <w:sz w:val="18"/>
    </w:rPr>
  </w:style>
  <w:style w:type="paragraph" w:styleId="MessageHeaderFirst">
    <w:name w:val="Message Header First"/>
    <w:basedOn w:val="MessageHeader"/>
    <w:next w:val="MessageHeader"/>
    <w:qFormat/>
    <w:pPr>
      <w:spacing w:before="360" w:after="120"/>
    </w:pPr>
    <w:rPr/>
  </w:style>
  <w:style w:type="paragraph" w:styleId="MessageHeaderLast">
    <w:name w:val="Message Header Last"/>
    <w:basedOn w:val="MessageHeader"/>
    <w:next w:val="BodyText"/>
    <w:qFormat/>
    <w:pPr>
      <w:pBdr>
        <w:bottom w:val="single" w:sz="6" w:space="18" w:color="808080"/>
      </w:pBdr>
      <w:spacing w:before="0" w:after="360"/>
    </w:pPr>
    <w:rPr/>
  </w:style>
  <w:style w:type="paragraph" w:styleId="NormalIndent">
    <w:name w:val="Normal Indent"/>
    <w:basedOn w:val="Normal"/>
    <w:qFormat/>
    <w:pPr>
      <w:ind w:hanging="0" w:start="720" w:end="0"/>
    </w:pPr>
    <w:rPr/>
  </w:style>
  <w:style w:type="paragraph" w:styleId="ReturnAddress">
    <w:name w:val="Return Address"/>
    <w:qFormat/>
    <w:pPr>
      <w:widowControl/>
      <w:bidi w:val="0"/>
      <w:spacing w:lineRule="atLeast" w:line="240"/>
      <w:ind w:hanging="0" w:start="0" w:end="-240"/>
      <w:jc w:val="center"/>
    </w:pPr>
    <w:rPr>
      <w:rFonts w:ascii="Garamond" w:hAnsi="Garamond" w:eastAsia="Times New Roman" w:cs="Garamond"/>
      <w:caps/>
      <w:color w:val="auto"/>
      <w:spacing w:val="30"/>
      <w:sz w:val="15"/>
      <w:szCs w:val="20"/>
      <w:lang w:val="en-US" w:bidi="ar-SA" w:eastAsia="zh-CN"/>
    </w:rPr>
  </w:style>
  <w:style w:type="paragraph" w:styleId="Signature">
    <w:name w:val="Signature"/>
    <w:basedOn w:val="BodyText"/>
    <w:next w:val="Normal"/>
    <w:pPr>
      <w:keepNext w:val="true"/>
      <w:keepLines/>
      <w:spacing w:before="660" w:after="0"/>
    </w:pPr>
    <w:rPr/>
  </w:style>
  <w:style w:type="paragraph" w:styleId="SignatureJobTitle">
    <w:name w:val="Signature Job Title"/>
    <w:basedOn w:val="Signature"/>
    <w:next w:val="Normal"/>
    <w:qFormat/>
    <w:pPr>
      <w:spacing w:before="0" w:after="0"/>
      <w:ind w:hanging="0" w:start="0" w:end="0"/>
    </w:pPr>
    <w:rPr/>
  </w:style>
  <w:style w:type="paragraph" w:styleId="SignatureName">
    <w:name w:val="Signature Name"/>
    <w:basedOn w:val="Signature"/>
    <w:next w:val="SignatureJobTitle"/>
    <w:qFormat/>
    <w:pPr>
      <w:ind w:hanging="0" w:start="0" w:end="0"/>
    </w:pPr>
    <w:rPr/>
  </w:style>
  <w:style w:type="paragraph" w:styleId="BodyText2">
    <w:name w:val="Body Text 2"/>
    <w:basedOn w:val="Normal"/>
    <w:qFormat/>
    <w:pPr/>
    <w:rPr>
      <w:sz w:val="24"/>
      <w:szCs w:val="18"/>
    </w:rPr>
  </w:style>
  <w:style w:type="paragraph" w:styleId="BodyTextIndent">
    <w:name w:val="Body Text Indent"/>
    <w:basedOn w:val="Normal"/>
    <w:pPr>
      <w:ind w:hanging="0" w:start="360" w:end="0"/>
    </w:pPr>
    <w:rPr>
      <w:sz w:val="24"/>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Elegant Memo.dot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2001-10-12T11:55:00Z</dcterms:created>
  <dc:creator>vshanbh</dc:creator>
  <dc:description/>
  <dc:language>en-CA</dc:language>
  <cp:lastModifiedBy>vshanbh</cp:lastModifiedBy>
  <dcterms:modified xsi:type="dcterms:W3CDTF">2001-10-12T12:12:00Z</dcterms:modified>
  <cp:revision>3</cp:revision>
  <dc:subject/>
  <dc:title>Elegant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