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Information for May 9, 2001 Meeting of WGA</w:t>
      </w:r>
    </w:p>
    <w:p>
      <w:pPr>
        <w:pStyle w:val="Normal"/>
        <w:jc w:val="center"/>
        <w:rPr>
          <w:b/>
          <w:bCs/>
          <w:u w:val="single"/>
        </w:rPr>
      </w:pPr>
      <w:r>
        <w:rPr>
          <w:b/>
          <w:bCs/>
          <w:u w:val="single"/>
        </w:rPr>
        <w:t>On Western Transmission Issues</w:t>
      </w:r>
    </w:p>
    <w:p>
      <w:pPr>
        <w:pStyle w:val="Normal"/>
        <w:jc w:val="center"/>
        <w:rPr>
          <w:b/>
          <w:bCs/>
          <w:u w:val="single"/>
        </w:rPr>
      </w:pPr>
      <w:r>
        <w:rPr>
          <w:b/>
          <w:bCs/>
          <w:u w:val="single"/>
        </w:rPr>
        <w:t>(Revised May 5, 2001)</w:t>
      </w:r>
    </w:p>
    <w:p>
      <w:pPr>
        <w:pStyle w:val="Normal"/>
        <w:jc w:val="center"/>
        <w:rPr>
          <w:b/>
          <w:bCs/>
          <w:u w:val="single"/>
        </w:rPr>
      </w:pPr>
      <w:r>
        <w:rPr>
          <w:b/>
          <w:bCs/>
          <w:u w:val="single"/>
        </w:rPr>
      </w:r>
    </w:p>
    <w:p>
      <w:pPr>
        <w:pStyle w:val="Normal"/>
        <w:numPr>
          <w:ilvl w:val="0"/>
          <w:numId w:val="1"/>
        </w:numPr>
        <w:rPr/>
      </w:pPr>
      <w:r>
        <w:rPr>
          <w:u w:val="single"/>
        </w:rPr>
        <w:t>Slides</w:t>
      </w:r>
      <w:r>
        <w:rPr/>
        <w:t>:  I have enclosed a copy of the slides, which I prepared for a talk on 22 May in Denver entitled, “</w:t>
      </w:r>
      <w:r>
        <w:rPr>
          <w:rFonts w:cs="Arial"/>
          <w:szCs w:val="44"/>
        </w:rPr>
        <w:t>Developing a Transmission Expansion Business Model”</w:t>
      </w:r>
      <w:r>
        <w:rPr/>
        <w:t xml:space="preserve"> in the e-mail transmitting this document.</w:t>
      </w:r>
    </w:p>
    <w:p>
      <w:pPr>
        <w:pStyle w:val="Normal"/>
        <w:ind w:start="360" w:end="0"/>
        <w:rPr/>
      </w:pPr>
      <w:r>
        <w:rPr/>
      </w:r>
    </w:p>
    <w:p>
      <w:pPr>
        <w:pStyle w:val="Normal"/>
        <w:numPr>
          <w:ilvl w:val="0"/>
          <w:numId w:val="1"/>
        </w:numPr>
        <w:rPr/>
      </w:pPr>
      <w:r>
        <w:rPr>
          <w:u w:val="single"/>
        </w:rPr>
        <w:t>Status of FTR discussions for RTO West</w:t>
      </w:r>
      <w:r>
        <w:rPr/>
        <w:t>:</w:t>
      </w:r>
    </w:p>
    <w:p>
      <w:pPr>
        <w:pStyle w:val="Normal"/>
        <w:numPr>
          <w:ilvl w:val="1"/>
          <w:numId w:val="1"/>
        </w:numPr>
        <w:rPr/>
      </w:pPr>
      <w:r>
        <w:rPr/>
        <w:t>In the filing made October 23, 2000, the Filing Utilities put forward a plan to convert all usage of Filing Utilities to FTRs under the RTO Tariff.</w:t>
      </w:r>
    </w:p>
    <w:p>
      <w:pPr>
        <w:pStyle w:val="Normal"/>
        <w:numPr>
          <w:ilvl w:val="2"/>
          <w:numId w:val="1"/>
        </w:numPr>
        <w:rPr/>
      </w:pPr>
      <w:r>
        <w:rPr/>
        <w:t>Conversion of rights would occur by allocation of capacity to cover both load service obligations (native load) and contractual obligations.</w:t>
      </w:r>
    </w:p>
    <w:p>
      <w:pPr>
        <w:pStyle w:val="Normal"/>
        <w:numPr>
          <w:ilvl w:val="3"/>
          <w:numId w:val="1"/>
        </w:numPr>
        <w:rPr/>
      </w:pPr>
      <w:r>
        <w:rPr/>
        <w:t xml:space="preserve">Future allocations would provide for load growth up to the limit of existing capacity. </w:t>
      </w:r>
    </w:p>
    <w:p>
      <w:pPr>
        <w:pStyle w:val="Normal"/>
        <w:numPr>
          <w:ilvl w:val="3"/>
          <w:numId w:val="1"/>
        </w:numPr>
        <w:rPr/>
      </w:pPr>
      <w:r>
        <w:rPr/>
        <w:t>The contracts to be converted have been cataloged.</w:t>
      </w:r>
    </w:p>
    <w:p>
      <w:pPr>
        <w:pStyle w:val="Normal"/>
        <w:numPr>
          <w:ilvl w:val="3"/>
          <w:numId w:val="1"/>
        </w:numPr>
        <w:rPr/>
      </w:pPr>
      <w:r>
        <w:rPr/>
        <w:t xml:space="preserve">The conversion/allocation process will use a “feasible dispatch” approach with each Filing utility specifying an on and off peak dispatch for each month of the year.  </w:t>
      </w:r>
    </w:p>
    <w:p>
      <w:pPr>
        <w:pStyle w:val="Normal"/>
        <w:numPr>
          <w:ilvl w:val="2"/>
          <w:numId w:val="1"/>
        </w:numPr>
        <w:rPr/>
      </w:pPr>
      <w:r>
        <w:rPr/>
        <w:t>Unallocated capacity from the existing system would be annually auctioned as FTRs.</w:t>
      </w:r>
    </w:p>
    <w:p>
      <w:pPr>
        <w:pStyle w:val="Normal"/>
        <w:numPr>
          <w:ilvl w:val="2"/>
          <w:numId w:val="1"/>
        </w:numPr>
        <w:rPr/>
      </w:pPr>
      <w:r>
        <w:rPr/>
        <w:t>Finalization of the conversion/allocation process is dependent on finishing the development of the congestion management system.</w:t>
      </w:r>
    </w:p>
    <w:p>
      <w:pPr>
        <w:pStyle w:val="Normal"/>
        <w:numPr>
          <w:ilvl w:val="1"/>
          <w:numId w:val="1"/>
        </w:numPr>
        <w:rPr/>
      </w:pPr>
      <w:r>
        <w:rPr/>
        <w:t>FERC did not rule on the matter in the recent order.</w:t>
      </w:r>
    </w:p>
    <w:p>
      <w:pPr>
        <w:pStyle w:val="Normal"/>
        <w:numPr>
          <w:ilvl w:val="2"/>
          <w:numId w:val="1"/>
        </w:numPr>
        <w:rPr/>
      </w:pPr>
      <w:r>
        <w:rPr/>
        <w:t xml:space="preserve">RTO West asked for a declaratory order only on governance &amp; liability.  </w:t>
      </w:r>
    </w:p>
    <w:p>
      <w:pPr>
        <w:pStyle w:val="Normal"/>
        <w:numPr>
          <w:ilvl w:val="2"/>
          <w:numId w:val="1"/>
        </w:numPr>
        <w:rPr/>
      </w:pPr>
      <w:r>
        <w:rPr/>
        <w:t xml:space="preserve">The allocation is issue is covered in the Transmission Operating Agreement (TOA). </w:t>
      </w:r>
    </w:p>
    <w:p>
      <w:pPr>
        <w:pStyle w:val="Normal"/>
        <w:numPr>
          <w:ilvl w:val="3"/>
          <w:numId w:val="1"/>
        </w:numPr>
        <w:rPr/>
      </w:pPr>
      <w:r>
        <w:rPr/>
        <w:t>RTO West submitted the TOA but only asked for guidance on its general acceptability.</w:t>
      </w:r>
    </w:p>
    <w:p>
      <w:pPr>
        <w:pStyle w:val="Normal"/>
        <w:numPr>
          <w:ilvl w:val="3"/>
          <w:numId w:val="1"/>
        </w:numPr>
        <w:rPr/>
      </w:pPr>
      <w:r>
        <w:rPr/>
        <w:t>FERC declined to offer such guidance by silence.</w:t>
      </w:r>
    </w:p>
    <w:p>
      <w:pPr>
        <w:pStyle w:val="Normal"/>
        <w:numPr>
          <w:ilvl w:val="3"/>
          <w:numId w:val="1"/>
        </w:numPr>
        <w:rPr/>
      </w:pPr>
      <w:r>
        <w:rPr/>
        <w:t>FERC did rule that a similar allocation plan to be acceptable in the Grid Florida order.</w:t>
      </w:r>
    </w:p>
    <w:p>
      <w:pPr>
        <w:pStyle w:val="Normal"/>
        <w:numPr>
          <w:ilvl w:val="1"/>
          <w:numId w:val="1"/>
        </w:numPr>
        <w:rPr/>
      </w:pPr>
      <w:r>
        <w:rPr/>
        <w:t>The details of the congestion management process are still under discussion</w:t>
      </w:r>
    </w:p>
    <w:p>
      <w:pPr>
        <w:pStyle w:val="Normal"/>
        <w:numPr>
          <w:ilvl w:val="2"/>
          <w:numId w:val="1"/>
        </w:numPr>
        <w:rPr/>
      </w:pPr>
      <w:r>
        <w:rPr/>
        <w:t>The number of zones, identification of paths, usage thresholds etc. are being finalized.</w:t>
      </w:r>
    </w:p>
    <w:p>
      <w:pPr>
        <w:pStyle w:val="Normal"/>
        <w:numPr>
          <w:ilvl w:val="2"/>
          <w:numId w:val="1"/>
        </w:numPr>
        <w:rPr>
          <w:u w:val="single"/>
        </w:rPr>
      </w:pPr>
      <w:r>
        <w:rPr/>
        <w:t>Expect this decision to be made by early summer.</w:t>
      </w:r>
    </w:p>
    <w:p>
      <w:pPr>
        <w:pStyle w:val="Normal"/>
        <w:rPr>
          <w:u w:val="single"/>
        </w:rPr>
      </w:pPr>
      <w:r>
        <w:rPr>
          <w:u w:val="single"/>
        </w:rPr>
      </w:r>
    </w:p>
    <w:p>
      <w:pPr>
        <w:pStyle w:val="Normal"/>
        <w:numPr>
          <w:ilvl w:val="0"/>
          <w:numId w:val="1"/>
        </w:numPr>
        <w:rPr>
          <w:u w:val="single"/>
        </w:rPr>
      </w:pPr>
      <w:r>
        <w:rPr>
          <w:u w:val="single"/>
        </w:rPr>
        <w:t>Seams Discussions</w:t>
      </w:r>
      <w:r>
        <w:rPr/>
        <w:t>:  The Western Market Interface Committee (WMIC) organized a joint task force of the three RTOs (DSTAR, RTO West &amp; CAISO) and of marketers.  I am a member of the task force.  Monthly meetings have been held since last November.  The following issues have been identified as seams issues:</w:t>
      </w:r>
    </w:p>
    <w:p>
      <w:pPr>
        <w:pStyle w:val="Normal"/>
        <w:numPr>
          <w:ilvl w:val="1"/>
          <w:numId w:val="1"/>
        </w:numPr>
        <w:rPr>
          <w:u w:val="single"/>
        </w:rPr>
      </w:pPr>
      <w:r>
        <w:rPr/>
        <w:t>Operational timing issues:</w:t>
      </w:r>
    </w:p>
    <w:p>
      <w:pPr>
        <w:pStyle w:val="Normal"/>
        <w:numPr>
          <w:ilvl w:val="2"/>
          <w:numId w:val="1"/>
        </w:numPr>
        <w:rPr>
          <w:u w:val="single"/>
        </w:rPr>
      </w:pPr>
      <w:r>
        <w:rPr/>
        <w:t>Typical concerns -- when does scheduling occur, when do markets open and close etc.</w:t>
      </w:r>
    </w:p>
    <w:p>
      <w:pPr>
        <w:pStyle w:val="Normal"/>
        <w:numPr>
          <w:ilvl w:val="2"/>
          <w:numId w:val="1"/>
        </w:numPr>
        <w:rPr>
          <w:u w:val="single"/>
        </w:rPr>
      </w:pPr>
      <w:r>
        <w:rPr/>
        <w:t xml:space="preserve">Result – Group found that there was potential mismatch in procedures, but since RTO West and DSTAR have not yet started up, the will adjust their timing of operational deadlines to synchronize these activities when they are formed.  </w:t>
      </w:r>
    </w:p>
    <w:p>
      <w:pPr>
        <w:pStyle w:val="Normal"/>
        <w:numPr>
          <w:ilvl w:val="1"/>
          <w:numId w:val="1"/>
        </w:numPr>
        <w:rPr>
          <w:u w:val="single"/>
        </w:rPr>
      </w:pPr>
      <w:r>
        <w:rPr/>
        <w:t>FTR definitions and Loop Flow:</w:t>
      </w:r>
    </w:p>
    <w:p>
      <w:pPr>
        <w:pStyle w:val="Normal"/>
        <w:numPr>
          <w:ilvl w:val="2"/>
          <w:numId w:val="1"/>
        </w:numPr>
        <w:rPr>
          <w:u w:val="single"/>
        </w:rPr>
      </w:pPr>
      <w:r>
        <w:rPr/>
        <w:t xml:space="preserve">Both RTO West and DSTAR are proposing flow based, physical rights congestion management systems.  </w:t>
      </w:r>
    </w:p>
    <w:p>
      <w:pPr>
        <w:pStyle w:val="Normal"/>
        <w:numPr>
          <w:ilvl w:val="2"/>
          <w:numId w:val="1"/>
        </w:numPr>
        <w:rPr>
          <w:u w:val="single"/>
        </w:rPr>
      </w:pPr>
      <w:r>
        <w:rPr/>
        <w:t>At least until the change in its board, CAISO was also moving in this same direction.</w:t>
      </w:r>
    </w:p>
    <w:p>
      <w:pPr>
        <w:pStyle w:val="Normal"/>
        <w:numPr>
          <w:ilvl w:val="2"/>
          <w:numId w:val="1"/>
        </w:numPr>
        <w:rPr>
          <w:u w:val="single"/>
        </w:rPr>
      </w:pPr>
      <w:r>
        <w:rPr/>
        <w:t xml:space="preserve">Discussion has centered on how these flow based systems would be managed.  Recent discussion suggest the possible approach – </w:t>
      </w:r>
    </w:p>
    <w:p>
      <w:pPr>
        <w:pStyle w:val="Normal"/>
        <w:numPr>
          <w:ilvl w:val="3"/>
          <w:numId w:val="1"/>
        </w:numPr>
        <w:rPr>
          <w:u w:val="single"/>
        </w:rPr>
      </w:pPr>
      <w:r>
        <w:rPr/>
        <w:t>Initially, each RTO to would issue FTRs for its system using the coordinated WSCC ratings and with phase shifter operation could be modified to control to inter-RTO schedules if necessary.</w:t>
      </w:r>
    </w:p>
    <w:p>
      <w:pPr>
        <w:pStyle w:val="Normal"/>
        <w:numPr>
          <w:ilvl w:val="3"/>
          <w:numId w:val="1"/>
        </w:numPr>
        <w:rPr>
          <w:u w:val="single"/>
        </w:rPr>
      </w:pPr>
      <w:r>
        <w:rPr/>
        <w:t xml:space="preserve">When all three RTOs are up and running, move to simultaneous issuance/auction of FTRs with fully coordinated flow based scheduling.  </w:t>
      </w:r>
    </w:p>
    <w:p>
      <w:pPr>
        <w:pStyle w:val="Normal"/>
        <w:numPr>
          <w:ilvl w:val="1"/>
          <w:numId w:val="1"/>
        </w:numPr>
        <w:rPr>
          <w:u w:val="single"/>
        </w:rPr>
      </w:pPr>
      <w:r>
        <w:rPr/>
        <w:t>Export Fees (De-pancaking between RTOs):</w:t>
      </w:r>
    </w:p>
    <w:p>
      <w:pPr>
        <w:pStyle w:val="Normal"/>
        <w:numPr>
          <w:ilvl w:val="2"/>
          <w:numId w:val="1"/>
        </w:numPr>
        <w:rPr>
          <w:u w:val="single"/>
        </w:rPr>
      </w:pPr>
      <w:r>
        <w:rPr/>
        <w:t>Although within each RTO, load based access fees eliminate pancaking, export fees between RTOs add a bias to inter-RTO trade.</w:t>
      </w:r>
    </w:p>
    <w:p>
      <w:pPr>
        <w:pStyle w:val="Normal"/>
        <w:numPr>
          <w:ilvl w:val="2"/>
          <w:numId w:val="1"/>
        </w:numPr>
        <w:rPr>
          <w:u w:val="single"/>
        </w:rPr>
      </w:pPr>
      <w:r>
        <w:rPr/>
        <w:t>The concept of a reciprocity agreement has been discussed, but not much progress on this issue of late.</w:t>
      </w:r>
    </w:p>
    <w:p>
      <w:pPr>
        <w:pStyle w:val="Normal"/>
        <w:rPr>
          <w:u w:val="single"/>
        </w:rPr>
      </w:pPr>
      <w:r>
        <w:rPr>
          <w:u w:val="single"/>
        </w:rPr>
      </w:r>
    </w:p>
    <w:p>
      <w:pPr>
        <w:pStyle w:val="Normal"/>
        <w:numPr>
          <w:ilvl w:val="0"/>
          <w:numId w:val="1"/>
        </w:numPr>
        <w:rPr>
          <w:u w:val="single"/>
        </w:rPr>
      </w:pPr>
      <w:r>
        <w:rPr>
          <w:u w:val="single"/>
        </w:rPr>
        <w:t>Newly proposed construction to raise capacity at major constraints</w:t>
      </w:r>
      <w:r>
        <w:rPr/>
        <w:t xml:space="preserve">:  Some caution should be exercised with this information.  Both plans look something like a planners wish list. Economic justification has yet to be developed.    </w:t>
      </w:r>
    </w:p>
    <w:p>
      <w:pPr>
        <w:pStyle w:val="Normal"/>
        <w:numPr>
          <w:ilvl w:val="1"/>
          <w:numId w:val="1"/>
        </w:numPr>
        <w:rPr>
          <w:u w:val="single"/>
        </w:rPr>
      </w:pPr>
      <w:r>
        <w:rPr/>
        <w:t>Bonneville  -- Public information (See NWPlans.ppt for graphics)</w:t>
      </w:r>
    </w:p>
    <w:p>
      <w:pPr>
        <w:pStyle w:val="Normal"/>
        <w:numPr>
          <w:ilvl w:val="2"/>
          <w:numId w:val="1"/>
        </w:numPr>
        <w:rPr>
          <w:u w:val="single"/>
        </w:rPr>
      </w:pPr>
      <w:r>
        <w:rPr/>
        <w:t>$475 million for expected generation integration (~20%)</w:t>
      </w:r>
    </w:p>
    <w:p>
      <w:pPr>
        <w:pStyle w:val="Normal"/>
        <w:numPr>
          <w:ilvl w:val="2"/>
          <w:numId w:val="1"/>
        </w:numPr>
        <w:rPr>
          <w:u w:val="single"/>
        </w:rPr>
      </w:pPr>
      <w:r>
        <w:rPr/>
        <w:t>$435 million for expansion on constrained paths (~20%)</w:t>
      </w:r>
    </w:p>
    <w:p>
      <w:pPr>
        <w:pStyle w:val="Normal"/>
        <w:numPr>
          <w:ilvl w:val="2"/>
          <w:numId w:val="1"/>
        </w:numPr>
        <w:rPr>
          <w:u w:val="single"/>
        </w:rPr>
      </w:pPr>
      <w:r>
        <w:rPr/>
        <w:t>Balance of 5 year total ($2,200 million) for replacements and internal reinforcement to serve loads.</w:t>
      </w:r>
    </w:p>
    <w:p>
      <w:pPr>
        <w:pStyle w:val="Normal"/>
        <w:numPr>
          <w:ilvl w:val="1"/>
          <w:numId w:val="1"/>
        </w:numPr>
        <w:rPr>
          <w:u w:val="single"/>
        </w:rPr>
      </w:pPr>
      <w:r>
        <w:rPr/>
        <w:t xml:space="preserve">PacifiCorp -- </w:t>
      </w:r>
      <w:r>
        <w:rPr>
          <w:b/>
          <w:bCs/>
          <w:i/>
          <w:iCs/>
        </w:rPr>
        <w:t>Unannounced plans</w:t>
      </w:r>
      <w:r>
        <w:rPr/>
        <w:t xml:space="preserve"> </w:t>
      </w:r>
      <w:r>
        <w:rPr>
          <w:b/>
          <w:bCs/>
          <w:i/>
          <w:iCs/>
        </w:rPr>
        <w:t>for information only:</w:t>
      </w:r>
    </w:p>
    <w:p>
      <w:pPr>
        <w:pStyle w:val="Normal"/>
        <w:numPr>
          <w:ilvl w:val="2"/>
          <w:numId w:val="1"/>
        </w:numPr>
        <w:rPr>
          <w:u w:val="single"/>
        </w:rPr>
      </w:pPr>
      <w:r>
        <w:rPr/>
        <w:t>Series of projects for expanding “east side” backbone (See NWPlans.ppt for sketch) – Northwest to Idaho, Idaho to Utah and Utah to Arizona and Nevada. Cost about $1,400 million.</w:t>
      </w:r>
    </w:p>
    <w:p>
      <w:pPr>
        <w:pStyle w:val="Normal"/>
        <w:numPr>
          <w:ilvl w:val="2"/>
          <w:numId w:val="1"/>
        </w:numPr>
        <w:rPr>
          <w:u w:val="single"/>
        </w:rPr>
      </w:pPr>
      <w:r>
        <w:rPr/>
        <w:t>Added potential projects into Wyoming and Colorado. Cost about $900 million.</w:t>
      </w:r>
    </w:p>
    <w:p>
      <w:pPr>
        <w:pStyle w:val="Normal"/>
        <w:ind w:start="1980" w:end="0"/>
        <w:rPr>
          <w:u w:val="single"/>
        </w:rPr>
      </w:pPr>
      <w:r>
        <w:rPr>
          <w:u w:val="single"/>
        </w:rPr>
      </w:r>
    </w:p>
    <w:p>
      <w:pPr>
        <w:pStyle w:val="Normal"/>
        <w:numPr>
          <w:ilvl w:val="0"/>
          <w:numId w:val="1"/>
        </w:numPr>
        <w:rPr/>
      </w:pPr>
      <w:r>
        <w:rPr>
          <w:u w:val="single"/>
        </w:rPr>
        <w:t>Approximate Costs</w:t>
      </w:r>
      <w:r>
        <w:rPr/>
        <w:t>:  The following are “ball park” ranges for the cost of high voltage transmission lines:</w:t>
      </w:r>
    </w:p>
    <w:p>
      <w:pPr>
        <w:pStyle w:val="Normal"/>
        <w:numPr>
          <w:ilvl w:val="1"/>
          <w:numId w:val="1"/>
        </w:numPr>
        <w:rPr/>
      </w:pPr>
      <w:r>
        <w:rPr/>
        <w:t>230 kV, approx., $200,000 to $200,000 per mile</w:t>
      </w:r>
    </w:p>
    <w:p>
      <w:pPr>
        <w:pStyle w:val="Normal"/>
        <w:numPr>
          <w:ilvl w:val="1"/>
          <w:numId w:val="1"/>
        </w:numPr>
        <w:rPr/>
      </w:pPr>
      <w:r>
        <w:rPr/>
        <w:t>345 kV, approx. $400,000 to $500,000 per mile</w:t>
      </w:r>
    </w:p>
    <w:p>
      <w:pPr>
        <w:pStyle w:val="Normal"/>
        <w:numPr>
          <w:ilvl w:val="1"/>
          <w:numId w:val="1"/>
        </w:numPr>
        <w:rPr>
          <w:u w:val="single"/>
        </w:rPr>
      </w:pPr>
      <w:r>
        <w:rPr/>
        <w:t xml:space="preserve">500 kV, approx. $750,000 to $1,000,000 per mile </w:t>
      </w:r>
    </w:p>
    <w:sectPr>
      <w:footerReference w:type="default" r:id="rId2"/>
      <w:type w:val="nextPage"/>
      <w:pgSz w:w="12240" w:h="15840"/>
      <w:pgMar w:left="180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S.Walton/2May01</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2001-05-02T20:13:00Z</dcterms:created>
  <dc:creator>swalto2</dc:creator>
  <dc:description/>
  <dc:language>en-CA</dc:language>
  <cp:lastModifiedBy>swalto2</cp:lastModifiedBy>
  <cp:lastPrinted>2001-05-03T17:30:00Z</cp:lastPrinted>
  <dcterms:modified xsi:type="dcterms:W3CDTF">2001-05-03T20:02:00Z</dcterms:modified>
  <cp:revision>5</cp:revision>
  <dc:subject/>
  <dc:title>Information for May 9, 2001 Meeting of WGA</dc:title>
</cp:coreProperties>
</file>