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ind w:hanging="1080" w:start="1440" w:end="0"/>
        <w:rPr>
          <w:rFonts w:ascii="Arial Narrow" w:hAnsi="Arial Narrow" w:cs="Arial"/>
          <w:sz w:val="22"/>
          <w:szCs w:val="20"/>
        </w:rPr>
      </w:pPr>
      <w:r>
        <w:rPr>
          <w:rFonts w:cs="Arial" w:ascii="Arial Narrow" w:hAnsi="Arial Narrow"/>
          <w:sz w:val="22"/>
          <w:szCs w:val="20"/>
        </w:rPr>
        <w:t xml:space="preserve">To: </w:t>
        <w:tab/>
        <w:t>All Members of the EWS/EES Legal Department, Commercial Groups, and Outside Legal Advisers</w:t>
      </w:r>
    </w:p>
    <w:p>
      <w:pPr>
        <w:pStyle w:val="Normal"/>
        <w:autoSpaceDE w:val="false"/>
        <w:ind w:start="360" w:end="0"/>
        <w:rPr>
          <w:rFonts w:ascii="Arial Narrow" w:hAnsi="Arial Narrow" w:cs="Arial"/>
          <w:sz w:val="22"/>
          <w:szCs w:val="20"/>
        </w:rPr>
      </w:pPr>
      <w:r>
        <w:rPr>
          <w:rFonts w:cs="Arial" w:ascii="Arial Narrow" w:hAnsi="Arial Narrow"/>
          <w:sz w:val="22"/>
          <w:szCs w:val="20"/>
        </w:rPr>
      </w:r>
    </w:p>
    <w:p>
      <w:pPr>
        <w:pStyle w:val="Normal"/>
        <w:autoSpaceDE w:val="false"/>
        <w:ind w:start="360" w:end="0"/>
        <w:rPr>
          <w:rFonts w:ascii="Arial Narrow" w:hAnsi="Arial Narrow" w:cs="Arial"/>
          <w:sz w:val="22"/>
          <w:szCs w:val="20"/>
        </w:rPr>
      </w:pPr>
      <w:r>
        <w:rPr>
          <w:rFonts w:cs="Arial" w:ascii="Arial Narrow" w:hAnsi="Arial Narrow"/>
          <w:sz w:val="22"/>
          <w:szCs w:val="20"/>
        </w:rPr>
        <w:t xml:space="preserve">From: </w:t>
        <w:tab/>
        <w:t>Sara Shackleton, Stephanie Panus &amp; Susan Bailey</w:t>
      </w:r>
    </w:p>
    <w:p>
      <w:pPr>
        <w:pStyle w:val="Normal"/>
        <w:autoSpaceDE w:val="false"/>
        <w:ind w:start="360" w:end="0"/>
        <w:rPr>
          <w:rFonts w:ascii="Arial Narrow" w:hAnsi="Arial Narrow" w:cs="Arial"/>
          <w:sz w:val="22"/>
          <w:szCs w:val="20"/>
        </w:rPr>
      </w:pPr>
      <w:r>
        <w:rPr>
          <w:rFonts w:cs="Arial" w:ascii="Arial Narrow" w:hAnsi="Arial Narrow"/>
          <w:sz w:val="22"/>
          <w:szCs w:val="20"/>
        </w:rPr>
      </w:r>
    </w:p>
    <w:p>
      <w:pPr>
        <w:pStyle w:val="Normal"/>
        <w:autoSpaceDE w:val="false"/>
        <w:ind w:start="360" w:end="0"/>
        <w:rPr>
          <w:rFonts w:ascii="Arial Narrow" w:hAnsi="Arial Narrow" w:cs="Arial"/>
          <w:sz w:val="22"/>
          <w:szCs w:val="20"/>
        </w:rPr>
      </w:pPr>
      <w:r>
        <w:rPr>
          <w:rFonts w:cs="Arial" w:ascii="Arial Narrow" w:hAnsi="Arial Narrow"/>
          <w:sz w:val="22"/>
          <w:szCs w:val="20"/>
        </w:rPr>
        <w:t>Date:</w:t>
        <w:tab/>
        <w:t>May 10, 2002</w:t>
      </w:r>
    </w:p>
    <w:p>
      <w:pPr>
        <w:pStyle w:val="Normal"/>
        <w:autoSpaceDE w:val="false"/>
        <w:ind w:start="360" w:end="0"/>
        <w:rPr>
          <w:rFonts w:ascii="Arial Narrow" w:hAnsi="Arial Narrow" w:cs="Arial"/>
          <w:sz w:val="22"/>
          <w:szCs w:val="20"/>
        </w:rPr>
      </w:pPr>
      <w:r>
        <w:rPr>
          <w:rFonts w:cs="Arial" w:ascii="Arial Narrow" w:hAnsi="Arial Narrow"/>
          <w:sz w:val="22"/>
          <w:szCs w:val="20"/>
        </w:rPr>
      </w:r>
    </w:p>
    <w:p>
      <w:pPr>
        <w:pStyle w:val="Normal"/>
        <w:autoSpaceDE w:val="false"/>
        <w:ind w:start="360" w:end="0"/>
        <w:rPr>
          <w:rFonts w:ascii="Arial Narrow" w:hAnsi="Arial Narrow" w:cs="Arial"/>
          <w:sz w:val="22"/>
          <w:szCs w:val="20"/>
        </w:rPr>
      </w:pPr>
      <w:r>
        <w:rPr>
          <w:rFonts w:cs="Arial" w:ascii="Arial Narrow" w:hAnsi="Arial Narrow"/>
          <w:sz w:val="22"/>
          <w:szCs w:val="20"/>
        </w:rPr>
        <w:t xml:space="preserve">Re: </w:t>
        <w:tab/>
        <w:tab/>
        <w:t>Information Tools Available Through the Legal Department</w:t>
      </w:r>
    </w:p>
    <w:p>
      <w:pPr>
        <w:pStyle w:val="Normal"/>
        <w:autoSpaceDE w:val="false"/>
        <w:ind w:start="360" w:end="0"/>
        <w:rPr>
          <w:rFonts w:ascii="Arial Narrow" w:hAnsi="Arial Narrow" w:cs="Arial"/>
          <w:sz w:val="22"/>
          <w:szCs w:val="20"/>
        </w:rPr>
      </w:pPr>
      <w:r>
        <w:rPr>
          <w:rFonts w:cs="Arial" w:ascii="Arial Narrow" w:hAnsi="Arial Narrow"/>
          <w:sz w:val="22"/>
          <w:szCs w:val="20"/>
        </w:rPr>
      </w:r>
    </w:p>
    <w:p>
      <w:pPr>
        <w:pStyle w:val="Normal"/>
        <w:autoSpaceDE w:val="false"/>
        <w:ind w:start="360" w:end="0"/>
        <w:rPr>
          <w:rFonts w:ascii="Arial Narrow" w:hAnsi="Arial Narrow" w:cs="Arial"/>
          <w:sz w:val="22"/>
          <w:szCs w:val="20"/>
        </w:rPr>
      </w:pPr>
      <w:r>
        <w:rPr>
          <w:rFonts w:cs="Arial" w:ascii="Arial Narrow" w:hAnsi="Arial Narrow"/>
          <w:sz w:val="22"/>
          <w:szCs w:val="20"/>
        </w:rPr>
        <w:t>Please note the following information logs, which are available for internal use:</w:t>
      </w:r>
    </w:p>
    <w:p>
      <w:pPr>
        <w:pStyle w:val="Normal"/>
        <w:autoSpaceDE w:val="false"/>
        <w:ind w:start="360" w:end="0"/>
        <w:rPr>
          <w:rFonts w:ascii="Arial Narrow" w:hAnsi="Arial Narrow" w:cs="Arial"/>
          <w:sz w:val="22"/>
          <w:szCs w:val="20"/>
        </w:rPr>
      </w:pPr>
      <w:r>
        <w:rPr>
          <w:rFonts w:cs="Arial" w:ascii="Arial Narrow" w:hAnsi="Arial Narrow"/>
          <w:sz w:val="22"/>
          <w:szCs w:val="20"/>
        </w:rPr>
      </w:r>
    </w:p>
    <w:p>
      <w:pPr>
        <w:pStyle w:val="Normal"/>
        <w:autoSpaceDE w:val="false"/>
        <w:ind w:start="360" w:end="0"/>
        <w:rPr>
          <w:rFonts w:ascii="Arial Narrow" w:hAnsi="Arial Narrow" w:cs="Arial"/>
          <w:sz w:val="22"/>
          <w:szCs w:val="20"/>
        </w:rPr>
      </w:pPr>
      <w:r>
        <w:rPr>
          <w:rFonts w:cs="Arial" w:ascii="Arial Narrow" w:hAnsi="Arial Narrow"/>
          <w:sz w:val="22"/>
          <w:szCs w:val="20"/>
        </w:rPr>
        <w:t>(1)</w:t>
        <w:tab/>
      </w:r>
      <w:r>
        <w:rPr>
          <w:rFonts w:cs="Arial" w:ascii="Arial Narrow" w:hAnsi="Arial Narrow"/>
          <w:b/>
          <w:bCs/>
          <w:sz w:val="22"/>
          <w:szCs w:val="20"/>
          <w:u w:val="single"/>
        </w:rPr>
        <w:t>Master Letter Log</w:t>
      </w:r>
    </w:p>
    <w:p>
      <w:pPr>
        <w:pStyle w:val="Normal"/>
        <w:autoSpaceDE w:val="false"/>
        <w:ind w:start="360" w:end="0"/>
        <w:rPr>
          <w:rFonts w:ascii="Arial Narrow" w:hAnsi="Arial Narrow" w:cs="Arial"/>
          <w:sz w:val="22"/>
          <w:szCs w:val="20"/>
        </w:rPr>
      </w:pPr>
      <w:r>
        <w:rPr>
          <w:rFonts w:cs="Arial" w:ascii="Arial Narrow" w:hAnsi="Arial Narrow"/>
          <w:sz w:val="22"/>
          <w:szCs w:val="20"/>
        </w:rPr>
      </w:r>
    </w:p>
    <w:p>
      <w:pPr>
        <w:pStyle w:val="Normal"/>
        <w:numPr>
          <w:ilvl w:val="0"/>
          <w:numId w:val="1"/>
        </w:numPr>
        <w:autoSpaceDE w:val="false"/>
        <w:rPr>
          <w:rFonts w:ascii="Arial Narrow" w:hAnsi="Arial Narrow" w:cs="Arial"/>
          <w:sz w:val="22"/>
          <w:szCs w:val="20"/>
        </w:rPr>
      </w:pPr>
      <w:r>
        <w:rPr>
          <w:rFonts w:cs="Arial" w:ascii="Arial Narrow" w:hAnsi="Arial Narrow"/>
          <w:sz w:val="22"/>
          <w:szCs w:val="20"/>
        </w:rPr>
        <w:t>This log is maintained by Stephanie Panus (X53249) on a daily basis and reflects all written financial and physical termination notices received by Enron Corp. and affiliates through the legal department since the latter part of November, 2001.  The written termination notification is entered upon receipt and is then validated by a lawyer.  If a written termination notice does not appear on this Master Letter Log and exists, then you can send it to Stephanie for inclusion on the log.  If you would like to receive this log, please let Stephanie know.</w:t>
      </w:r>
    </w:p>
    <w:p>
      <w:pPr>
        <w:pStyle w:val="Normal"/>
        <w:autoSpaceDE w:val="false"/>
        <w:rPr>
          <w:rFonts w:ascii="Arial Narrow" w:hAnsi="Arial Narrow" w:cs="Arial"/>
          <w:sz w:val="22"/>
          <w:szCs w:val="20"/>
        </w:rPr>
      </w:pPr>
      <w:r>
        <w:rPr>
          <w:rFonts w:cs="Arial" w:ascii="Arial Narrow" w:hAnsi="Arial Narrow"/>
          <w:sz w:val="22"/>
          <w:szCs w:val="20"/>
        </w:rPr>
      </w:r>
    </w:p>
    <w:p>
      <w:pPr>
        <w:pStyle w:val="Normal"/>
        <w:numPr>
          <w:ilvl w:val="0"/>
          <w:numId w:val="1"/>
        </w:numPr>
        <w:autoSpaceDE w:val="false"/>
        <w:rPr>
          <w:rFonts w:ascii="Arial Narrow" w:hAnsi="Arial Narrow" w:cs="Arial"/>
          <w:sz w:val="22"/>
          <w:szCs w:val="20"/>
        </w:rPr>
      </w:pPr>
      <w:r>
        <w:rPr>
          <w:rFonts w:cs="Arial" w:ascii="Arial Narrow" w:hAnsi="Arial Narrow"/>
          <w:sz w:val="22"/>
          <w:szCs w:val="20"/>
        </w:rPr>
        <w:t xml:space="preserve">Questions regarding the Master Log should be directed to the person in charge of your group.  </w:t>
      </w:r>
    </w:p>
    <w:p>
      <w:pPr>
        <w:pStyle w:val="Normal"/>
        <w:autoSpaceDE w:val="false"/>
        <w:rPr>
          <w:rFonts w:ascii="Arial Narrow" w:hAnsi="Arial Narrow" w:cs="Arial"/>
          <w:sz w:val="22"/>
          <w:szCs w:val="20"/>
        </w:rPr>
      </w:pPr>
      <w:r>
        <w:rPr>
          <w:rFonts w:cs="Arial" w:ascii="Arial Narrow" w:hAnsi="Arial Narrow"/>
          <w:sz w:val="22"/>
          <w:szCs w:val="20"/>
        </w:rPr>
      </w:r>
    </w:p>
    <w:p>
      <w:pPr>
        <w:pStyle w:val="Normal"/>
        <w:numPr>
          <w:ilvl w:val="0"/>
          <w:numId w:val="1"/>
        </w:numPr>
        <w:autoSpaceDE w:val="false"/>
        <w:rPr>
          <w:rFonts w:ascii="Arial Narrow" w:hAnsi="Arial Narrow" w:cs="Arial"/>
          <w:sz w:val="22"/>
          <w:szCs w:val="20"/>
        </w:rPr>
      </w:pPr>
      <w:r>
        <w:rPr>
          <w:rFonts w:cs="Arial" w:ascii="Arial Narrow" w:hAnsi="Arial Narrow"/>
          <w:sz w:val="22"/>
          <w:szCs w:val="20"/>
        </w:rPr>
        <w:t>Copies of the termination notices can be obtained through Stephanie Panus or Susan Bailey.  Please email your request to either Stephanie or Susan, who will notify you when copies are available for pickup.</w:t>
      </w:r>
    </w:p>
    <w:p>
      <w:pPr>
        <w:pStyle w:val="Normal"/>
        <w:autoSpaceDE w:val="false"/>
        <w:rPr>
          <w:rFonts w:ascii="Arial Narrow" w:hAnsi="Arial Narrow" w:cs="Arial"/>
          <w:sz w:val="22"/>
          <w:szCs w:val="20"/>
        </w:rPr>
      </w:pPr>
      <w:r>
        <w:rPr>
          <w:rFonts w:cs="Arial" w:ascii="Arial Narrow" w:hAnsi="Arial Narrow"/>
          <w:sz w:val="22"/>
          <w:szCs w:val="20"/>
        </w:rPr>
      </w:r>
    </w:p>
    <w:p>
      <w:pPr>
        <w:pStyle w:val="Normal"/>
        <w:autoSpaceDE w:val="false"/>
        <w:ind w:start="360" w:end="0"/>
        <w:rPr/>
      </w:pPr>
      <w:r>
        <w:rPr>
          <w:rFonts w:cs="Arial" w:ascii="Arial Narrow" w:hAnsi="Arial Narrow"/>
          <w:sz w:val="22"/>
          <w:szCs w:val="20"/>
        </w:rPr>
        <w:t>(2)</w:t>
        <w:tab/>
      </w:r>
      <w:r>
        <w:rPr>
          <w:rFonts w:cs="Arial" w:ascii="Arial Narrow" w:hAnsi="Arial Narrow"/>
          <w:b/>
          <w:bCs/>
          <w:sz w:val="22"/>
          <w:szCs w:val="20"/>
          <w:u w:val="single"/>
        </w:rPr>
        <w:t>Financial Letter Logs</w:t>
      </w:r>
      <w:r>
        <w:rPr>
          <w:rFonts w:cs="Arial" w:ascii="Arial Narrow" w:hAnsi="Arial Narrow"/>
          <w:sz w:val="22"/>
          <w:szCs w:val="20"/>
        </w:rPr>
        <w:t xml:space="preserve"> </w:t>
      </w:r>
    </w:p>
    <w:p>
      <w:pPr>
        <w:pStyle w:val="Normal"/>
        <w:autoSpaceDE w:val="false"/>
        <w:ind w:start="360" w:end="0"/>
        <w:rPr>
          <w:rFonts w:ascii="Arial Narrow" w:hAnsi="Arial Narrow" w:cs="Arial"/>
          <w:sz w:val="22"/>
          <w:szCs w:val="20"/>
        </w:rPr>
      </w:pPr>
      <w:r>
        <w:rPr>
          <w:rFonts w:cs="Arial" w:ascii="Arial Narrow" w:hAnsi="Arial Narrow"/>
          <w:sz w:val="22"/>
          <w:szCs w:val="20"/>
        </w:rPr>
        <w:tab/>
        <w:t xml:space="preserve">(a) Gas </w:t>
      </w:r>
    </w:p>
    <w:p>
      <w:pPr>
        <w:pStyle w:val="Normal"/>
        <w:autoSpaceDE w:val="false"/>
        <w:ind w:start="360" w:end="0"/>
        <w:rPr>
          <w:rFonts w:ascii="Arial Narrow" w:hAnsi="Arial Narrow" w:cs="Arial"/>
          <w:sz w:val="22"/>
          <w:szCs w:val="20"/>
        </w:rPr>
      </w:pPr>
      <w:r>
        <w:rPr>
          <w:rFonts w:cs="Arial" w:ascii="Arial Narrow" w:hAnsi="Arial Narrow"/>
          <w:sz w:val="22"/>
          <w:szCs w:val="20"/>
        </w:rPr>
        <w:tab/>
        <w:t xml:space="preserve">(b) Interest Rate &amp; Currency </w:t>
      </w:r>
    </w:p>
    <w:p>
      <w:pPr>
        <w:pStyle w:val="Normal"/>
        <w:autoSpaceDE w:val="false"/>
        <w:ind w:start="360" w:end="0"/>
        <w:rPr>
          <w:rFonts w:ascii="Arial Narrow" w:hAnsi="Arial Narrow" w:cs="Arial"/>
          <w:sz w:val="22"/>
          <w:szCs w:val="20"/>
        </w:rPr>
      </w:pPr>
      <w:r>
        <w:rPr>
          <w:rFonts w:cs="Arial" w:ascii="Arial Narrow" w:hAnsi="Arial Narrow"/>
          <w:sz w:val="22"/>
          <w:szCs w:val="20"/>
        </w:rPr>
        <w:tab/>
        <w:t>(c) Liquids</w:t>
      </w:r>
    </w:p>
    <w:p>
      <w:pPr>
        <w:pStyle w:val="Normal"/>
        <w:autoSpaceDE w:val="false"/>
        <w:ind w:start="360" w:end="0"/>
        <w:rPr>
          <w:rFonts w:ascii="Arial Narrow" w:hAnsi="Arial Narrow" w:cs="Arial"/>
          <w:sz w:val="22"/>
          <w:szCs w:val="20"/>
        </w:rPr>
      </w:pPr>
      <w:r>
        <w:rPr>
          <w:rFonts w:cs="Arial" w:ascii="Arial Narrow" w:hAnsi="Arial Narrow"/>
          <w:sz w:val="22"/>
          <w:szCs w:val="20"/>
        </w:rPr>
        <w:tab/>
        <w:t xml:space="preserve">(d) Power </w:t>
      </w:r>
    </w:p>
    <w:p>
      <w:pPr>
        <w:pStyle w:val="Normal"/>
        <w:autoSpaceDE w:val="false"/>
        <w:ind w:start="360" w:end="0"/>
        <w:rPr>
          <w:rFonts w:ascii="Arial Narrow" w:hAnsi="Arial Narrow" w:cs="Arial"/>
          <w:sz w:val="22"/>
          <w:szCs w:val="20"/>
        </w:rPr>
      </w:pPr>
      <w:r>
        <w:rPr>
          <w:rFonts w:cs="Arial" w:ascii="Arial Narrow" w:hAnsi="Arial Narrow"/>
          <w:sz w:val="22"/>
          <w:szCs w:val="20"/>
        </w:rPr>
        <w:tab/>
        <w:t>(e) Pulp &amp; Paper</w:t>
      </w:r>
    </w:p>
    <w:p>
      <w:pPr>
        <w:pStyle w:val="Normal"/>
        <w:autoSpaceDE w:val="false"/>
        <w:ind w:start="360" w:end="0"/>
        <w:rPr>
          <w:rFonts w:ascii="Arial Narrow" w:hAnsi="Arial Narrow" w:cs="Arial"/>
          <w:sz w:val="22"/>
          <w:szCs w:val="20"/>
        </w:rPr>
      </w:pPr>
      <w:r>
        <w:rPr>
          <w:rFonts w:cs="Arial" w:ascii="Arial Narrow" w:hAnsi="Arial Narrow"/>
          <w:sz w:val="22"/>
          <w:szCs w:val="20"/>
        </w:rPr>
        <w:tab/>
        <w:t>(f) Steel</w:t>
      </w:r>
    </w:p>
    <w:p>
      <w:pPr>
        <w:pStyle w:val="Normal"/>
        <w:autoSpaceDE w:val="false"/>
        <w:ind w:start="360" w:end="0"/>
        <w:rPr>
          <w:rFonts w:ascii="Arial Narrow" w:hAnsi="Arial Narrow" w:cs="Arial"/>
          <w:sz w:val="22"/>
          <w:szCs w:val="20"/>
        </w:rPr>
      </w:pPr>
      <w:r>
        <w:rPr>
          <w:rFonts w:cs="Arial" w:ascii="Arial Narrow" w:hAnsi="Arial Narrow"/>
          <w:sz w:val="22"/>
          <w:szCs w:val="20"/>
        </w:rPr>
      </w:r>
    </w:p>
    <w:p>
      <w:pPr>
        <w:pStyle w:val="Normal"/>
        <w:autoSpaceDE w:val="false"/>
        <w:ind w:start="360" w:end="0"/>
        <w:rPr>
          <w:rFonts w:ascii="Arial Narrow" w:hAnsi="Arial Narrow" w:cs="Arial"/>
          <w:sz w:val="22"/>
          <w:szCs w:val="20"/>
        </w:rPr>
      </w:pPr>
      <w:r>
        <w:rPr>
          <w:rFonts w:cs="Arial" w:ascii="Arial Narrow" w:hAnsi="Arial Narrow"/>
          <w:sz w:val="22"/>
          <w:szCs w:val="20"/>
        </w:rPr>
        <w:t xml:space="preserve">These six (6) individual Financial Letter Logs are maintained by Susan Bailey (X34737), in order to monitor &amp; track the flow of communication in connection with ENA’s default demand letters &amp; the culmination in either ENA or the Counterparty terminating the financial trading realtionship.  Please provide any correspondence needing inclusion in any of the Letter Logs to Susan Bailey.   </w:t>
      </w:r>
    </w:p>
    <w:p>
      <w:pPr>
        <w:pStyle w:val="Normal"/>
        <w:autoSpaceDE w:val="false"/>
        <w:ind w:start="360" w:end="0"/>
        <w:rPr>
          <w:rFonts w:ascii="Arial Narrow" w:hAnsi="Arial Narrow" w:cs="Arial"/>
          <w:sz w:val="22"/>
          <w:szCs w:val="20"/>
        </w:rPr>
      </w:pPr>
      <w:r>
        <w:rPr>
          <w:rFonts w:cs="Arial" w:ascii="Arial Narrow" w:hAnsi="Arial Narrow"/>
          <w:sz w:val="22"/>
          <w:szCs w:val="20"/>
        </w:rPr>
      </w:r>
    </w:p>
    <w:p>
      <w:pPr>
        <w:pStyle w:val="Normal"/>
        <w:autoSpaceDE w:val="false"/>
        <w:ind w:start="360" w:end="0"/>
        <w:rPr/>
      </w:pPr>
      <w:r>
        <w:rPr>
          <w:rFonts w:cs="Arial" w:ascii="Arial Narrow" w:hAnsi="Arial Narrow"/>
          <w:sz w:val="22"/>
          <w:szCs w:val="20"/>
        </w:rPr>
        <w:t>(3)</w:t>
        <w:tab/>
      </w:r>
      <w:r>
        <w:rPr>
          <w:rFonts w:cs="Arial" w:ascii="Arial Narrow" w:hAnsi="Arial Narrow"/>
          <w:b/>
          <w:bCs/>
          <w:sz w:val="22"/>
          <w:szCs w:val="20"/>
          <w:u w:val="single"/>
        </w:rPr>
        <w:t>Confidentiality Agreements for Financial Gas Auction</w:t>
      </w:r>
    </w:p>
    <w:p>
      <w:pPr>
        <w:pStyle w:val="Normal"/>
        <w:autoSpaceDE w:val="false"/>
        <w:ind w:start="360" w:end="0"/>
        <w:rPr>
          <w:rFonts w:ascii="Arial Narrow" w:hAnsi="Arial Narrow" w:cs="Arial"/>
          <w:b/>
          <w:bCs/>
          <w:sz w:val="22"/>
          <w:szCs w:val="20"/>
          <w:u w:val="single"/>
        </w:rPr>
      </w:pPr>
      <w:r>
        <w:rPr>
          <w:rFonts w:cs="Arial" w:ascii="Arial Narrow" w:hAnsi="Arial Narrow"/>
          <w:b/>
          <w:bCs/>
          <w:sz w:val="22"/>
          <w:szCs w:val="20"/>
          <w:u w:val="single"/>
        </w:rPr>
      </w:r>
    </w:p>
    <w:p>
      <w:pPr>
        <w:pStyle w:val="Normal"/>
        <w:autoSpaceDE w:val="false"/>
        <w:ind w:start="360" w:end="0"/>
        <w:rPr/>
      </w:pPr>
      <w:r>
        <w:rPr>
          <w:rFonts w:cs="Arial" w:ascii="Arial Narrow" w:hAnsi="Arial Narrow"/>
          <w:sz w:val="22"/>
          <w:szCs w:val="20"/>
        </w:rPr>
        <w:t>Susan Bailey (X34737) has copies of the 30</w:t>
      </w:r>
      <w:r>
        <w:rPr>
          <w:rFonts w:cs="Arial" w:ascii="Arial Narrow" w:hAnsi="Arial Narrow"/>
          <w:b/>
          <w:bCs/>
          <w:sz w:val="22"/>
          <w:szCs w:val="20"/>
        </w:rPr>
        <w:t xml:space="preserve"> </w:t>
      </w:r>
      <w:r>
        <w:rPr>
          <w:rFonts w:cs="Arial" w:ascii="Arial Narrow" w:hAnsi="Arial Narrow"/>
          <w:sz w:val="22"/>
          <w:szCs w:val="20"/>
        </w:rPr>
        <w:t>confidentiality</w:t>
      </w:r>
      <w:r>
        <w:rPr>
          <w:rFonts w:cs="Arial" w:ascii="Arial Narrow" w:hAnsi="Arial Narrow"/>
          <w:b/>
          <w:bCs/>
          <w:sz w:val="22"/>
          <w:szCs w:val="20"/>
        </w:rPr>
        <w:t xml:space="preserve"> </w:t>
      </w:r>
      <w:r>
        <w:rPr>
          <w:rFonts w:cs="Arial" w:ascii="Arial Narrow" w:hAnsi="Arial Narrow"/>
          <w:sz w:val="22"/>
          <w:szCs w:val="20"/>
        </w:rPr>
        <w:t>agreements, which were executed for the recent financial gas auction.  These letters were expanded to include future financial and physical auctions held by Enron North America Corp.</w:t>
      </w:r>
    </w:p>
    <w:p>
      <w:pPr>
        <w:pStyle w:val="Normal"/>
        <w:autoSpaceDE w:val="false"/>
        <w:ind w:start="360" w:end="0"/>
        <w:rPr>
          <w:rFonts w:ascii="Arial Narrow" w:hAnsi="Arial Narrow" w:cs="Arial"/>
          <w:sz w:val="22"/>
          <w:szCs w:val="20"/>
        </w:rPr>
      </w:pPr>
      <w:r>
        <w:rPr>
          <w:rFonts w:cs="Arial" w:ascii="Arial Narrow" w:hAnsi="Arial Narrow"/>
          <w:sz w:val="22"/>
          <w:szCs w:val="20"/>
        </w:rPr>
      </w:r>
    </w:p>
    <w:p>
      <w:pPr>
        <w:pStyle w:val="Normal"/>
        <w:autoSpaceDE w:val="false"/>
        <w:ind w:start="360" w:end="0"/>
        <w:rPr/>
      </w:pPr>
      <w:r>
        <w:rPr>
          <w:rFonts w:cs="Arial" w:ascii="Arial Narrow" w:hAnsi="Arial Narrow"/>
          <w:sz w:val="22"/>
          <w:szCs w:val="20"/>
        </w:rPr>
        <w:t>(4)</w:t>
        <w:tab/>
        <w:t xml:space="preserve">Executed </w:t>
      </w:r>
      <w:r>
        <w:rPr>
          <w:rFonts w:cs="Arial" w:ascii="Arial Narrow" w:hAnsi="Arial Narrow"/>
          <w:b/>
          <w:bCs/>
          <w:sz w:val="22"/>
          <w:szCs w:val="20"/>
          <w:u w:val="single"/>
        </w:rPr>
        <w:t>Master Netting Agreements</w:t>
      </w:r>
      <w:r>
        <w:rPr>
          <w:rFonts w:cs="Arial" w:ascii="Arial Narrow" w:hAnsi="Arial Narrow"/>
          <w:sz w:val="22"/>
          <w:szCs w:val="20"/>
        </w:rPr>
        <w:t xml:space="preserve"> (and list of those under negotiation)</w:t>
      </w:r>
    </w:p>
    <w:p>
      <w:pPr>
        <w:pStyle w:val="Normal"/>
        <w:autoSpaceDE w:val="false"/>
        <w:ind w:start="360" w:end="0"/>
        <w:rPr/>
      </w:pPr>
      <w:r>
        <w:rPr>
          <w:rFonts w:eastAsia="Arial Narrow" w:cs="Arial Narrow" w:ascii="Arial Narrow" w:hAnsi="Arial Narrow"/>
          <w:sz w:val="22"/>
          <w:szCs w:val="20"/>
        </w:rPr>
        <w:t xml:space="preserve">      </w:t>
      </w:r>
      <w:r>
        <w:rPr>
          <w:rFonts w:eastAsia="Arial Narrow" w:cs="Arial Narrow" w:ascii="Arial Narrow" w:hAnsi="Arial Narrow"/>
          <w:b/>
          <w:bCs/>
          <w:sz w:val="22"/>
          <w:szCs w:val="20"/>
          <w:u w:val="single"/>
        </w:rPr>
        <w:t xml:space="preserve"> </w:t>
      </w:r>
      <w:r>
        <w:rPr>
          <w:rFonts w:cs="Arial" w:ascii="Arial Narrow" w:hAnsi="Arial Narrow"/>
          <w:b/>
          <w:bCs/>
          <w:sz w:val="22"/>
          <w:szCs w:val="20"/>
          <w:u w:val="single"/>
        </w:rPr>
        <w:t>Pre-petition Settlements</w:t>
      </w:r>
      <w:r>
        <w:rPr>
          <w:rFonts w:cs="Arial" w:ascii="Arial Narrow" w:hAnsi="Arial Narrow"/>
          <w:sz w:val="22"/>
          <w:szCs w:val="20"/>
        </w:rPr>
        <w:t xml:space="preserve"> (known as the pre-petition mutual terminations)</w:t>
      </w:r>
    </w:p>
    <w:p>
      <w:pPr>
        <w:pStyle w:val="Normal"/>
        <w:autoSpaceDE w:val="false"/>
        <w:ind w:start="360" w:end="0"/>
        <w:rPr/>
      </w:pPr>
      <w:r>
        <w:rPr>
          <w:rFonts w:eastAsia="Arial Narrow" w:cs="Arial Narrow" w:ascii="Arial Narrow" w:hAnsi="Arial Narrow"/>
          <w:sz w:val="22"/>
          <w:szCs w:val="20"/>
        </w:rPr>
        <w:t xml:space="preserve">      </w:t>
      </w:r>
      <w:r>
        <w:rPr>
          <w:rFonts w:eastAsia="Arial Narrow" w:cs="Arial Narrow" w:ascii="Arial Narrow" w:hAnsi="Arial Narrow"/>
          <w:b/>
          <w:bCs/>
          <w:sz w:val="22"/>
          <w:szCs w:val="20"/>
          <w:u w:val="single"/>
        </w:rPr>
        <w:t xml:space="preserve"> </w:t>
      </w:r>
      <w:r>
        <w:rPr>
          <w:rFonts w:cs="Arial" w:ascii="Arial Narrow" w:hAnsi="Arial Narrow"/>
          <w:b/>
          <w:bCs/>
          <w:sz w:val="22"/>
          <w:szCs w:val="20"/>
          <w:u w:val="single"/>
        </w:rPr>
        <w:t>Payment Netting Agreements</w:t>
      </w:r>
      <w:r>
        <w:rPr>
          <w:rFonts w:cs="Arial" w:ascii="Arial Narrow" w:hAnsi="Arial Narrow"/>
          <w:sz w:val="22"/>
          <w:szCs w:val="20"/>
        </w:rPr>
        <w:t xml:space="preserve"> [Liquids Group &amp; ECTRL (London office)]</w:t>
      </w:r>
    </w:p>
    <w:p>
      <w:pPr>
        <w:pStyle w:val="Normal"/>
        <w:autoSpaceDE w:val="false"/>
        <w:ind w:start="360" w:end="0"/>
        <w:rPr>
          <w:rFonts w:ascii="Arial Narrow" w:hAnsi="Arial Narrow" w:cs="Arial"/>
          <w:sz w:val="22"/>
          <w:szCs w:val="20"/>
        </w:rPr>
      </w:pPr>
      <w:r>
        <w:rPr>
          <w:rFonts w:cs="Arial" w:ascii="Arial Narrow" w:hAnsi="Arial Narrow"/>
          <w:sz w:val="22"/>
          <w:szCs w:val="20"/>
        </w:rPr>
      </w:r>
    </w:p>
    <w:p>
      <w:pPr>
        <w:pStyle w:val="Normal"/>
        <w:autoSpaceDE w:val="false"/>
        <w:ind w:start="360" w:end="0"/>
        <w:rPr>
          <w:rFonts w:ascii="Arial Narrow" w:hAnsi="Arial Narrow" w:cs="Arial"/>
          <w:sz w:val="22"/>
          <w:szCs w:val="20"/>
        </w:rPr>
      </w:pPr>
      <w:r>
        <w:rPr>
          <w:rFonts w:cs="Arial" w:ascii="Arial Narrow" w:hAnsi="Arial Narrow"/>
          <w:sz w:val="22"/>
          <w:szCs w:val="20"/>
        </w:rPr>
        <w:t>Contact Susan Bailey (X34737).</w:t>
      </w:r>
    </w:p>
    <w:p>
      <w:pPr>
        <w:pStyle w:val="Normal"/>
        <w:autoSpaceDE w:val="false"/>
        <w:ind w:start="360" w:end="0"/>
        <w:rPr>
          <w:rFonts w:ascii="Arial Narrow" w:hAnsi="Arial Narrow" w:cs="Arial"/>
          <w:sz w:val="22"/>
          <w:szCs w:val="20"/>
        </w:rPr>
      </w:pPr>
      <w:r>
        <w:rPr>
          <w:rFonts w:cs="Arial" w:ascii="Arial Narrow" w:hAnsi="Arial Narrow"/>
          <w:sz w:val="22"/>
          <w:szCs w:val="20"/>
        </w:rPr>
      </w:r>
    </w:p>
    <w:p>
      <w:pPr>
        <w:pStyle w:val="Normal"/>
        <w:autoSpaceDE w:val="false"/>
        <w:ind w:start="360" w:end="0"/>
        <w:rPr/>
      </w:pPr>
      <w:r>
        <w:rPr>
          <w:rFonts w:cs="Arial" w:ascii="Arial Narrow" w:hAnsi="Arial Narrow"/>
          <w:sz w:val="22"/>
          <w:szCs w:val="20"/>
        </w:rPr>
        <w:t>(5)</w:t>
        <w:tab/>
        <w:t xml:space="preserve">Sample </w:t>
      </w:r>
      <w:r>
        <w:rPr>
          <w:rFonts w:cs="Arial" w:ascii="Arial Narrow" w:hAnsi="Arial Narrow"/>
          <w:b/>
          <w:bCs/>
          <w:sz w:val="22"/>
          <w:szCs w:val="20"/>
          <w:u w:val="single"/>
        </w:rPr>
        <w:t>"Request for Calculation and/or Methodology" letters</w:t>
      </w:r>
      <w:r>
        <w:rPr>
          <w:rFonts w:cs="Arial" w:ascii="Arial Narrow" w:hAnsi="Arial Narrow"/>
          <w:sz w:val="22"/>
          <w:szCs w:val="20"/>
        </w:rPr>
        <w:t>.</w:t>
      </w:r>
    </w:p>
    <w:p>
      <w:pPr>
        <w:pStyle w:val="Normal"/>
        <w:autoSpaceDE w:val="false"/>
        <w:ind w:start="360" w:end="0"/>
        <w:rPr>
          <w:rFonts w:ascii="Arial Narrow" w:hAnsi="Arial Narrow" w:cs="Arial"/>
          <w:sz w:val="22"/>
          <w:szCs w:val="20"/>
        </w:rPr>
      </w:pPr>
      <w:r>
        <w:rPr>
          <w:rFonts w:cs="Arial" w:ascii="Arial Narrow" w:hAnsi="Arial Narrow"/>
          <w:sz w:val="22"/>
          <w:szCs w:val="20"/>
        </w:rPr>
      </w:r>
    </w:p>
    <w:p>
      <w:pPr>
        <w:pStyle w:val="Normal"/>
        <w:autoSpaceDE w:val="false"/>
        <w:ind w:start="360" w:end="0"/>
        <w:rPr>
          <w:rFonts w:ascii="Arial Narrow" w:hAnsi="Arial Narrow" w:cs="Arial"/>
          <w:sz w:val="22"/>
          <w:szCs w:val="20"/>
        </w:rPr>
      </w:pPr>
      <w:r>
        <w:rPr>
          <w:rFonts w:cs="Arial" w:ascii="Arial Narrow" w:hAnsi="Arial Narrow"/>
          <w:sz w:val="22"/>
          <w:szCs w:val="20"/>
        </w:rPr>
        <w:t>Contact Ruth He (X53965) or Sara Shackleton (X35620).</w:t>
      </w:r>
    </w:p>
    <w:p>
      <w:pPr>
        <w:pStyle w:val="Normal"/>
        <w:autoSpaceDE w:val="false"/>
        <w:ind w:start="360" w:end="0"/>
        <w:rPr>
          <w:rFonts w:ascii="Arial Narrow" w:hAnsi="Arial Narrow" w:cs="Arial"/>
          <w:sz w:val="22"/>
          <w:szCs w:val="20"/>
        </w:rPr>
      </w:pPr>
      <w:r>
        <w:rPr>
          <w:rFonts w:cs="Arial" w:ascii="Arial Narrow" w:hAnsi="Arial Narrow"/>
          <w:sz w:val="22"/>
          <w:szCs w:val="20"/>
        </w:rPr>
      </w:r>
    </w:p>
    <w:p>
      <w:pPr>
        <w:pStyle w:val="Normal"/>
        <w:numPr>
          <w:ilvl w:val="0"/>
          <w:numId w:val="2"/>
        </w:numPr>
        <w:autoSpaceDE w:val="false"/>
        <w:rPr>
          <w:rFonts w:ascii="Arial Narrow" w:hAnsi="Arial Narrow" w:cs="Arial"/>
          <w:sz w:val="22"/>
          <w:szCs w:val="20"/>
        </w:rPr>
      </w:pPr>
      <w:r>
        <w:rPr>
          <w:rFonts w:cs="Arial" w:ascii="Arial Narrow" w:hAnsi="Arial Narrow"/>
          <w:b/>
          <w:bCs/>
          <w:sz w:val="22"/>
          <w:szCs w:val="20"/>
          <w:u w:val="single"/>
        </w:rPr>
        <w:t>Financial and Physical Correspondence &amp; Contract Review Forms</w:t>
      </w:r>
    </w:p>
    <w:p>
      <w:pPr>
        <w:pStyle w:val="Normal"/>
        <w:autoSpaceDE w:val="false"/>
        <w:rPr>
          <w:rFonts w:ascii="Arial Narrow" w:hAnsi="Arial Narrow" w:cs="Arial"/>
          <w:sz w:val="22"/>
          <w:szCs w:val="20"/>
        </w:rPr>
      </w:pPr>
      <w:r>
        <w:rPr>
          <w:rFonts w:cs="Arial" w:ascii="Arial Narrow" w:hAnsi="Arial Narrow"/>
          <w:sz w:val="22"/>
          <w:szCs w:val="20"/>
        </w:rPr>
      </w:r>
    </w:p>
    <w:p>
      <w:pPr>
        <w:pStyle w:val="Normal"/>
        <w:autoSpaceDE w:val="false"/>
        <w:ind w:start="360" w:end="0"/>
        <w:rPr>
          <w:rFonts w:ascii="Arial Narrow" w:hAnsi="Arial Narrow" w:cs="Arial"/>
          <w:sz w:val="22"/>
          <w:szCs w:val="20"/>
        </w:rPr>
      </w:pPr>
      <w:r>
        <w:rPr>
          <w:rFonts w:cs="Arial" w:ascii="Arial Narrow" w:hAnsi="Arial Narrow"/>
          <w:sz w:val="22"/>
          <w:szCs w:val="20"/>
        </w:rPr>
        <w:t>(a) All Counterparty correspondence, including but not limited to demand and settlement letters.</w:t>
      </w:r>
    </w:p>
    <w:p>
      <w:pPr>
        <w:pStyle w:val="Normal"/>
        <w:autoSpaceDE w:val="false"/>
        <w:rPr>
          <w:rFonts w:ascii="Arial Narrow" w:hAnsi="Arial Narrow" w:cs="Arial"/>
          <w:sz w:val="22"/>
          <w:szCs w:val="20"/>
        </w:rPr>
      </w:pPr>
      <w:r>
        <w:rPr>
          <w:rFonts w:cs="Arial" w:ascii="Arial Narrow" w:hAnsi="Arial Narrow"/>
          <w:sz w:val="22"/>
          <w:szCs w:val="20"/>
        </w:rPr>
      </w:r>
    </w:p>
    <w:p>
      <w:pPr>
        <w:pStyle w:val="Normal"/>
        <w:autoSpaceDE w:val="false"/>
        <w:ind w:start="360" w:end="0"/>
        <w:rPr>
          <w:rFonts w:ascii="Arial Narrow" w:hAnsi="Arial Narrow" w:cs="Arial"/>
          <w:sz w:val="22"/>
          <w:szCs w:val="20"/>
        </w:rPr>
      </w:pPr>
      <w:r>
        <w:rPr>
          <w:rFonts w:cs="Arial" w:ascii="Arial Narrow" w:hAnsi="Arial Narrow"/>
          <w:sz w:val="22"/>
          <w:szCs w:val="20"/>
        </w:rPr>
        <w:t>(b) Counterparty Contract Review Forms.</w:t>
      </w:r>
    </w:p>
    <w:p>
      <w:pPr>
        <w:pStyle w:val="Normal"/>
        <w:autoSpaceDE w:val="false"/>
        <w:ind w:start="360" w:end="0"/>
        <w:rPr>
          <w:rFonts w:ascii="Arial Narrow" w:hAnsi="Arial Narrow" w:cs="Arial"/>
          <w:sz w:val="22"/>
          <w:szCs w:val="20"/>
        </w:rPr>
      </w:pPr>
      <w:r>
        <w:rPr>
          <w:rFonts w:cs="Arial" w:ascii="Arial Narrow" w:hAnsi="Arial Narrow"/>
          <w:sz w:val="22"/>
          <w:szCs w:val="20"/>
        </w:rPr>
      </w:r>
    </w:p>
    <w:p>
      <w:pPr>
        <w:pStyle w:val="Normal"/>
        <w:autoSpaceDE w:val="false"/>
        <w:ind w:start="360" w:end="0"/>
        <w:rPr>
          <w:rFonts w:ascii="Arial Narrow" w:hAnsi="Arial Narrow" w:cs="Arial"/>
          <w:sz w:val="22"/>
          <w:szCs w:val="20"/>
        </w:rPr>
      </w:pPr>
      <w:r>
        <w:rPr>
          <w:rFonts w:cs="Arial" w:ascii="Arial Narrow" w:hAnsi="Arial Narrow"/>
          <w:sz w:val="22"/>
          <w:szCs w:val="20"/>
        </w:rPr>
        <w:t>At this time, there is no single distribution point for these items.  Each group should ensure that A.k. Matheson (X53021) receives relevant correspondence and Contract Reviews for counterparties having binders in preparation.  Termination Notices do not need to be included since these will be sent by Stephanie Panus to A.k. Matheson on a regular basis.</w:t>
      </w:r>
    </w:p>
    <w:p>
      <w:pPr>
        <w:pStyle w:val="Normal"/>
        <w:autoSpaceDE w:val="false"/>
        <w:ind w:start="360" w:end="0"/>
        <w:rPr>
          <w:rFonts w:ascii="Arial Narrow" w:hAnsi="Arial Narrow" w:cs="Arial"/>
          <w:sz w:val="22"/>
          <w:szCs w:val="20"/>
        </w:rPr>
      </w:pPr>
      <w:r>
        <w:rPr>
          <w:rFonts w:cs="Arial" w:ascii="Arial Narrow" w:hAnsi="Arial Narrow"/>
          <w:sz w:val="22"/>
          <w:szCs w:val="20"/>
        </w:rPr>
      </w:r>
    </w:p>
    <w:p>
      <w:pPr>
        <w:pStyle w:val="Normal"/>
        <w:autoSpaceDE w:val="false"/>
        <w:ind w:start="360" w:end="0"/>
        <w:rPr>
          <w:rFonts w:ascii="Arial Narrow" w:hAnsi="Arial Narrow" w:eastAsia="Arial Narrow" w:cs="Arial Narrow"/>
          <w:sz w:val="22"/>
          <w:szCs w:val="20"/>
        </w:rPr>
      </w:pPr>
      <w:r>
        <w:rPr>
          <w:rFonts w:eastAsia="Arial Narrow" w:cs="Arial Narrow" w:ascii="Arial Narrow" w:hAnsi="Arial Narrow"/>
          <w:sz w:val="22"/>
          <w:szCs w:val="20"/>
        </w:rPr>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720"/>
        </w:tabs>
        <w:ind w:start="720" w:hanging="360"/>
      </w:pPr>
      <w:rPr/>
    </w:lvl>
  </w:abstractNum>
  <w:abstractNum w:abstractNumId="2">
    <w:lvl w:ilvl="0">
      <w:start w:val="6"/>
      <w:numFmt w:val="decimal"/>
      <w:lvlText w:val="(%1)"/>
      <w:lvlJc w:val="start"/>
      <w:pPr>
        <w:tabs>
          <w:tab w:val="num" w:pos="720"/>
        </w:tabs>
        <w:ind w:start="720" w:hanging="36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2002-05-10T13:05:00Z</dcterms:created>
  <dc:creator>Susan Bailey</dc:creator>
  <dc:description/>
  <dc:language>en-CA</dc:language>
  <cp:lastModifiedBy>Susan Bailey</cp:lastModifiedBy>
  <cp:lastPrinted>2002-05-10T13:35:00Z</cp:lastPrinted>
  <dcterms:modified xsi:type="dcterms:W3CDTF">2002-05-10T16:05:00Z</dcterms:modified>
  <cp:revision>8</cp:revision>
  <dc:subject/>
  <dc:title>To: All Members of the EWS/EES Legal Department, Commercial Groups, and Outside Legal Advisers</dc:title>
</cp:coreProperties>
</file>