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media/image13.wmf" ContentType="image/x-wmf"/>
  <Override PartName="/word/media/image4.wmf" ContentType="image/x-wmf"/>
  <Override PartName="/word/media/image9.wmf" ContentType="image/x-wmf"/>
  <Override PartName="/word/media/image1.png" ContentType="image/png"/>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6.wmf" ContentType="image/x-wmf"/>
  <Override PartName="/word/media/image7.wmf" ContentType="image/x-wmf"/>
  <Override PartName="/word/media/image11.wmf" ContentType="image/x-wmf"/>
  <Override PartName="/word/media/image2.wmf" ContentType="image/x-wmf"/>
  <Override PartName="/word/media/image17.wmf" ContentType="image/x-wmf"/>
  <Override PartName="/word/media/image8.wmf" ContentType="image/x-wmf"/>
  <Override PartName="/word/media/image12.wmf" ContentType="image/x-wmf"/>
  <Override PartName="/word/media/image3.wmf" ContentType="image/x-wmf"/>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2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80" w:after="0"/>
        <w:ind w:start="-446" w:end="0"/>
        <w:jc w:val="center"/>
        <w:rPr>
          <w:lang w:val="en-CA"/>
        </w:rPr>
      </w:pPr>
      <w:r>
        <w:rPr>
          <w:lang w:val="en-CA"/>
        </w:rPr>
      </w:r>
      <w:r>
        <mc:AlternateContent>
          <mc:Choice Requires="wps">
            <w:drawing>
              <wp:anchor behindDoc="0" distT="0" distB="0" distL="114935" distR="114935" simplePos="0" locked="0" layoutInCell="1" allowOverlap="1" relativeHeight="19">
                <wp:simplePos x="0" y="0"/>
                <wp:positionH relativeFrom="column">
                  <wp:posOffset>-301625</wp:posOffset>
                </wp:positionH>
                <wp:positionV relativeFrom="paragraph">
                  <wp:posOffset>548640</wp:posOffset>
                </wp:positionV>
                <wp:extent cx="6492240" cy="1463040"/>
                <wp:effectExtent l="0" t="0" r="0" b="0"/>
                <wp:wrapNone/>
                <wp:docPr id="1" name="Frame1"/>
                <a:graphic xmlns:a="http://schemas.openxmlformats.org/drawingml/2006/main">
                  <a:graphicData uri="http://schemas.microsoft.com/office/word/2010/wordprocessingShape">
                    <wps:wsp>
                      <wps:cNvSpPr txBox="1"/>
                      <wps:spPr>
                        <a:xfrm>
                          <a:off x="0" y="0"/>
                          <a:ext cx="6492240" cy="1463040"/>
                        </a:xfrm>
                        <a:prstGeom prst="rect"/>
                        <a:solidFill>
                          <a:srgbClr val="FFFFFF">
                            <a:alpha val="0"/>
                          </a:srgbClr>
                        </a:solidFill>
                      </wps:spPr>
                      <wps:txbx>
                        <w:txbxContent>
                          <w:p>
                            <w:pPr>
                              <w:pStyle w:val="Normal"/>
                              <w:spacing w:before="240" w:after="0"/>
                              <w:jc w:val="center"/>
                              <w:rPr>
                                <w:b/>
                                <w:smallCaps/>
                                <w:sz w:val="32"/>
                              </w:rPr>
                            </w:pPr>
                            <w:r>
                              <w:rPr>
                                <w:b/>
                                <w:smallCaps/>
                                <w:sz w:val="32"/>
                              </w:rPr>
                              <w:t>Enron Monterrey Power Project</w:t>
                            </w:r>
                          </w:p>
                        </w:txbxContent>
                      </wps:txbx>
                      <wps:bodyPr anchor="t" lIns="635" tIns="635" rIns="635" bIns="635">
                        <a:noAutofit/>
                      </wps:bodyPr>
                    </wps:wsp>
                  </a:graphicData>
                </a:graphic>
              </wp:anchor>
            </w:drawing>
          </mc:Choice>
          <mc:Fallback>
            <w:pict>
              <v:rect fillcolor="#FFFFFF" style="position:absolute;rotation:-0;width:511.2pt;height:115.2pt;mso-wrap-distance-left:9.05pt;mso-wrap-distance-right:9.05pt;mso-wrap-distance-top:0pt;mso-wrap-distance-bottom:0pt;margin-top:43.2pt;mso-position-vertical-relative:text;margin-left:-23.75pt;mso-position-horizontal-relative:text">
                <v:fill opacity="0f"/>
                <v:textbox inset="0.000694444444444445in,0.000694444444444445in,0.000694444444444445in,0.000694444444444445in">
                  <w:txbxContent>
                    <w:p>
                      <w:pPr>
                        <w:pStyle w:val="Normal"/>
                        <w:spacing w:before="240" w:after="0"/>
                        <w:jc w:val="center"/>
                        <w:rPr>
                          <w:b/>
                          <w:smallCaps/>
                          <w:sz w:val="32"/>
                        </w:rPr>
                      </w:pPr>
                      <w:r>
                        <w:rPr>
                          <w:b/>
                          <w:smallCaps/>
                          <w:sz w:val="32"/>
                        </w:rPr>
                        <w:t>Enron Monterrey Power Project</w:t>
                      </w:r>
                    </w:p>
                  </w:txbxContent>
                </v:textbox>
                <w10:wrap type="none"/>
              </v:rect>
            </w:pict>
          </mc:Fallback>
        </mc:AlternateContent>
      </w:r>
    </w:p>
    <w:p>
      <w:pPr>
        <w:pStyle w:val="Hidden"/>
        <w:rPr/>
      </w:pPr>
      <w:r>
        <w:rPr/>
        <w:t>Nonstandard formatting throughout OK by front desk 06/13/00.  All fonts TNR.</w:t>
      </w:r>
    </w:p>
    <w:p>
      <w:pPr>
        <w:pStyle w:val="Hidden"/>
        <w:rPr/>
      </w:pPr>
      <w:r>
        <w:rPr/>
        <w:t>Maps are pictures pasted in power point for minor edtis.  Extensive edits will n eed to have maps recreated.</w:t>
      </w:r>
    </w:p>
    <w:p>
      <w:pPr>
        <w:pStyle w:val="Hidden"/>
        <w:rPr/>
      </w:pPr>
      <w:r>
        <w:rPr/>
        <w:t>Most used styles: Text (t), text bold (tb), text bold ital (tbi), text bold break (tbb), bullet 1 (1), et al.  Please stay consistent.</w:t>
      </w:r>
    </w:p>
    <w:p>
      <w:pPr>
        <w:pStyle w:val="Hidden"/>
        <w:rPr/>
      </w:pPr>
      <w:r>
        <w:rPr/>
        <w:t>Front page contains text box.  Edit in page layout.</w:t>
      </w:r>
    </w:p>
    <w:p>
      <w:pPr>
        <w:pStyle w:val="Body"/>
        <w:rPr>
          <w:lang w:val="en-CA"/>
        </w:rPr>
      </w:pPr>
      <w:r>
        <w:rPr>
          <w:lang w:val="en-CA"/>
        </w:rPr>
      </w:r>
    </w:p>
    <w:p>
      <w:pPr>
        <w:pStyle w:val="Normal"/>
        <w:keepNext w:val="true"/>
        <w:spacing w:before="480" w:after="0"/>
        <w:jc w:val="center"/>
        <w:rPr>
          <w:b/>
          <w:smallCaps/>
          <w:sz w:val="28"/>
          <w:lang w:val="en-CA"/>
        </w:rPr>
      </w:pPr>
      <w:r>
        <w:rPr>
          <w:b/>
          <w:smallCaps/>
          <w:sz w:val="28"/>
          <w:lang w:val="en-CA"/>
        </w:rPr>
      </w:r>
    </w:p>
    <w:p>
      <w:pPr>
        <w:pStyle w:val="Normal"/>
        <w:keepNext w:val="true"/>
        <w:jc w:val="center"/>
        <w:rPr>
          <w:b/>
          <w:sz w:val="32"/>
        </w:rPr>
      </w:pPr>
      <w:r>
        <w:rPr>
          <w:b/>
          <w:smallCaps/>
          <w:sz w:val="28"/>
        </w:rPr>
        <w:t>Developed by</w:t>
      </w:r>
    </w:p>
    <w:p>
      <w:pPr>
        <w:pStyle w:val="Normal"/>
        <w:jc w:val="center"/>
        <w:rPr>
          <w:b/>
          <w:sz w:val="32"/>
          <w:lang w:val="en-CA"/>
        </w:rPr>
      </w:pPr>
      <w:r>
        <w:rPr>
          <w:b/>
          <w:sz w:val="32"/>
          <w:lang w:val="en-CA"/>
        </w:rPr>
      </w:r>
    </w:p>
    <w:p>
      <w:pPr>
        <w:pStyle w:val="Normal"/>
        <w:jc w:val="center"/>
        <w:rPr>
          <w:b/>
          <w:lang w:val="en-CA"/>
        </w:rPr>
      </w:pPr>
      <w:r>
        <w:rPr>
          <w:b/>
          <w:lang w:val="en-CA"/>
        </w:rPr>
      </w:r>
    </w:p>
    <w:p>
      <w:pPr>
        <w:pStyle w:val="Normal"/>
        <w:jc w:val="center"/>
        <w:rPr>
          <w:b/>
          <w:sz w:val="32"/>
          <w:lang w:val="en-CA"/>
        </w:rPr>
      </w:pPr>
      <w:r>
        <w:rPr>
          <w:b/>
          <w:sz w:val="20"/>
          <w:lang w:val="en-CA"/>
        </w:rPr>
        <w:drawing>
          <wp:inline distT="0" distB="0" distL="0" distR="0">
            <wp:extent cx="1370965" cy="13754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6" r="-6" b="-6"/>
                    <a:stretch>
                      <a:fillRect/>
                    </a:stretch>
                  </pic:blipFill>
                  <pic:spPr bwMode="auto">
                    <a:xfrm>
                      <a:off x="0" y="0"/>
                      <a:ext cx="1370965" cy="1375410"/>
                    </a:xfrm>
                    <a:prstGeom prst="rect">
                      <a:avLst/>
                    </a:prstGeom>
                    <a:noFill/>
                  </pic:spPr>
                </pic:pic>
              </a:graphicData>
            </a:graphic>
          </wp:inline>
        </w:drawing>
      </w:r>
    </w:p>
    <w:p>
      <w:pPr>
        <w:pStyle w:val="Normal"/>
        <w:keepNext w:val="true"/>
        <w:spacing w:before="720" w:after="0"/>
        <w:jc w:val="center"/>
        <w:rPr>
          <w:b/>
          <w:smallCaps/>
          <w:sz w:val="28"/>
        </w:rPr>
      </w:pPr>
      <w:r>
        <w:rPr>
          <w:b/>
          <w:smallCaps/>
          <w:sz w:val="28"/>
        </w:rPr>
        <w:t>Confidential Information Memorandum</w:t>
      </w:r>
    </w:p>
    <w:p>
      <w:pPr>
        <w:pStyle w:val="Normal"/>
        <w:keepNext w:val="true"/>
        <w:spacing w:before="480" w:after="0"/>
        <w:jc w:val="center"/>
        <w:rPr>
          <w:b/>
          <w:smallCaps/>
          <w:sz w:val="28"/>
        </w:rPr>
      </w:pPr>
      <w:r>
        <w:rPr>
          <w:b/>
          <w:smallCaps/>
          <w:sz w:val="28"/>
        </w:rPr>
      </w:r>
    </w:p>
    <w:p>
      <w:pPr>
        <w:pStyle w:val="Normal"/>
        <w:keepNext w:val="true"/>
        <w:spacing w:before="480" w:after="0"/>
        <w:jc w:val="center"/>
        <w:rPr>
          <w:b/>
          <w:smallCaps/>
          <w:sz w:val="28"/>
        </w:rPr>
      </w:pPr>
      <w:r>
        <w:rPr>
          <w:b/>
          <w:smallCaps/>
          <w:sz w:val="28"/>
        </w:rPr>
      </w:r>
    </w:p>
    <w:p>
      <w:pPr>
        <w:pStyle w:val="Normal"/>
        <w:keepNext w:val="true"/>
        <w:spacing w:before="480" w:after="0"/>
        <w:rPr>
          <w:b/>
          <w:smallCaps/>
          <w:sz w:val="28"/>
        </w:rPr>
      </w:pPr>
      <w:r>
        <w:rPr>
          <w:b/>
          <w:smallCaps/>
          <w:sz w:val="28"/>
        </w:rPr>
      </w:r>
    </w:p>
    <w:p>
      <w:pPr>
        <w:pStyle w:val="Coverdate"/>
        <w:spacing w:before="120" w:after="0"/>
        <w:jc w:val="center"/>
        <w:rPr>
          <w:b/>
        </w:rPr>
      </w:pPr>
      <w:r>
        <w:rPr>
          <w:sz w:val="20"/>
        </w:rPr>
        <w:drawing>
          <wp:inline distT="0" distB="0" distL="0" distR="0">
            <wp:extent cx="1042035" cy="6216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39" t="-39" r="-39" b="-39"/>
                    <a:stretch>
                      <a:fillRect/>
                    </a:stretch>
                  </pic:blipFill>
                  <pic:spPr bwMode="auto">
                    <a:xfrm>
                      <a:off x="0" y="0"/>
                      <a:ext cx="1042035" cy="621665"/>
                    </a:xfrm>
                    <a:prstGeom prst="rect">
                      <a:avLst/>
                    </a:prstGeom>
                    <a:noFill/>
                  </pic:spPr>
                </pic:pic>
              </a:graphicData>
            </a:graphic>
          </wp:inline>
        </w:drawing>
      </w:r>
    </w:p>
    <w:p>
      <w:pPr>
        <w:pStyle w:val="Coverdate"/>
        <w:spacing w:before="120" w:after="0"/>
        <w:jc w:val="center"/>
        <w:rPr>
          <w:sz w:val="20"/>
        </w:rPr>
      </w:pPr>
      <w:r>
        <w:rPr>
          <w:rFonts w:cs="Times New Roman" w:ascii="Times New Roman" w:hAnsi="Times New Roman"/>
          <w:caps/>
          <w:sz w:val="28"/>
        </w:rPr>
        <w:t>Société Générale</w:t>
      </w:r>
    </w:p>
    <w:p>
      <w:pPr>
        <w:pStyle w:val="Coverdate"/>
        <w:spacing w:before="120" w:after="0"/>
        <w:jc w:val="center"/>
        <w:rPr>
          <w:rFonts w:ascii="Times New Roman" w:hAnsi="Times New Roman" w:cs="Times New Roman"/>
          <w:sz w:val="20"/>
        </w:rPr>
      </w:pPr>
      <w:r>
        <w:rPr>
          <w:rFonts w:cs="Times New Roman" w:ascii="Times New Roman" w:hAnsi="Times New Roman"/>
          <w:sz w:val="20"/>
        </w:rPr>
      </w:r>
    </w:p>
    <w:p>
      <w:pPr>
        <w:pStyle w:val="Coverdate"/>
        <w:spacing w:before="120" w:after="0"/>
        <w:jc w:val="center"/>
        <w:rPr>
          <w:rFonts w:ascii="Times New Roman" w:hAnsi="Times New Roman" w:cs="Times New Roman"/>
        </w:rPr>
      </w:pPr>
      <w:r>
        <w:rPr>
          <w:rFonts w:cs="Times New Roman" w:ascii="Times New Roman" w:hAnsi="Times New Roman"/>
        </w:rPr>
        <w:t xml:space="preserve">November 2000 </w:t>
      </w:r>
    </w:p>
    <w:p>
      <w:pPr>
        <w:sectPr>
          <w:headerReference w:type="default" r:id="rId4"/>
          <w:type w:val="nextPage"/>
          <w:pgSz w:w="12240" w:h="15840"/>
          <w:pgMar w:left="1627" w:right="1267" w:gutter="0" w:header="432" w:top="1440" w:footer="0" w:bottom="1440"/>
          <w:pgNumType w:fmt="decimal"/>
          <w:formProt w:val="false"/>
          <w:textDirection w:val="lrTb"/>
          <w:docGrid w:type="default" w:linePitch="360" w:charSpace="0"/>
        </w:sectPr>
        <w:pStyle w:val="Body"/>
        <w:ind w:start="-3150" w:end="0"/>
        <w:rPr>
          <w:rFonts w:ascii="Times New Roman" w:hAnsi="Times New Roman" w:cs="Times New Roman"/>
        </w:rPr>
      </w:pPr>
      <w:r>
        <w:rPr>
          <w:rFonts w:cs="Times New Roman"/>
        </w:rPr>
      </w:r>
      <w:r>
        <w:br w:type="page"/>
      </w:r>
    </w:p>
    <w:p>
      <w:pPr>
        <w:pStyle w:val="Normal"/>
        <w:spacing w:before="0" w:after="360"/>
        <w:rPr>
          <w:caps/>
          <w:sz w:val="28"/>
        </w:rPr>
      </w:pPr>
      <w:r>
        <w:rPr>
          <w:caps/>
          <w:sz w:val="28"/>
        </w:rPr>
        <w:t>TABLE OF CONTENTS</w:t>
      </w:r>
    </w:p>
    <w:p>
      <w:pPr>
        <w:pStyle w:val="TOC2"/>
        <w:spacing w:before="0" w:after="0"/>
        <w:rPr>
          <w:sz w:val="20"/>
        </w:rPr>
      </w:pPr>
      <w:r>
        <w:rPr>
          <w:sz w:val="20"/>
        </w:rPr>
        <w:t>DISCLAIMER</w:t>
      </w:r>
    </w:p>
    <w:p>
      <w:pPr>
        <w:pStyle w:val="TOC2"/>
        <w:spacing w:before="0" w:after="0"/>
        <w:rPr>
          <w:sz w:val="20"/>
        </w:rPr>
      </w:pPr>
      <w:r>
        <w:rPr>
          <w:sz w:val="20"/>
        </w:rPr>
        <w:t>CONTACT LIST</w:t>
      </w:r>
    </w:p>
    <w:p>
      <w:pPr>
        <w:pStyle w:val="TOC2"/>
        <w:spacing w:before="0" w:after="0"/>
        <w:rPr>
          <w:sz w:val="20"/>
        </w:rPr>
      </w:pPr>
      <w:r>
        <w:rPr>
          <w:sz w:val="20"/>
        </w:rPr>
        <w:t>TRANSACTION TIMELINE</w:t>
      </w:r>
    </w:p>
    <w:p>
      <w:pPr>
        <w:pStyle w:val="TOC2"/>
        <w:spacing w:before="0" w:after="0"/>
        <w:rPr>
          <w:sz w:val="20"/>
        </w:rPr>
      </w:pPr>
      <w:r>
        <w:rPr>
          <w:sz w:val="20"/>
        </w:rPr>
        <w:t>GLOSSARY</w:t>
      </w:r>
    </w:p>
    <w:p>
      <w:pPr>
        <w:pStyle w:val="TOC1"/>
        <w:numPr>
          <w:ilvl w:val="0"/>
          <w:numId w:val="9"/>
        </w:numPr>
        <w:ind w:hanging="0" w:start="0"/>
        <w:rPr/>
      </w:pPr>
      <w:r>
        <w:rPr/>
        <w:t>EXECUTIVE SUMMARY</w:t>
      </w:r>
    </w:p>
    <w:p>
      <w:pPr>
        <w:pStyle w:val="TOC1"/>
        <w:numPr>
          <w:ilvl w:val="0"/>
          <w:numId w:val="9"/>
        </w:numPr>
        <w:ind w:hanging="0" w:start="0"/>
        <w:rPr/>
      </w:pPr>
      <w:r>
        <w:rPr/>
        <w:t>key transaction merits</w:t>
      </w:r>
    </w:p>
    <w:p>
      <w:pPr>
        <w:pStyle w:val="TOC1"/>
        <w:numPr>
          <w:ilvl w:val="0"/>
          <w:numId w:val="9"/>
        </w:numPr>
        <w:ind w:hanging="0" w:start="0"/>
        <w:rPr/>
      </w:pPr>
      <w:r>
        <w:rPr/>
        <w:t>transaction Process</w:t>
      </w:r>
    </w:p>
    <w:p>
      <w:pPr>
        <w:pStyle w:val="TOC1"/>
        <w:numPr>
          <w:ilvl w:val="0"/>
          <w:numId w:val="9"/>
        </w:numPr>
        <w:ind w:hanging="0" w:start="0"/>
        <w:rPr/>
      </w:pPr>
      <w:r>
        <w:rPr/>
        <w:t>Project Description</w:t>
      </w:r>
    </w:p>
    <w:p>
      <w:pPr>
        <w:pStyle w:val="TOC1"/>
        <w:numPr>
          <w:ilvl w:val="0"/>
          <w:numId w:val="9"/>
        </w:numPr>
        <w:ind w:hanging="0" w:start="0"/>
        <w:rPr/>
      </w:pPr>
      <w:r>
        <w:rPr/>
        <w:t>contract summaries</w:t>
      </w:r>
    </w:p>
    <w:p>
      <w:pPr>
        <w:pStyle w:val="TOC1"/>
        <w:numPr>
          <w:ilvl w:val="0"/>
          <w:numId w:val="9"/>
        </w:numPr>
        <w:ind w:hanging="0" w:start="0"/>
        <w:rPr/>
      </w:pPr>
      <w:r>
        <w:rPr/>
        <w:t>PROFILE OF KEY CONTRACTUAL PARTIES</w:t>
      </w:r>
    </w:p>
    <w:p>
      <w:pPr>
        <w:pStyle w:val="TOC1"/>
        <w:numPr>
          <w:ilvl w:val="0"/>
          <w:numId w:val="9"/>
        </w:numPr>
        <w:ind w:hanging="0" w:start="0"/>
        <w:rPr/>
      </w:pPr>
      <w:r>
        <w:rPr/>
        <w:t>OPERATIONAL AND ECONOMIC ASSUMPTIONS</w:t>
      </w:r>
    </w:p>
    <w:p>
      <w:pPr>
        <w:pStyle w:val="TOC1"/>
        <w:numPr>
          <w:ilvl w:val="0"/>
          <w:numId w:val="0"/>
        </w:numPr>
        <w:spacing w:before="600" w:after="0"/>
        <w:ind w:hanging="0" w:start="0"/>
        <w:rPr/>
      </w:pPr>
      <w:r>
        <w:rPr/>
        <w:t>Appendices</w:t>
      </w:r>
    </w:p>
    <w:p>
      <w:pPr>
        <w:pStyle w:val="TOC21"/>
        <w:numPr>
          <w:ilvl w:val="0"/>
          <w:numId w:val="10"/>
        </w:numPr>
        <w:rPr/>
      </w:pPr>
      <w:r>
        <w:rPr/>
        <w:t>THE MEXICAN POWER SECTOR</w:t>
      </w:r>
    </w:p>
    <w:p>
      <w:pPr>
        <w:sectPr>
          <w:headerReference w:type="default" r:id="rId5"/>
          <w:headerReference w:type="first" r:id="rId6"/>
          <w:footerReference w:type="default" r:id="rId7"/>
          <w:type w:val="nextPage"/>
          <w:pgSz w:w="12240" w:h="15840"/>
          <w:pgMar w:left="1584" w:right="1296" w:gutter="0" w:header="288" w:top="1440" w:footer="504" w:bottom="1440"/>
          <w:pgNumType w:fmt="lowerRoman"/>
          <w:formProt w:val="false"/>
          <w:textDirection w:val="lrTb"/>
          <w:docGrid w:type="default" w:linePitch="360" w:charSpace="0"/>
        </w:sectPr>
        <w:pStyle w:val="TOC21"/>
        <w:numPr>
          <w:ilvl w:val="0"/>
          <w:numId w:val="10"/>
        </w:numPr>
        <w:rPr/>
      </w:pPr>
      <w:r>
        <w:rPr/>
        <w:t>OVERVIEW OF THE UNITED MEXICAN STATES</w:t>
      </w:r>
    </w:p>
    <w:p>
      <w:pPr>
        <w:pStyle w:val="Textbold"/>
        <w:rPr/>
      </w:pPr>
      <w:r>
        <w:rPr/>
        <w:t>DISCLAIMER</w:t>
      </w:r>
    </w:p>
    <w:p>
      <w:pPr>
        <w:pStyle w:val="WW-Text"/>
        <w:rPr/>
      </w:pPr>
      <w:r>
        <w:rPr/>
        <w:t>SOCIETE GENERALE (“SG”) HAS BEEN RETAINED BY ENRON NORTH AMERICA CORP. (“ENRON”) TO SERVE AS ITS FINANCIAL ADVISOR IN CONNECTION WITH THE SALE OF 50% OF THE EQUITY INTEREST (THE “INTEREST”) IN ENRON ENERGIA INDUSTRIAL DE MEXICO B.V. (THE “COMPANY”), A WHOLLY OWNED SUBSIDIARY OF ENRON CAPITAL &amp; TRADE RESOURCES MEXICO HOLDINGS B.V.</w:t>
      </w:r>
    </w:p>
    <w:p>
      <w:pPr>
        <w:pStyle w:val="WW-Text"/>
        <w:rPr/>
      </w:pPr>
      <w:r>
        <w:rPr/>
        <w:t xml:space="preserve">THIS CONFIDENTIAL INFORMATION MEMORANDUM (THE “MEMORANDUM”) IS SUBMITTED ON A CONFIDENTIAL BASIS FOR USE BY A SELECT NUMBER OF QUALIFIED PROSPECTIVE PURCHASERS SOLELY IN CONNECTION WITH THEIR CONSIDERATION OF THE PURCHASE OF THE INTEREST. THE DISTRIBUTION AND USE BY EACH OF THE RECIPIENTS OF THE INFORMATION CONTAINED HEREIN AND ANY OTHER INFORMATION PROVIDED TO THE RECIPIENTS BY ENRON OR SG IS GOVERNED BY A CONFIDENTIALITY AGREEMENT, A COPY OF WHICH HAS BEEN EXECUTED AND DELIVERED TO EACH RECIPIENT. </w:t>
      </w:r>
      <w:r>
        <w:rPr>
          <w:b/>
        </w:rPr>
        <w:t>IF YOU HAVE NOT EXECUTED AND DELIVERED SUCH A CONFIDENTIALITY AGREEMENT, YOU HAVE RECEIVED THIS MEMORANDUM IN ERROR. IF SO, PLEASE NOTIFY US IMMEDIATELY BY TELEPHONE, AND RETURN THE MEMORANDUM TO US AT THE ADDRESS BELOW.</w:t>
      </w:r>
    </w:p>
    <w:p>
      <w:pPr>
        <w:pStyle w:val="WW-Text"/>
        <w:rPr/>
      </w:pPr>
      <w:r>
        <w:rPr/>
        <w:t>THE SOLE PURPOSE OF THIS MEMORANDUM IS TO ASSIST THE RECIPIENT IN DECIDING WHETHER TO PROCEED WITH AN IN-DEPTH INVESTIGATION OF THE COMPANY IN ACCORDANCE WITH THE PROCEDURES ESTABLISHED BY ENRON AND SG. THIS MEMORANDUM DOES NOT PURPORT TO CONTAIN ALL OF THE INFORMATION THAT MAY BE REQUIRED TO EVALUATE ALL OF THE FACTORS THAT MAY BE RELEVANT TO A PROSPECTIVE PURCHASER CONSIDERING ACQUIRING THE INTEREST AND ANY PROSPECTIVE PURCHASER SHOULD CONDUCT ITS OWN INVESTIGATION AND ANALYSIS.</w:t>
      </w:r>
    </w:p>
    <w:p>
      <w:pPr>
        <w:pStyle w:val="WW-Text"/>
        <w:rPr/>
      </w:pPr>
      <w:r>
        <w:rPr/>
        <w:t xml:space="preserve">PROSPECTIVE PURCHASERS MAY NOT RELY UPON THE INFORMATION PROVIDED IN THIS MEMORANDUM. ONLY THOSE REPRESENTATIONS AND WARRANTIES WHICH MAY BE MADE IN A DEFINITIVE WRITTEN AGREEMENT RELATING TO A PURCHASE OF THE INTEREST, WHEN AND IF EXECUTED, AND SUBJECT TO ANY LIMITATIONS AND RESTRICTIONS AS MAY BE SPECIFIED IN SUCH DEFINITIVE AGREEMENT, SHALL HAVE ANY LEGAL EFFECT. NONE OF SG, ENRON, THE COMPANY, OR ANY OF THEIR RESPECTIVE ADVISERS OF AFFILIATES ASSUMES ANY RESPONSIBILITY FOR ANY OF THE INFORMATION SET FORTH IN THIS MEMORANDUM AND NONE OF SUCH PARTIES MAKES ANY EXPRESS OR IMPLIED REPRESENTATION OR WARRANTY AS TO THE ACCURACY OR COMPLETENESS OF THE INFORMATION CONTAINED IN THIS MEMORANDUM OR ANY OTHER WRITTEN OR ORAL COMMUNICATION TRANSMITTED OR MADE AVAILABLE TO ANY PROSPECTIVE PURCHASER, OR ASSUMES ANY RESPONSIBILITY FOR ANY OMISSIONS FROM OR MAKING ANY UPDATES TO OR CORRECTING ANY INACCURACY WHICH MAY COME TO THE ATTENTION OF SUCH PARTIES IN THIS MEMORANDUM. SG, ENRON, THE COMPANY, AND EACH OF THEIR RESPECTIVE ADVISERS AND AFFILIATES EXPRESSLY DISCLAIM ANY LIABILITY WHATSOEVER BASED, IN WHOLE OR IN PART, ON THE INFORMATION PROVIDED IN THIS MEMORANDUM, ERRORS HEREIN OR OMISSIONS HEREFROM. </w:t>
      </w:r>
    </w:p>
    <w:p>
      <w:pPr>
        <w:pStyle w:val="WW-Text"/>
        <w:rPr/>
      </w:pPr>
      <w:r>
        <w:rPr/>
        <w:t xml:space="preserve">THIS MEMORANDUM IS NOT A PROSPECTUS AND DOES NOT CONSTITUTE ANY OFFER OR SOLICITATION OF ANY OFFER IN RESPECT OF SECURITIES. THIS MEMORANDUM IS NOT INTENDED TO FORM THE BASIS OF AN INVESTMENT DECISION AND SHOULD NOT BE RELIED UPON FOR THAT PURPOSE. THIS MEMORANDUM HAS NOT BEEN REVIEWED, REGISTERED, OR FILED WITH ANY REGULATORY AUTHORITY. </w:t>
      </w:r>
    </w:p>
    <w:p>
      <w:pPr>
        <w:pStyle w:val="WW-Text"/>
        <w:rPr/>
      </w:pPr>
      <w:r>
        <w:rPr/>
        <w:t>THE INTERESTS HAVE NOT BEEN AND WILL NOT BE REGISTERED UNDER THE SECURITIES LAWS OF ANY JURISDICTION, OR APPROVED BY THE REGULATORY AUTHORITY OF ANY JURISDICTION. NO REGULATORY AUTHORITY HAS PASSED UPON THE ACCURACY OR ADEQUACY OF THIS MEMORANDUM.</w:t>
      </w:r>
    </w:p>
    <w:p>
      <w:pPr>
        <w:pStyle w:val="WW-Text"/>
        <w:rPr/>
      </w:pPr>
      <w:r>
        <w:rPr/>
        <w:t>THIS MEMORANDUM MAY NOT BE DISTRIBUTED IN ANY JURISDICTION IN WHICH THIS MEMORANDUM CANNOT BE DISTRIBUTED ON THE TERMS SET OUT HEREIN IN FULL COMPLIANCE WITH ALL APPLICABLE LAWS AND REGULATIONS ACCORDINGLY, BY ACCEPTING THIS MEMORANDUM, YOU REPRESENT THAT YOU ARE ABLE TO RECEIVE IT WITHOUT CAUSING ANY BREACH OF ANY LAW OR REGULATION. ANY PERSON RECEIVING THIS MEMORANDUM OTHER THAN IN COMPLIANCE AS AFORESAID IS REQUIRED TO RETURN THIS MEMORANDUM TO SG IMMEDIATELY.</w:t>
      </w:r>
    </w:p>
    <w:p>
      <w:pPr>
        <w:pStyle w:val="WW-Text"/>
        <w:rPr/>
      </w:pPr>
      <w:r>
        <w:rPr/>
        <w:t>THIS MEMORANDUM DOES NOT CONSTITUTE ANY RECOMMENDATION, VALUATION OR FORECAST FOR THE SECURITIES, ASSETS, BUSINESS, PRODUCTS OR OTHERWISE OF THE COMPANY. ANY FORECASTS OR FORWARD LOOKING STATEMENTS (WHICH CAN BE IDENTIFIED BY THE USE OF WORDS SUCH AS “MAY,” “WILL,” “SHOULD,” “SEEKS,” “EXPECTS,” “ANTICIPATES,” “ESTIMATES,” “BELIEVES,” AND SIMILAR EXPRESSIONS) OR ASSUMPTIONS ARE BASED ON NUMEROUS ASSUMPTIONS AND REFLECT THE PARTIES’ CURRENT EXPECTATIONS, ALL OF WHICH ARE SUBJECT TO AND INVOLVE KNOWN AND UNKNOWN RISKS, CONSIDERABLE UNCERTAINTIES AND OTHER FACTORS THAT MAY CAUSE THE ACTUAL FUTURE PERFORMANCE AND RESULTS TO BE MATERIALLY DIFFERENT FROM ANY PERFORMANCE OR RESULTS IMPLIED BY SUCH FORECASTS OR FORWARD LOOKING STATEMENTS AND SHOULD NOT BE RELIED ON. ACCORDINGLY, WITHOUT PREJUDICE TO THE OTHER DISCLAIMERS CONTAINED HEREIN, NONE OF SG, ENRON, THE COMPANY NOR ANY OF THEIR RESPECTIVE ADVISERS OR AFFILIATES, ACCEPTS ANY LIABILITY OR RESPONSIBILITY IN CONNECTION WITH SUCH FORECASTS, FORWARD LOOKING STATEMENTS, AND ASSUMPTIONS AS CONTAINED HEREIN.</w:t>
      </w:r>
    </w:p>
    <w:p>
      <w:pPr>
        <w:pStyle w:val="WW-Text"/>
        <w:rPr/>
      </w:pPr>
      <w:r>
        <w:rPr/>
        <w:t>THIS MEMORANDUM DOES NOT CONSTITUTE ANY RECOMMENDATION OR THE GIVING OF INVESTMENT ADVICE AND HAS BEEN PREPARED AND PROVIDED TO YOU ON THE BASIS THAT YOU ARE SOLELY RESPONSIBLE FOR MAKING YOUR OWN INDEPENDENT ASSESSMENT OF THIS MEMORANDUM, AND THE INTEREST.</w:t>
      </w:r>
    </w:p>
    <w:p>
      <w:pPr>
        <w:pStyle w:val="WW-Text"/>
        <w:rPr/>
      </w:pPr>
      <w:r>
        <w:rPr/>
        <w:t>PROSPECTIVE PURCHASERS ARE NOT TO CONSTRUE THE CONTENTS OF THIS MEMORANDUM AS LEGAL, BUSINESS OR TAX ADVICE. EACH PROSPECTIVE PURCHASER SHOULD CONSULT HIS OWN COUNSEL, ACCOUNTANT AND OTHER ADVISORS AS TO LEGAL, TAX, BUSINESS, FINANCIAL AND RELATED ASPECTS OF A PURCHASE OF THE INTEREST.</w:t>
      </w:r>
    </w:p>
    <w:p>
      <w:pPr>
        <w:pStyle w:val="WW-Text"/>
        <w:rPr>
          <w:b/>
        </w:rPr>
      </w:pPr>
      <w:r>
        <w:rPr>
          <w:b/>
        </w:rPr>
      </w:r>
    </w:p>
    <w:p>
      <w:pPr>
        <w:pStyle w:val="WW-Text"/>
        <w:rPr>
          <w:b/>
        </w:rPr>
      </w:pPr>
      <w:r>
        <w:rPr>
          <w:b/>
        </w:rPr>
      </w:r>
    </w:p>
    <w:p>
      <w:pPr>
        <w:pStyle w:val="WW-Text"/>
        <w:jc w:val="start"/>
        <w:rPr/>
      </w:pPr>
      <w:r>
        <w:rPr/>
        <w:t>OCTOBER 2000</w:t>
      </w:r>
    </w:p>
    <w:p>
      <w:pPr>
        <w:pStyle w:val="Textboldbreak"/>
        <w:rPr/>
      </w:pPr>
      <w:r>
        <w:rPr/>
        <w:t>CONTACT LIST</w:t>
      </w:r>
    </w:p>
    <w:p>
      <w:pPr>
        <w:pStyle w:val="WW-Text"/>
        <w:rPr/>
      </w:pPr>
      <w:r>
        <w:rPr/>
        <w:t>Inquiries regarding the proposed transaction should be directed to the following individuals:</w:t>
      </w:r>
    </w:p>
    <w:p>
      <w:pPr>
        <w:pStyle w:val="Textbold"/>
        <w:rPr/>
      </w:pPr>
      <w:r>
        <w:rPr/>
        <w:t>Société Générale</w:t>
      </w:r>
    </w:p>
    <w:p>
      <w:pPr>
        <w:pStyle w:val="WW-Text"/>
        <w:spacing w:before="0" w:after="0"/>
        <w:rPr/>
      </w:pPr>
      <w:r>
        <w:rPr/>
        <w:t>1221 Avenue of the Americas</w:t>
      </w:r>
    </w:p>
    <w:p>
      <w:pPr>
        <w:pStyle w:val="WW-Text"/>
        <w:spacing w:before="0" w:after="0"/>
        <w:rPr/>
      </w:pPr>
      <w:r>
        <w:rPr/>
        <w:t>New York, NY 10020</w:t>
      </w:r>
    </w:p>
    <w:p>
      <w:pPr>
        <w:pStyle w:val="Normal"/>
        <w:rPr/>
      </w:pPr>
      <w:r>
        <w:rPr/>
      </w:r>
    </w:p>
    <w:p>
      <w:pPr>
        <w:pStyle w:val="Normal"/>
        <w:rPr/>
      </w:pPr>
      <w:r>
        <w:rPr/>
      </w:r>
    </w:p>
    <w:tbl>
      <w:tblPr>
        <w:tblW w:w="9360" w:type="dxa"/>
        <w:jc w:val="start"/>
        <w:tblInd w:w="0" w:type="dxa"/>
        <w:tblLayout w:type="fixed"/>
        <w:tblCellMar>
          <w:top w:w="0" w:type="dxa"/>
          <w:start w:w="0" w:type="dxa"/>
          <w:bottom w:w="0" w:type="dxa"/>
          <w:end w:w="0" w:type="dxa"/>
        </w:tblCellMar>
      </w:tblPr>
      <w:tblGrid>
        <w:gridCol w:w="4050"/>
        <w:gridCol w:w="3150"/>
        <w:gridCol w:w="630"/>
        <w:gridCol w:w="1530"/>
      </w:tblGrid>
      <w:tr>
        <w:trPr/>
        <w:tc>
          <w:tcPr>
            <w:tcW w:w="4050" w:type="dxa"/>
            <w:tcBorders/>
          </w:tcPr>
          <w:p>
            <w:pPr>
              <w:pStyle w:val="Normal"/>
              <w:rPr/>
            </w:pPr>
            <w:r>
              <w:rPr/>
              <w:t>Roberto Simon</w:t>
            </w:r>
          </w:p>
        </w:tc>
        <w:tc>
          <w:tcPr>
            <w:tcW w:w="3150" w:type="dxa"/>
            <w:tcBorders/>
          </w:tcPr>
          <w:p>
            <w:pPr>
              <w:pStyle w:val="Normal"/>
              <w:rPr/>
            </w:pPr>
            <w:r>
              <w:rPr/>
              <w:t>Managing Director</w:t>
            </w:r>
          </w:p>
        </w:tc>
        <w:tc>
          <w:tcPr>
            <w:tcW w:w="630" w:type="dxa"/>
            <w:tcBorders/>
          </w:tcPr>
          <w:p>
            <w:pPr>
              <w:pStyle w:val="Normal"/>
              <w:rPr/>
            </w:pPr>
            <w:r>
              <w:rPr/>
              <w:t>Tel:</w:t>
            </w:r>
          </w:p>
        </w:tc>
        <w:tc>
          <w:tcPr>
            <w:tcW w:w="1530" w:type="dxa"/>
            <w:tcBorders/>
          </w:tcPr>
          <w:p>
            <w:pPr>
              <w:pStyle w:val="Normal"/>
              <w:rPr/>
            </w:pPr>
            <w:r>
              <w:rPr/>
              <w:t>(212) 278-5357</w:t>
            </w:r>
          </w:p>
        </w:tc>
      </w:tr>
      <w:tr>
        <w:trPr/>
        <w:tc>
          <w:tcPr>
            <w:tcW w:w="4050" w:type="dxa"/>
            <w:tcBorders/>
          </w:tcPr>
          <w:p>
            <w:pPr>
              <w:pStyle w:val="Normal"/>
              <w:rPr/>
            </w:pPr>
            <w:r>
              <w:rPr>
                <w:rStyle w:val="Hyperlink"/>
              </w:rPr>
              <w:t>roberto.simon@us.socgen.com</w:t>
            </w:r>
          </w:p>
        </w:tc>
        <w:tc>
          <w:tcPr>
            <w:tcW w:w="3150" w:type="dxa"/>
            <w:tcBorders/>
          </w:tcPr>
          <w:p>
            <w:pPr>
              <w:pStyle w:val="Normal"/>
              <w:snapToGrid w:val="false"/>
              <w:rPr/>
            </w:pPr>
            <w:r>
              <w:rPr/>
            </w:r>
          </w:p>
        </w:tc>
        <w:tc>
          <w:tcPr>
            <w:tcW w:w="630" w:type="dxa"/>
            <w:tcBorders/>
          </w:tcPr>
          <w:p>
            <w:pPr>
              <w:pStyle w:val="Normal"/>
              <w:rPr/>
            </w:pPr>
            <w:r>
              <w:rPr/>
              <w:t>Fax:</w:t>
            </w:r>
          </w:p>
        </w:tc>
        <w:tc>
          <w:tcPr>
            <w:tcW w:w="1530" w:type="dxa"/>
            <w:tcBorders/>
          </w:tcPr>
          <w:p>
            <w:pPr>
              <w:pStyle w:val="Normal"/>
              <w:rPr/>
            </w:pPr>
            <w:r>
              <w:rPr/>
              <w:t>(212) 278-6136</w:t>
            </w:r>
          </w:p>
        </w:tc>
      </w:tr>
      <w:tr>
        <w:trPr/>
        <w:tc>
          <w:tcPr>
            <w:tcW w:w="4050" w:type="dxa"/>
            <w:tcBorders/>
          </w:tcPr>
          <w:p>
            <w:pPr>
              <w:pStyle w:val="Normal"/>
              <w:snapToGrid w:val="false"/>
              <w:rPr/>
            </w:pPr>
            <w:r>
              <w:rPr/>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rPr/>
            </w:pPr>
            <w:r>
              <w:rPr/>
              <w:t>Leon Valera</w:t>
            </w:r>
          </w:p>
        </w:tc>
        <w:tc>
          <w:tcPr>
            <w:tcW w:w="3150" w:type="dxa"/>
            <w:tcBorders/>
          </w:tcPr>
          <w:p>
            <w:pPr>
              <w:pStyle w:val="Normal"/>
              <w:rPr/>
            </w:pPr>
            <w:r>
              <w:rPr/>
              <w:t>Vice President</w:t>
            </w:r>
          </w:p>
        </w:tc>
        <w:tc>
          <w:tcPr>
            <w:tcW w:w="630" w:type="dxa"/>
            <w:tcBorders/>
          </w:tcPr>
          <w:p>
            <w:pPr>
              <w:pStyle w:val="Normal"/>
              <w:rPr/>
            </w:pPr>
            <w:r>
              <w:rPr/>
              <w:t>Tel:</w:t>
            </w:r>
          </w:p>
        </w:tc>
        <w:tc>
          <w:tcPr>
            <w:tcW w:w="1530" w:type="dxa"/>
            <w:tcBorders/>
          </w:tcPr>
          <w:p>
            <w:pPr>
              <w:pStyle w:val="Normal"/>
              <w:rPr/>
            </w:pPr>
            <w:r>
              <w:rPr/>
              <w:t>(212) 278-5292</w:t>
            </w:r>
          </w:p>
        </w:tc>
      </w:tr>
      <w:tr>
        <w:trPr/>
        <w:tc>
          <w:tcPr>
            <w:tcW w:w="4050" w:type="dxa"/>
            <w:tcBorders/>
          </w:tcPr>
          <w:p>
            <w:pPr>
              <w:pStyle w:val="Normal"/>
              <w:rPr/>
            </w:pPr>
            <w:r>
              <w:rPr>
                <w:rStyle w:val="Hyperlink"/>
              </w:rPr>
              <w:t>leon.valera@us.socgen.com</w:t>
            </w:r>
          </w:p>
        </w:tc>
        <w:tc>
          <w:tcPr>
            <w:tcW w:w="3150" w:type="dxa"/>
            <w:tcBorders/>
          </w:tcPr>
          <w:p>
            <w:pPr>
              <w:pStyle w:val="Normal"/>
              <w:snapToGrid w:val="false"/>
              <w:rPr/>
            </w:pPr>
            <w:r>
              <w:rPr/>
            </w:r>
          </w:p>
        </w:tc>
        <w:tc>
          <w:tcPr>
            <w:tcW w:w="630" w:type="dxa"/>
            <w:tcBorders/>
          </w:tcPr>
          <w:p>
            <w:pPr>
              <w:pStyle w:val="Normal"/>
              <w:rPr/>
            </w:pPr>
            <w:r>
              <w:rPr/>
              <w:t>Fax:</w:t>
            </w:r>
          </w:p>
        </w:tc>
        <w:tc>
          <w:tcPr>
            <w:tcW w:w="1530" w:type="dxa"/>
            <w:tcBorders/>
          </w:tcPr>
          <w:p>
            <w:pPr>
              <w:pStyle w:val="Normal"/>
              <w:rPr/>
            </w:pPr>
            <w:r>
              <w:rPr/>
              <w:t>(212) 278-6136</w:t>
            </w:r>
          </w:p>
        </w:tc>
      </w:tr>
      <w:tr>
        <w:trPr/>
        <w:tc>
          <w:tcPr>
            <w:tcW w:w="4050" w:type="dxa"/>
            <w:tcBorders/>
          </w:tcPr>
          <w:p>
            <w:pPr>
              <w:pStyle w:val="Normal"/>
              <w:snapToGrid w:val="false"/>
              <w:rPr/>
            </w:pPr>
            <w:r>
              <w:rPr/>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rPr/>
            </w:pPr>
            <w:r>
              <w:rPr/>
              <w:t>Alejandro Valencia</w:t>
            </w:r>
          </w:p>
        </w:tc>
        <w:tc>
          <w:tcPr>
            <w:tcW w:w="3150" w:type="dxa"/>
            <w:tcBorders/>
          </w:tcPr>
          <w:p>
            <w:pPr>
              <w:pStyle w:val="Normal"/>
              <w:rPr/>
            </w:pPr>
            <w:r>
              <w:rPr/>
              <w:t>Associate</w:t>
            </w:r>
          </w:p>
        </w:tc>
        <w:tc>
          <w:tcPr>
            <w:tcW w:w="630" w:type="dxa"/>
            <w:tcBorders/>
          </w:tcPr>
          <w:p>
            <w:pPr>
              <w:pStyle w:val="Normal"/>
              <w:rPr/>
            </w:pPr>
            <w:r>
              <w:rPr/>
              <w:t>Tel:</w:t>
            </w:r>
          </w:p>
        </w:tc>
        <w:tc>
          <w:tcPr>
            <w:tcW w:w="1530" w:type="dxa"/>
            <w:tcBorders/>
          </w:tcPr>
          <w:p>
            <w:pPr>
              <w:pStyle w:val="Normal"/>
              <w:rPr/>
            </w:pPr>
            <w:r>
              <w:rPr/>
              <w:t>(212) 278-6601</w:t>
            </w:r>
          </w:p>
        </w:tc>
      </w:tr>
      <w:tr>
        <w:trPr/>
        <w:tc>
          <w:tcPr>
            <w:tcW w:w="4050" w:type="dxa"/>
            <w:tcBorders/>
          </w:tcPr>
          <w:p>
            <w:pPr>
              <w:pStyle w:val="Normal"/>
              <w:rPr/>
            </w:pPr>
            <w:r>
              <w:rPr>
                <w:rStyle w:val="Hyperlink"/>
              </w:rPr>
              <w:t>alejandro.valencia@us.socgen.com</w:t>
            </w:r>
          </w:p>
        </w:tc>
        <w:tc>
          <w:tcPr>
            <w:tcW w:w="3150" w:type="dxa"/>
            <w:tcBorders/>
          </w:tcPr>
          <w:p>
            <w:pPr>
              <w:pStyle w:val="Normal"/>
              <w:snapToGrid w:val="false"/>
              <w:rPr/>
            </w:pPr>
            <w:r>
              <w:rPr/>
            </w:r>
          </w:p>
        </w:tc>
        <w:tc>
          <w:tcPr>
            <w:tcW w:w="630" w:type="dxa"/>
            <w:tcBorders/>
          </w:tcPr>
          <w:p>
            <w:pPr>
              <w:pStyle w:val="Normal"/>
              <w:rPr/>
            </w:pPr>
            <w:r>
              <w:rPr/>
              <w:t>Fax:</w:t>
            </w:r>
          </w:p>
        </w:tc>
        <w:tc>
          <w:tcPr>
            <w:tcW w:w="1530" w:type="dxa"/>
            <w:tcBorders/>
          </w:tcPr>
          <w:p>
            <w:pPr>
              <w:pStyle w:val="Normal"/>
              <w:rPr/>
            </w:pPr>
            <w:r>
              <w:rPr/>
              <w:t>(212) 278-6136</w:t>
            </w:r>
          </w:p>
        </w:tc>
      </w:tr>
      <w:tr>
        <w:trPr/>
        <w:tc>
          <w:tcPr>
            <w:tcW w:w="4050" w:type="dxa"/>
            <w:tcBorders/>
          </w:tcPr>
          <w:p>
            <w:pPr>
              <w:pStyle w:val="Normal"/>
              <w:snapToGrid w:val="false"/>
              <w:rPr/>
            </w:pPr>
            <w:r>
              <w:rPr/>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rPr/>
            </w:pPr>
            <w:r>
              <w:rPr/>
              <w:t>Kevin Bailey</w:t>
            </w:r>
          </w:p>
        </w:tc>
        <w:tc>
          <w:tcPr>
            <w:tcW w:w="3150" w:type="dxa"/>
            <w:tcBorders/>
          </w:tcPr>
          <w:p>
            <w:pPr>
              <w:pStyle w:val="Normal"/>
              <w:rPr/>
            </w:pPr>
            <w:r>
              <w:rPr/>
              <w:t>Analyst</w:t>
            </w:r>
          </w:p>
        </w:tc>
        <w:tc>
          <w:tcPr>
            <w:tcW w:w="630" w:type="dxa"/>
            <w:tcBorders/>
          </w:tcPr>
          <w:p>
            <w:pPr>
              <w:pStyle w:val="Normal"/>
              <w:rPr/>
            </w:pPr>
            <w:r>
              <w:rPr/>
              <w:t>Tel:</w:t>
            </w:r>
          </w:p>
        </w:tc>
        <w:tc>
          <w:tcPr>
            <w:tcW w:w="1530" w:type="dxa"/>
            <w:tcBorders/>
          </w:tcPr>
          <w:p>
            <w:pPr>
              <w:pStyle w:val="Normal"/>
              <w:rPr/>
            </w:pPr>
            <w:r>
              <w:rPr/>
              <w:t>(212) 278-5953</w:t>
            </w:r>
          </w:p>
        </w:tc>
      </w:tr>
      <w:tr>
        <w:trPr/>
        <w:tc>
          <w:tcPr>
            <w:tcW w:w="4050" w:type="dxa"/>
            <w:tcBorders/>
          </w:tcPr>
          <w:p>
            <w:pPr>
              <w:pStyle w:val="Normal"/>
              <w:rPr/>
            </w:pPr>
            <w:r>
              <w:rPr>
                <w:rStyle w:val="Hyperlink"/>
              </w:rPr>
              <w:t>kevin.bailey@us.socgen.com</w:t>
            </w:r>
          </w:p>
        </w:tc>
        <w:tc>
          <w:tcPr>
            <w:tcW w:w="3150" w:type="dxa"/>
            <w:tcBorders/>
          </w:tcPr>
          <w:p>
            <w:pPr>
              <w:pStyle w:val="Normal"/>
              <w:snapToGrid w:val="false"/>
              <w:rPr/>
            </w:pPr>
            <w:r>
              <w:rPr/>
            </w:r>
          </w:p>
        </w:tc>
        <w:tc>
          <w:tcPr>
            <w:tcW w:w="630" w:type="dxa"/>
            <w:tcBorders/>
          </w:tcPr>
          <w:p>
            <w:pPr>
              <w:pStyle w:val="Normal"/>
              <w:rPr/>
            </w:pPr>
            <w:r>
              <w:rPr/>
              <w:t>Fax:</w:t>
            </w:r>
          </w:p>
        </w:tc>
        <w:tc>
          <w:tcPr>
            <w:tcW w:w="1530" w:type="dxa"/>
            <w:tcBorders/>
          </w:tcPr>
          <w:p>
            <w:pPr>
              <w:pStyle w:val="Normal"/>
              <w:rPr/>
            </w:pPr>
            <w:r>
              <w:rPr/>
              <w:t>(212) 278-6136</w:t>
            </w:r>
          </w:p>
        </w:tc>
      </w:tr>
      <w:tr>
        <w:trPr/>
        <w:tc>
          <w:tcPr>
            <w:tcW w:w="4050" w:type="dxa"/>
            <w:tcBorders/>
          </w:tcPr>
          <w:p>
            <w:pPr>
              <w:pStyle w:val="Normal"/>
              <w:snapToGrid w:val="false"/>
              <w:rPr/>
            </w:pPr>
            <w:r>
              <w:rPr/>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snapToGrid w:val="false"/>
              <w:rPr>
                <w:b/>
              </w:rPr>
            </w:pPr>
            <w:r>
              <w:rPr>
                <w:b/>
              </w:rPr>
            </w:r>
          </w:p>
        </w:tc>
        <w:tc>
          <w:tcPr>
            <w:tcW w:w="3150" w:type="dxa"/>
            <w:tcBorders/>
          </w:tcPr>
          <w:p>
            <w:pPr>
              <w:pStyle w:val="Normal"/>
              <w:snapToGrid w:val="false"/>
              <w:rPr>
                <w:b/>
              </w:rPr>
            </w:pPr>
            <w:r>
              <w:rPr>
                <w:b/>
              </w:rPr>
            </w:r>
          </w:p>
        </w:tc>
        <w:tc>
          <w:tcPr>
            <w:tcW w:w="630" w:type="dxa"/>
            <w:tcBorders/>
          </w:tcPr>
          <w:p>
            <w:pPr>
              <w:pStyle w:val="Normal"/>
              <w:snapToGrid w:val="false"/>
              <w:rPr>
                <w:b/>
              </w:rPr>
            </w:pPr>
            <w:r>
              <w:rPr>
                <w:b/>
              </w:rPr>
            </w:r>
          </w:p>
        </w:tc>
        <w:tc>
          <w:tcPr>
            <w:tcW w:w="1530" w:type="dxa"/>
            <w:tcBorders/>
          </w:tcPr>
          <w:p>
            <w:pPr>
              <w:pStyle w:val="Normal"/>
              <w:snapToGrid w:val="false"/>
              <w:rPr>
                <w:b/>
              </w:rPr>
            </w:pPr>
            <w:r>
              <w:rPr>
                <w:b/>
              </w:rPr>
            </w:r>
          </w:p>
        </w:tc>
      </w:tr>
      <w:tr>
        <w:trPr/>
        <w:tc>
          <w:tcPr>
            <w:tcW w:w="4050" w:type="dxa"/>
            <w:tcBorders/>
          </w:tcPr>
          <w:p>
            <w:pPr>
              <w:pStyle w:val="Normal"/>
              <w:rPr>
                <w:b/>
              </w:rPr>
            </w:pPr>
            <w:r>
              <w:rPr>
                <w:b/>
              </w:rPr>
              <w:t>Enron North America</w:t>
            </w:r>
          </w:p>
        </w:tc>
        <w:tc>
          <w:tcPr>
            <w:tcW w:w="3150" w:type="dxa"/>
            <w:tcBorders/>
          </w:tcPr>
          <w:p>
            <w:pPr>
              <w:pStyle w:val="Normal"/>
              <w:snapToGrid w:val="false"/>
              <w:rPr>
                <w:b/>
              </w:rPr>
            </w:pPr>
            <w:r>
              <w:rPr>
                <w:b/>
              </w:rPr>
            </w:r>
          </w:p>
        </w:tc>
        <w:tc>
          <w:tcPr>
            <w:tcW w:w="630" w:type="dxa"/>
            <w:tcBorders/>
          </w:tcPr>
          <w:p>
            <w:pPr>
              <w:pStyle w:val="Normal"/>
              <w:snapToGrid w:val="false"/>
              <w:rPr>
                <w:b/>
              </w:rPr>
            </w:pPr>
            <w:r>
              <w:rPr>
                <w:b/>
              </w:rPr>
            </w:r>
          </w:p>
        </w:tc>
        <w:tc>
          <w:tcPr>
            <w:tcW w:w="1530" w:type="dxa"/>
            <w:tcBorders/>
          </w:tcPr>
          <w:p>
            <w:pPr>
              <w:pStyle w:val="Normal"/>
              <w:snapToGrid w:val="false"/>
              <w:rPr>
                <w:b/>
              </w:rPr>
            </w:pPr>
            <w:r>
              <w:rPr>
                <w:b/>
              </w:rPr>
            </w:r>
          </w:p>
        </w:tc>
      </w:tr>
      <w:tr>
        <w:trPr/>
        <w:tc>
          <w:tcPr>
            <w:tcW w:w="4050" w:type="dxa"/>
            <w:tcBorders/>
          </w:tcPr>
          <w:p>
            <w:pPr>
              <w:pStyle w:val="Normal"/>
              <w:rPr/>
            </w:pPr>
            <w:r>
              <w:rPr/>
              <w:t>1400 Smith Street</w:t>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rPr/>
            </w:pPr>
            <w:r>
              <w:rPr/>
              <w:t>Houston, TX 77002</w:t>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snapToGrid w:val="false"/>
              <w:rPr>
                <w:b/>
              </w:rPr>
            </w:pPr>
            <w:r>
              <w:rPr>
                <w:b/>
              </w:rPr>
            </w:r>
          </w:p>
        </w:tc>
        <w:tc>
          <w:tcPr>
            <w:tcW w:w="3150" w:type="dxa"/>
            <w:tcBorders/>
          </w:tcPr>
          <w:p>
            <w:pPr>
              <w:pStyle w:val="Normal"/>
              <w:snapToGrid w:val="false"/>
              <w:rPr>
                <w:b/>
              </w:rPr>
            </w:pPr>
            <w:r>
              <w:rPr>
                <w:b/>
              </w:rPr>
            </w:r>
          </w:p>
        </w:tc>
        <w:tc>
          <w:tcPr>
            <w:tcW w:w="630" w:type="dxa"/>
            <w:tcBorders/>
          </w:tcPr>
          <w:p>
            <w:pPr>
              <w:pStyle w:val="Normal"/>
              <w:snapToGrid w:val="false"/>
              <w:rPr>
                <w:b/>
              </w:rPr>
            </w:pPr>
            <w:r>
              <w:rPr>
                <w:b/>
              </w:rPr>
            </w:r>
          </w:p>
        </w:tc>
        <w:tc>
          <w:tcPr>
            <w:tcW w:w="1530" w:type="dxa"/>
            <w:tcBorders/>
          </w:tcPr>
          <w:p>
            <w:pPr>
              <w:pStyle w:val="Normal"/>
              <w:snapToGrid w:val="false"/>
              <w:rPr>
                <w:b/>
              </w:rPr>
            </w:pPr>
            <w:r>
              <w:rPr>
                <w:b/>
              </w:rPr>
            </w:r>
          </w:p>
        </w:tc>
      </w:tr>
      <w:tr>
        <w:trPr/>
        <w:tc>
          <w:tcPr>
            <w:tcW w:w="4050" w:type="dxa"/>
            <w:tcBorders/>
          </w:tcPr>
          <w:p>
            <w:pPr>
              <w:pStyle w:val="Normal"/>
              <w:snapToGrid w:val="false"/>
              <w:rPr>
                <w:b/>
              </w:rPr>
            </w:pPr>
            <w:r>
              <w:rPr>
                <w:b/>
              </w:rPr>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rPr/>
            </w:pPr>
            <w:r>
              <w:rPr/>
              <w:t>Mark Wadlington</w:t>
            </w:r>
          </w:p>
        </w:tc>
        <w:tc>
          <w:tcPr>
            <w:tcW w:w="3150" w:type="dxa"/>
            <w:tcBorders/>
          </w:tcPr>
          <w:p>
            <w:pPr>
              <w:pStyle w:val="Normal"/>
              <w:rPr/>
            </w:pPr>
            <w:r>
              <w:rPr/>
              <w:t>Director</w:t>
            </w:r>
          </w:p>
        </w:tc>
        <w:tc>
          <w:tcPr>
            <w:tcW w:w="630" w:type="dxa"/>
            <w:tcBorders/>
          </w:tcPr>
          <w:p>
            <w:pPr>
              <w:pStyle w:val="Normal"/>
              <w:rPr/>
            </w:pPr>
            <w:r>
              <w:rPr/>
              <w:t>Tel:</w:t>
            </w:r>
          </w:p>
        </w:tc>
        <w:tc>
          <w:tcPr>
            <w:tcW w:w="1530" w:type="dxa"/>
            <w:tcBorders/>
          </w:tcPr>
          <w:p>
            <w:pPr>
              <w:pStyle w:val="Normal"/>
              <w:rPr/>
            </w:pPr>
            <w:r>
              <w:rPr/>
              <w:t>(713) 345-3617</w:t>
            </w:r>
          </w:p>
        </w:tc>
      </w:tr>
      <w:tr>
        <w:trPr/>
        <w:tc>
          <w:tcPr>
            <w:tcW w:w="4050" w:type="dxa"/>
            <w:tcBorders/>
          </w:tcPr>
          <w:p>
            <w:pPr>
              <w:pStyle w:val="Normal"/>
              <w:rPr/>
            </w:pPr>
            <w:r>
              <w:rPr>
                <w:rStyle w:val="Hyperlink"/>
              </w:rPr>
              <w:t>Mark.Wadlington@enron.com</w:t>
            </w:r>
          </w:p>
        </w:tc>
        <w:tc>
          <w:tcPr>
            <w:tcW w:w="3150" w:type="dxa"/>
            <w:tcBorders/>
          </w:tcPr>
          <w:p>
            <w:pPr>
              <w:pStyle w:val="Normal"/>
              <w:snapToGrid w:val="false"/>
              <w:rPr/>
            </w:pPr>
            <w:r>
              <w:rPr/>
            </w:r>
          </w:p>
        </w:tc>
        <w:tc>
          <w:tcPr>
            <w:tcW w:w="630" w:type="dxa"/>
            <w:tcBorders/>
          </w:tcPr>
          <w:p>
            <w:pPr>
              <w:pStyle w:val="Normal"/>
              <w:rPr/>
            </w:pPr>
            <w:r>
              <w:rPr/>
              <w:t>Fax:</w:t>
            </w:r>
          </w:p>
        </w:tc>
        <w:tc>
          <w:tcPr>
            <w:tcW w:w="1530" w:type="dxa"/>
            <w:tcBorders/>
          </w:tcPr>
          <w:p>
            <w:pPr>
              <w:pStyle w:val="Normal"/>
              <w:rPr/>
            </w:pPr>
            <w:r>
              <w:rPr/>
              <w:t>(713) 853-9917</w:t>
            </w:r>
          </w:p>
        </w:tc>
      </w:tr>
      <w:tr>
        <w:trPr/>
        <w:tc>
          <w:tcPr>
            <w:tcW w:w="4050" w:type="dxa"/>
            <w:tcBorders/>
          </w:tcPr>
          <w:p>
            <w:pPr>
              <w:pStyle w:val="Normal"/>
              <w:snapToGrid w:val="false"/>
              <w:rPr/>
            </w:pPr>
            <w:r>
              <w:rPr/>
            </w:r>
          </w:p>
        </w:tc>
        <w:tc>
          <w:tcPr>
            <w:tcW w:w="3150" w:type="dxa"/>
            <w:tcBorders/>
          </w:tcPr>
          <w:p>
            <w:pPr>
              <w:pStyle w:val="Normal"/>
              <w:snapToGrid w:val="false"/>
              <w:rPr/>
            </w:pPr>
            <w:r>
              <w:rPr/>
            </w:r>
          </w:p>
        </w:tc>
        <w:tc>
          <w:tcPr>
            <w:tcW w:w="630" w:type="dxa"/>
            <w:tcBorders/>
          </w:tcPr>
          <w:p>
            <w:pPr>
              <w:pStyle w:val="Normal"/>
              <w:snapToGrid w:val="false"/>
              <w:rPr/>
            </w:pPr>
            <w:r>
              <w:rPr/>
            </w:r>
          </w:p>
        </w:tc>
        <w:tc>
          <w:tcPr>
            <w:tcW w:w="1530" w:type="dxa"/>
            <w:tcBorders/>
          </w:tcPr>
          <w:p>
            <w:pPr>
              <w:pStyle w:val="Normal"/>
              <w:snapToGrid w:val="false"/>
              <w:rPr/>
            </w:pPr>
            <w:r>
              <w:rPr/>
            </w:r>
          </w:p>
        </w:tc>
      </w:tr>
      <w:tr>
        <w:trPr/>
        <w:tc>
          <w:tcPr>
            <w:tcW w:w="4050" w:type="dxa"/>
            <w:tcBorders/>
          </w:tcPr>
          <w:p>
            <w:pPr>
              <w:pStyle w:val="Normal"/>
              <w:rPr/>
            </w:pPr>
            <w:r>
              <w:rPr/>
              <w:t>Maria Elena Garcia</w:t>
            </w:r>
          </w:p>
        </w:tc>
        <w:tc>
          <w:tcPr>
            <w:tcW w:w="3150" w:type="dxa"/>
            <w:tcBorders/>
          </w:tcPr>
          <w:p>
            <w:pPr>
              <w:pStyle w:val="Normal"/>
              <w:rPr/>
            </w:pPr>
            <w:r>
              <w:rPr/>
              <w:t>Director</w:t>
            </w:r>
          </w:p>
        </w:tc>
        <w:tc>
          <w:tcPr>
            <w:tcW w:w="630" w:type="dxa"/>
            <w:tcBorders/>
          </w:tcPr>
          <w:p>
            <w:pPr>
              <w:pStyle w:val="Normal"/>
              <w:rPr/>
            </w:pPr>
            <w:r>
              <w:rPr/>
              <w:t>Tel:</w:t>
            </w:r>
          </w:p>
        </w:tc>
        <w:tc>
          <w:tcPr>
            <w:tcW w:w="1530" w:type="dxa"/>
            <w:tcBorders/>
          </w:tcPr>
          <w:p>
            <w:pPr>
              <w:pStyle w:val="Normal"/>
              <w:rPr/>
            </w:pPr>
            <w:r>
              <w:rPr/>
              <w:t>(713) 345-4395</w:t>
            </w:r>
          </w:p>
        </w:tc>
      </w:tr>
      <w:tr>
        <w:trPr/>
        <w:tc>
          <w:tcPr>
            <w:tcW w:w="4050" w:type="dxa"/>
            <w:tcBorders/>
          </w:tcPr>
          <w:p>
            <w:pPr>
              <w:pStyle w:val="Normal"/>
              <w:rPr/>
            </w:pPr>
            <w:r>
              <w:rPr>
                <w:rStyle w:val="Hyperlink"/>
              </w:rPr>
              <w:t>Maria.E.Garcia@enron.com</w:t>
            </w:r>
          </w:p>
        </w:tc>
        <w:tc>
          <w:tcPr>
            <w:tcW w:w="3150" w:type="dxa"/>
            <w:tcBorders/>
          </w:tcPr>
          <w:p>
            <w:pPr>
              <w:pStyle w:val="Normal"/>
              <w:snapToGrid w:val="false"/>
              <w:rPr/>
            </w:pPr>
            <w:r>
              <w:rPr/>
            </w:r>
          </w:p>
        </w:tc>
        <w:tc>
          <w:tcPr>
            <w:tcW w:w="630" w:type="dxa"/>
            <w:tcBorders/>
          </w:tcPr>
          <w:p>
            <w:pPr>
              <w:pStyle w:val="Normal"/>
              <w:rPr/>
            </w:pPr>
            <w:r>
              <w:rPr/>
              <w:t>Fax:</w:t>
            </w:r>
          </w:p>
        </w:tc>
        <w:tc>
          <w:tcPr>
            <w:tcW w:w="1530" w:type="dxa"/>
            <w:tcBorders/>
          </w:tcPr>
          <w:p>
            <w:pPr>
              <w:pStyle w:val="Normal"/>
              <w:rPr/>
            </w:pPr>
            <w:r>
              <w:rPr/>
              <w:t>(713) 853-9917</w:t>
            </w:r>
          </w:p>
        </w:tc>
      </w:tr>
    </w:tbl>
    <w:p>
      <w:pPr>
        <w:pStyle w:val="Normal"/>
        <w:rPr/>
      </w:pPr>
      <w:r>
        <w:rPr/>
      </w:r>
    </w:p>
    <w:p>
      <w:pPr>
        <w:pStyle w:val="Textboldbreak"/>
        <w:rPr/>
      </w:pPr>
      <w:r>
        <w:rPr/>
        <w:t>TRANSACTION TIMELINE</w:t>
      </w:r>
    </w:p>
    <w:p>
      <w:pPr>
        <w:pStyle w:val="Spacer"/>
        <w:rPr/>
      </w:pPr>
      <w:r>
        <w:rPr/>
      </w:r>
    </w:p>
    <w:p>
      <w:pPr>
        <w:pStyle w:val="Spacer"/>
        <w:rPr/>
      </w:pPr>
      <w:r>
        <w:rPr/>
      </w:r>
    </w:p>
    <w:tbl>
      <w:tblPr>
        <w:tblW w:w="7020" w:type="dxa"/>
        <w:jc w:val="start"/>
        <w:tblInd w:w="1458" w:type="dxa"/>
        <w:tblLayout w:type="fixed"/>
        <w:tblCellMar>
          <w:top w:w="0" w:type="dxa"/>
          <w:start w:w="108" w:type="dxa"/>
          <w:bottom w:w="0" w:type="dxa"/>
          <w:end w:w="108" w:type="dxa"/>
        </w:tblCellMar>
      </w:tblPr>
      <w:tblGrid>
        <w:gridCol w:w="504"/>
        <w:gridCol w:w="504"/>
        <w:gridCol w:w="504"/>
        <w:gridCol w:w="504"/>
        <w:gridCol w:w="504"/>
        <w:gridCol w:w="504"/>
        <w:gridCol w:w="504"/>
        <w:gridCol w:w="522"/>
        <w:gridCol w:w="504"/>
        <w:gridCol w:w="504"/>
        <w:gridCol w:w="504"/>
        <w:gridCol w:w="504"/>
        <w:gridCol w:w="504"/>
        <w:gridCol w:w="450"/>
      </w:tblGrid>
      <w:tr>
        <w:trPr/>
        <w:tc>
          <w:tcPr>
            <w:tcW w:w="3528" w:type="dxa"/>
            <w:gridSpan w:val="7"/>
            <w:tcBorders>
              <w:top w:val="single" w:sz="6" w:space="0" w:color="000000"/>
              <w:start w:val="single" w:sz="6" w:space="0" w:color="000000"/>
              <w:end w:val="single" w:sz="6" w:space="0" w:color="000000"/>
            </w:tcBorders>
            <w:shd w:fill="0000FF" w:val="clear"/>
          </w:tcPr>
          <w:p>
            <w:pPr>
              <w:pStyle w:val="TOC2"/>
              <w:spacing w:before="0" w:after="0"/>
              <w:jc w:val="center"/>
              <w:rPr>
                <w:b/>
                <w:color w:val="FFFFFF"/>
              </w:rPr>
            </w:pPr>
            <w:r>
              <w:rPr>
                <w:b/>
                <w:color w:val="FFFFFF"/>
              </w:rPr>
              <w:t>November 2000</w:t>
            </w:r>
          </w:p>
        </w:tc>
        <w:tc>
          <w:tcPr>
            <w:tcW w:w="3492" w:type="dxa"/>
            <w:gridSpan w:val="7"/>
            <w:tcBorders>
              <w:top w:val="single" w:sz="6" w:space="0" w:color="000000"/>
              <w:start w:val="single" w:sz="6" w:space="0" w:color="000000"/>
              <w:end w:val="single" w:sz="6" w:space="0" w:color="000000"/>
            </w:tcBorders>
            <w:shd w:fill="0000FF" w:val="clear"/>
          </w:tcPr>
          <w:p>
            <w:pPr>
              <w:pStyle w:val="TOC2"/>
              <w:spacing w:before="0" w:after="0"/>
              <w:jc w:val="center"/>
              <w:rPr>
                <w:b/>
                <w:color w:val="FFFFFF"/>
              </w:rPr>
            </w:pPr>
            <w:r>
              <w:rPr>
                <w:b/>
                <w:color w:val="FFFFFF"/>
              </w:rPr>
              <w:t>December 2000</w:t>
            </w:r>
          </w:p>
        </w:tc>
      </w:tr>
      <w:tr>
        <w:trPr/>
        <w:tc>
          <w:tcPr>
            <w:tcW w:w="504" w:type="dxa"/>
            <w:tcBorders>
              <w:top w:val="single" w:sz="6" w:space="0" w:color="000000"/>
              <w:start w:val="single" w:sz="6" w:space="0" w:color="000000"/>
            </w:tcBorders>
          </w:tcPr>
          <w:p>
            <w:pPr>
              <w:pStyle w:val="TOC2"/>
              <w:spacing w:before="0" w:after="0"/>
              <w:jc w:val="center"/>
              <w:rPr>
                <w:b/>
              </w:rPr>
            </w:pPr>
            <w:r>
              <w:rPr>
                <w:b/>
              </w:rPr>
              <w:t>S</w:t>
            </w:r>
          </w:p>
        </w:tc>
        <w:tc>
          <w:tcPr>
            <w:tcW w:w="504" w:type="dxa"/>
            <w:tcBorders>
              <w:top w:val="single" w:sz="6" w:space="0" w:color="000000"/>
            </w:tcBorders>
          </w:tcPr>
          <w:p>
            <w:pPr>
              <w:pStyle w:val="TOC2"/>
              <w:spacing w:before="0" w:after="0"/>
              <w:jc w:val="center"/>
              <w:rPr>
                <w:b/>
              </w:rPr>
            </w:pPr>
            <w:r>
              <w:rPr>
                <w:b/>
              </w:rPr>
              <w:t>M</w:t>
            </w:r>
          </w:p>
        </w:tc>
        <w:tc>
          <w:tcPr>
            <w:tcW w:w="504" w:type="dxa"/>
            <w:tcBorders>
              <w:top w:val="single" w:sz="6" w:space="0" w:color="000000"/>
            </w:tcBorders>
          </w:tcPr>
          <w:p>
            <w:pPr>
              <w:pStyle w:val="TOC2"/>
              <w:spacing w:before="0" w:after="0"/>
              <w:jc w:val="center"/>
              <w:rPr>
                <w:b/>
              </w:rPr>
            </w:pPr>
            <w:r>
              <w:rPr>
                <w:b/>
              </w:rPr>
              <w:t>T</w:t>
            </w:r>
          </w:p>
        </w:tc>
        <w:tc>
          <w:tcPr>
            <w:tcW w:w="504" w:type="dxa"/>
            <w:tcBorders>
              <w:top w:val="single" w:sz="6" w:space="0" w:color="000000"/>
            </w:tcBorders>
          </w:tcPr>
          <w:p>
            <w:pPr>
              <w:pStyle w:val="TOC2"/>
              <w:spacing w:before="0" w:after="0"/>
              <w:jc w:val="center"/>
              <w:rPr>
                <w:b/>
              </w:rPr>
            </w:pPr>
            <w:r>
              <w:rPr>
                <w:b/>
              </w:rPr>
              <w:t>W</w:t>
            </w:r>
          </w:p>
        </w:tc>
        <w:tc>
          <w:tcPr>
            <w:tcW w:w="504" w:type="dxa"/>
            <w:tcBorders>
              <w:top w:val="single" w:sz="6" w:space="0" w:color="000000"/>
            </w:tcBorders>
          </w:tcPr>
          <w:p>
            <w:pPr>
              <w:pStyle w:val="TOC2"/>
              <w:spacing w:before="0" w:after="0"/>
              <w:jc w:val="center"/>
              <w:rPr>
                <w:b/>
              </w:rPr>
            </w:pPr>
            <w:r>
              <w:rPr>
                <w:b/>
              </w:rPr>
              <w:t>T</w:t>
            </w:r>
          </w:p>
        </w:tc>
        <w:tc>
          <w:tcPr>
            <w:tcW w:w="504" w:type="dxa"/>
            <w:tcBorders>
              <w:top w:val="single" w:sz="6" w:space="0" w:color="000000"/>
            </w:tcBorders>
          </w:tcPr>
          <w:p>
            <w:pPr>
              <w:pStyle w:val="TOC2"/>
              <w:spacing w:before="0" w:after="0"/>
              <w:jc w:val="center"/>
              <w:rPr>
                <w:b/>
              </w:rPr>
            </w:pPr>
            <w:r>
              <w:rPr>
                <w:b/>
              </w:rPr>
              <w:t>F</w:t>
            </w:r>
          </w:p>
        </w:tc>
        <w:tc>
          <w:tcPr>
            <w:tcW w:w="504" w:type="dxa"/>
            <w:tcBorders>
              <w:top w:val="single" w:sz="6" w:space="0" w:color="000000"/>
              <w:end w:val="single" w:sz="6" w:space="0" w:color="000000"/>
            </w:tcBorders>
          </w:tcPr>
          <w:p>
            <w:pPr>
              <w:pStyle w:val="TOC2"/>
              <w:spacing w:before="0" w:after="0"/>
              <w:jc w:val="center"/>
              <w:rPr>
                <w:b/>
              </w:rPr>
            </w:pPr>
            <w:r>
              <w:rPr>
                <w:b/>
              </w:rPr>
              <w:t>S</w:t>
            </w:r>
          </w:p>
        </w:tc>
        <w:tc>
          <w:tcPr>
            <w:tcW w:w="522" w:type="dxa"/>
            <w:tcBorders>
              <w:top w:val="single" w:sz="6" w:space="0" w:color="000000"/>
              <w:start w:val="single" w:sz="6" w:space="0" w:color="000000"/>
            </w:tcBorders>
          </w:tcPr>
          <w:p>
            <w:pPr>
              <w:pStyle w:val="TOC2"/>
              <w:spacing w:before="0" w:after="0"/>
              <w:jc w:val="center"/>
              <w:rPr>
                <w:b/>
              </w:rPr>
            </w:pPr>
            <w:r>
              <w:rPr>
                <w:b/>
              </w:rPr>
              <w:t>S</w:t>
            </w:r>
          </w:p>
        </w:tc>
        <w:tc>
          <w:tcPr>
            <w:tcW w:w="504" w:type="dxa"/>
            <w:tcBorders>
              <w:top w:val="single" w:sz="6" w:space="0" w:color="000000"/>
            </w:tcBorders>
          </w:tcPr>
          <w:p>
            <w:pPr>
              <w:pStyle w:val="TOC2"/>
              <w:spacing w:before="0" w:after="0"/>
              <w:jc w:val="center"/>
              <w:rPr>
                <w:b/>
              </w:rPr>
            </w:pPr>
            <w:r>
              <w:rPr>
                <w:b/>
              </w:rPr>
              <w:t>M</w:t>
            </w:r>
          </w:p>
        </w:tc>
        <w:tc>
          <w:tcPr>
            <w:tcW w:w="504" w:type="dxa"/>
            <w:tcBorders>
              <w:top w:val="single" w:sz="6" w:space="0" w:color="000000"/>
            </w:tcBorders>
          </w:tcPr>
          <w:p>
            <w:pPr>
              <w:pStyle w:val="TOC2"/>
              <w:spacing w:before="0" w:after="0"/>
              <w:jc w:val="center"/>
              <w:rPr>
                <w:b/>
              </w:rPr>
            </w:pPr>
            <w:r>
              <w:rPr>
                <w:b/>
              </w:rPr>
              <w:t>T</w:t>
            </w:r>
          </w:p>
        </w:tc>
        <w:tc>
          <w:tcPr>
            <w:tcW w:w="504" w:type="dxa"/>
            <w:tcBorders>
              <w:top w:val="single" w:sz="6" w:space="0" w:color="000000"/>
            </w:tcBorders>
          </w:tcPr>
          <w:p>
            <w:pPr>
              <w:pStyle w:val="TOC2"/>
              <w:spacing w:before="0" w:after="0"/>
              <w:jc w:val="center"/>
              <w:rPr>
                <w:b/>
              </w:rPr>
            </w:pPr>
            <w:r>
              <w:rPr>
                <w:b/>
              </w:rPr>
              <w:t>W</w:t>
            </w:r>
          </w:p>
        </w:tc>
        <w:tc>
          <w:tcPr>
            <w:tcW w:w="504" w:type="dxa"/>
            <w:tcBorders>
              <w:top w:val="single" w:sz="6" w:space="0" w:color="000000"/>
            </w:tcBorders>
          </w:tcPr>
          <w:p>
            <w:pPr>
              <w:pStyle w:val="TOC2"/>
              <w:spacing w:before="0" w:after="0"/>
              <w:jc w:val="center"/>
              <w:rPr>
                <w:b/>
              </w:rPr>
            </w:pPr>
            <w:r>
              <w:rPr>
                <w:b/>
              </w:rPr>
              <w:t>T</w:t>
            </w:r>
          </w:p>
        </w:tc>
        <w:tc>
          <w:tcPr>
            <w:tcW w:w="504" w:type="dxa"/>
            <w:tcBorders>
              <w:top w:val="single" w:sz="6" w:space="0" w:color="000000"/>
            </w:tcBorders>
          </w:tcPr>
          <w:p>
            <w:pPr>
              <w:pStyle w:val="TOC2"/>
              <w:spacing w:before="0" w:after="0"/>
              <w:jc w:val="center"/>
              <w:rPr>
                <w:b/>
              </w:rPr>
            </w:pPr>
            <w:r>
              <w:rPr>
                <w:b/>
              </w:rPr>
              <w:t>F</w:t>
            </w:r>
          </w:p>
        </w:tc>
        <w:tc>
          <w:tcPr>
            <w:tcW w:w="450" w:type="dxa"/>
            <w:tcBorders>
              <w:top w:val="single" w:sz="6" w:space="0" w:color="000000"/>
              <w:end w:val="single" w:sz="6" w:space="0" w:color="000000"/>
            </w:tcBorders>
          </w:tcPr>
          <w:p>
            <w:pPr>
              <w:pStyle w:val="TOC2"/>
              <w:spacing w:before="0" w:after="0"/>
              <w:jc w:val="center"/>
              <w:rPr>
                <w:b/>
              </w:rPr>
            </w:pPr>
            <w:r>
              <w:rPr>
                <w:b/>
              </w:rPr>
              <w:t>S</w:t>
            </w:r>
          </w:p>
        </w:tc>
      </w:tr>
      <w:tr>
        <w:trPr/>
        <w:tc>
          <w:tcPr>
            <w:tcW w:w="504" w:type="dxa"/>
            <w:tcBorders>
              <w:start w:val="single" w:sz="6" w:space="0" w:color="000000"/>
            </w:tcBorders>
          </w:tcPr>
          <w:p>
            <w:pPr>
              <w:pStyle w:val="TOC2"/>
              <w:snapToGrid w:val="false"/>
              <w:spacing w:before="0" w:after="0"/>
              <w:jc w:val="center"/>
              <w:rPr>
                <w:b/>
              </w:rPr>
            </w:pPr>
            <w:r>
              <w:rPr>
                <w:b/>
              </w:rPr>
            </w:r>
          </w:p>
        </w:tc>
        <w:tc>
          <w:tcPr>
            <w:tcW w:w="504" w:type="dxa"/>
            <w:tcBorders/>
          </w:tcPr>
          <w:p>
            <w:pPr>
              <w:pStyle w:val="TOC2"/>
              <w:snapToGrid w:val="false"/>
              <w:spacing w:before="0" w:after="0"/>
              <w:jc w:val="center"/>
              <w:rPr/>
            </w:pPr>
            <w:r>
              <w:rPr/>
            </w:r>
          </w:p>
        </w:tc>
        <w:tc>
          <w:tcPr>
            <w:tcW w:w="504" w:type="dxa"/>
            <w:tcBorders/>
          </w:tcPr>
          <w:p>
            <w:pPr>
              <w:pStyle w:val="TOC2"/>
              <w:snapToGrid w:val="false"/>
              <w:spacing w:before="0" w:after="0"/>
              <w:jc w:val="center"/>
              <w:rPr/>
            </w:pPr>
            <w:r>
              <w:rPr/>
            </w:r>
          </w:p>
        </w:tc>
        <w:tc>
          <w:tcPr>
            <w:tcW w:w="504" w:type="dxa"/>
            <w:tcBorders/>
          </w:tcPr>
          <w:p>
            <w:pPr>
              <w:pStyle w:val="TOC2"/>
              <w:spacing w:before="0" w:after="0"/>
              <w:jc w:val="center"/>
              <w:rPr/>
            </w:pPr>
            <w:r>
              <w:rPr/>
              <w:t>1</w:t>
            </w:r>
          </w:p>
        </w:tc>
        <w:tc>
          <w:tcPr>
            <w:tcW w:w="504" w:type="dxa"/>
            <w:tcBorders/>
          </w:tcPr>
          <w:p>
            <w:pPr>
              <w:pStyle w:val="TOC2"/>
              <w:spacing w:before="0" w:after="0"/>
              <w:jc w:val="center"/>
              <w:rPr/>
            </w:pPr>
            <w:r>
              <w:rPr/>
              <w:t>2</w:t>
            </w:r>
          </w:p>
        </w:tc>
        <w:tc>
          <w:tcPr>
            <w:tcW w:w="504" w:type="dxa"/>
            <w:tcBorders/>
          </w:tcPr>
          <w:p>
            <w:pPr>
              <w:pStyle w:val="TOC2"/>
              <w:spacing w:before="0" w:after="0"/>
              <w:jc w:val="center"/>
              <w:rPr/>
            </w:pPr>
            <w:r>
              <w:rPr/>
              <w:t>3</w:t>
            </w:r>
          </w:p>
        </w:tc>
        <w:tc>
          <w:tcPr>
            <w:tcW w:w="504" w:type="dxa"/>
            <w:tcBorders>
              <w:end w:val="single" w:sz="6" w:space="0" w:color="000000"/>
            </w:tcBorders>
          </w:tcPr>
          <w:p>
            <w:pPr>
              <w:pStyle w:val="TOC2"/>
              <w:spacing w:before="0" w:after="0"/>
              <w:jc w:val="center"/>
              <w:rPr/>
            </w:pPr>
            <w:r>
              <w:rPr/>
              <w:t>4</w:t>
            </w:r>
          </w:p>
        </w:tc>
        <w:tc>
          <w:tcPr>
            <w:tcW w:w="522" w:type="dxa"/>
            <w:tcBorders>
              <w:start w:val="single" w:sz="6" w:space="0" w:color="000000"/>
            </w:tcBorders>
          </w:tcPr>
          <w:p>
            <w:pPr>
              <w:pStyle w:val="TOC2"/>
              <w:snapToGrid w:val="false"/>
              <w:spacing w:before="0" w:after="0"/>
              <w:jc w:val="center"/>
              <w:rPr/>
            </w:pPr>
            <w:r>
              <w:rPr/>
            </w:r>
          </w:p>
        </w:tc>
        <w:tc>
          <w:tcPr>
            <w:tcW w:w="504" w:type="dxa"/>
            <w:tcBorders/>
          </w:tcPr>
          <w:p>
            <w:pPr>
              <w:pStyle w:val="TOC2"/>
              <w:snapToGrid w:val="false"/>
              <w:spacing w:before="0" w:after="0"/>
              <w:jc w:val="center"/>
              <w:rPr/>
            </w:pPr>
            <w:r>
              <w:rPr/>
            </w:r>
          </w:p>
        </w:tc>
        <w:tc>
          <w:tcPr>
            <w:tcW w:w="504" w:type="dxa"/>
            <w:tcBorders/>
          </w:tcPr>
          <w:p>
            <w:pPr>
              <w:pStyle w:val="TOC2"/>
              <w:snapToGrid w:val="false"/>
              <w:spacing w:before="0" w:after="0"/>
              <w:jc w:val="center"/>
              <w:rPr/>
            </w:pPr>
            <w:r>
              <w:rPr/>
            </w:r>
          </w:p>
        </w:tc>
        <w:tc>
          <w:tcPr>
            <w:tcW w:w="504" w:type="dxa"/>
            <w:tcBorders/>
          </w:tcPr>
          <w:p>
            <w:pPr>
              <w:pStyle w:val="TOC2"/>
              <w:snapToGrid w:val="false"/>
              <w:spacing w:before="0" w:after="0"/>
              <w:jc w:val="center"/>
              <w:rPr/>
            </w:pPr>
            <w:r>
              <w:rPr/>
            </w:r>
          </w:p>
        </w:tc>
        <w:tc>
          <w:tcPr>
            <w:tcW w:w="504" w:type="dxa"/>
            <w:tcBorders/>
          </w:tcPr>
          <w:p>
            <w:pPr>
              <w:pStyle w:val="TOC2"/>
              <w:snapToGrid w:val="false"/>
              <w:spacing w:before="0" w:after="0"/>
              <w:jc w:val="center"/>
              <w:rPr/>
            </w:pPr>
            <w:r>
              <w:rPr/>
            </w:r>
          </w:p>
        </w:tc>
        <w:tc>
          <w:tcPr>
            <w:tcW w:w="504" w:type="dxa"/>
            <w:tcBorders/>
          </w:tcPr>
          <w:p>
            <w:pPr>
              <w:pStyle w:val="TOC2"/>
              <w:spacing w:before="0" w:after="0"/>
              <w:jc w:val="center"/>
              <w:rPr/>
            </w:pPr>
            <w:r>
              <w:rPr/>
              <w:t>1</w:t>
            </w:r>
          </w:p>
        </w:tc>
        <w:tc>
          <w:tcPr>
            <w:tcW w:w="450" w:type="dxa"/>
            <w:tcBorders>
              <w:end w:val="single" w:sz="6" w:space="0" w:color="000000"/>
            </w:tcBorders>
          </w:tcPr>
          <w:p>
            <w:pPr>
              <w:pStyle w:val="TOC2"/>
              <w:spacing w:before="0" w:after="0"/>
              <w:jc w:val="center"/>
              <w:rPr/>
            </w:pPr>
            <w:r>
              <w:rPr/>
              <w:t>2</w:t>
            </w:r>
          </w:p>
        </w:tc>
      </w:tr>
      <w:tr>
        <w:trPr/>
        <w:tc>
          <w:tcPr>
            <w:tcW w:w="504" w:type="dxa"/>
            <w:tcBorders>
              <w:start w:val="single" w:sz="6" w:space="0" w:color="000000"/>
            </w:tcBorders>
          </w:tcPr>
          <w:p>
            <w:pPr>
              <w:pStyle w:val="TOC2"/>
              <w:spacing w:before="0" w:after="0"/>
              <w:jc w:val="center"/>
              <w:rPr/>
            </w:pPr>
            <w:r>
              <w:rPr/>
              <w:t>5</w:t>
            </w:r>
          </w:p>
        </w:tc>
        <w:tc>
          <w:tcPr>
            <w:tcW w:w="504" w:type="dxa"/>
            <w:tcBorders/>
          </w:tcPr>
          <w:p>
            <w:pPr>
              <w:pStyle w:val="TOC2"/>
              <w:spacing w:before="0" w:after="0"/>
              <w:jc w:val="center"/>
              <w:rPr/>
            </w:pPr>
            <w:r>
              <w:rPr/>
              <w:t>6</w:t>
            </w:r>
          </w:p>
        </w:tc>
        <w:tc>
          <w:tcPr>
            <w:tcW w:w="504" w:type="dxa"/>
            <w:tcBorders/>
          </w:tcPr>
          <w:p>
            <w:pPr>
              <w:pStyle w:val="TOC2"/>
              <w:spacing w:before="0" w:after="0"/>
              <w:jc w:val="center"/>
              <w:rPr/>
            </w:pPr>
            <w:r>
              <w:rPr/>
              <w:t>7</w:t>
            </w:r>
          </w:p>
        </w:tc>
        <w:tc>
          <w:tcPr>
            <w:tcW w:w="504" w:type="dxa"/>
            <w:tcBorders/>
          </w:tcPr>
          <w:p>
            <w:pPr>
              <w:pStyle w:val="TOC2"/>
              <w:spacing w:before="0" w:after="0"/>
              <w:jc w:val="center"/>
              <w:rPr/>
            </w:pPr>
            <w:r>
              <w:rPr/>
              <w:t>8</w:t>
            </w:r>
          </w:p>
        </w:tc>
        <w:tc>
          <w:tcPr>
            <w:tcW w:w="504" w:type="dxa"/>
            <w:tcBorders/>
          </w:tcPr>
          <w:p>
            <w:pPr>
              <w:pStyle w:val="TOC2"/>
              <w:spacing w:before="0" w:after="0"/>
              <w:jc w:val="center"/>
              <w:rPr/>
            </w:pPr>
            <w:r>
              <w:rPr/>
              <w:t>9</w:t>
            </w:r>
          </w:p>
        </w:tc>
        <w:tc>
          <w:tcPr>
            <w:tcW w:w="504" w:type="dxa"/>
            <w:tcBorders/>
          </w:tcPr>
          <w:p>
            <w:pPr>
              <w:pStyle w:val="TOC2"/>
              <w:spacing w:before="0" w:after="0"/>
              <w:jc w:val="center"/>
              <w:rPr/>
            </w:pPr>
            <w:r>
              <w:rPr/>
              <w:t>10</w:t>
            </w:r>
          </w:p>
        </w:tc>
        <w:tc>
          <w:tcPr>
            <w:tcW w:w="504" w:type="dxa"/>
            <w:tcBorders>
              <w:end w:val="single" w:sz="6" w:space="0" w:color="000000"/>
            </w:tcBorders>
          </w:tcPr>
          <w:p>
            <w:pPr>
              <w:pStyle w:val="TOC2"/>
              <w:spacing w:before="0" w:after="0"/>
              <w:jc w:val="center"/>
              <w:rPr/>
            </w:pPr>
            <w:r>
              <w:rPr/>
              <w:t>11</w:t>
            </w:r>
          </w:p>
        </w:tc>
        <w:tc>
          <w:tcPr>
            <w:tcW w:w="522" w:type="dxa"/>
            <w:tcBorders>
              <w:start w:val="single" w:sz="6" w:space="0" w:color="000000"/>
            </w:tcBorders>
          </w:tcPr>
          <w:p>
            <w:pPr>
              <w:pStyle w:val="TOC2"/>
              <w:spacing w:before="0" w:after="0"/>
              <w:jc w:val="center"/>
              <w:rPr/>
            </w:pPr>
            <w:r>
              <w:rPr/>
              <w:t>3</w:t>
            </w:r>
          </w:p>
        </w:tc>
        <w:tc>
          <w:tcPr>
            <w:tcW w:w="504" w:type="dxa"/>
            <w:tcBorders/>
          </w:tcPr>
          <w:p>
            <w:pPr>
              <w:pStyle w:val="TOC2"/>
              <w:spacing w:before="0" w:after="0"/>
              <w:jc w:val="center"/>
              <w:rPr/>
            </w:pPr>
            <w:r>
              <w:rPr/>
              <w:t>4</w:t>
            </w:r>
          </w:p>
        </w:tc>
        <w:tc>
          <w:tcPr>
            <w:tcW w:w="504" w:type="dxa"/>
            <w:tcBorders/>
          </w:tcPr>
          <w:p>
            <w:pPr>
              <w:pStyle w:val="TOC2"/>
              <w:spacing w:before="0" w:after="0"/>
              <w:jc w:val="center"/>
              <w:rPr/>
            </w:pPr>
            <w:r>
              <w:rPr/>
              <w:t>5</w:t>
            </w:r>
          </w:p>
        </w:tc>
        <w:tc>
          <w:tcPr>
            <w:tcW w:w="504" w:type="dxa"/>
            <w:tcBorders/>
          </w:tcPr>
          <w:p>
            <w:pPr>
              <w:pStyle w:val="TOC2"/>
              <w:spacing w:before="0" w:after="0"/>
              <w:jc w:val="center"/>
              <w:rPr/>
            </w:pPr>
            <w:r>
              <w:rPr/>
              <w:t>6</w:t>
            </w:r>
          </w:p>
        </w:tc>
        <w:tc>
          <w:tcPr>
            <w:tcW w:w="504" w:type="dxa"/>
            <w:tcBorders/>
          </w:tcPr>
          <w:p>
            <w:pPr>
              <w:pStyle w:val="TOC2"/>
              <w:spacing w:before="0" w:after="0"/>
              <w:jc w:val="center"/>
              <w:rPr/>
            </w:pPr>
            <w:r>
              <w:rPr/>
              <w:t>7</w:t>
            </w:r>
          </w:p>
        </w:tc>
        <w:tc>
          <w:tcPr>
            <w:tcW w:w="504" w:type="dxa"/>
            <w:tcBorders/>
          </w:tcPr>
          <w:p>
            <w:pPr>
              <w:pStyle w:val="TOC2"/>
              <w:spacing w:before="0" w:after="0"/>
              <w:jc w:val="center"/>
              <w:rPr/>
            </w:pPr>
            <w:r>
              <w:rPr/>
              <w:t>8</w:t>
            </w:r>
          </w:p>
        </w:tc>
        <w:tc>
          <w:tcPr>
            <w:tcW w:w="450" w:type="dxa"/>
            <w:tcBorders>
              <w:end w:val="single" w:sz="6" w:space="0" w:color="000000"/>
            </w:tcBorders>
          </w:tcPr>
          <w:p>
            <w:pPr>
              <w:pStyle w:val="TOC2"/>
              <w:spacing w:before="0" w:after="0"/>
              <w:jc w:val="center"/>
              <w:rPr/>
            </w:pPr>
            <w:r>
              <w:rPr/>
              <w:t>9</w:t>
            </w:r>
          </w:p>
        </w:tc>
      </w:tr>
      <w:tr>
        <w:trPr/>
        <w:tc>
          <w:tcPr>
            <w:tcW w:w="504" w:type="dxa"/>
            <w:tcBorders>
              <w:start w:val="single" w:sz="6" w:space="0" w:color="000000"/>
            </w:tcBorders>
          </w:tcPr>
          <w:p>
            <w:pPr>
              <w:pStyle w:val="TOC2"/>
              <w:spacing w:before="0" w:after="0"/>
              <w:jc w:val="center"/>
              <w:rPr/>
            </w:pPr>
            <w:r>
              <w:rPr/>
              <w:t>12</w:t>
            </w:r>
          </w:p>
        </w:tc>
        <w:tc>
          <w:tcPr>
            <w:tcW w:w="504" w:type="dxa"/>
            <w:tcBorders/>
          </w:tcPr>
          <w:p>
            <w:pPr>
              <w:pStyle w:val="TOC2"/>
              <w:spacing w:before="0" w:after="0"/>
              <w:jc w:val="center"/>
              <w:rPr/>
            </w:pPr>
            <w:r>
              <w:rPr/>
              <w:t>13</w:t>
            </w:r>
          </w:p>
        </w:tc>
        <w:tc>
          <w:tcPr>
            <w:tcW w:w="504" w:type="dxa"/>
            <w:tcBorders/>
          </w:tcPr>
          <w:p>
            <w:pPr>
              <w:pStyle w:val="TOC2"/>
              <w:spacing w:before="0" w:after="0"/>
              <w:jc w:val="center"/>
              <w:rPr/>
            </w:pPr>
            <w:r>
              <w:rPr/>
              <w:t>14</w:t>
            </w:r>
          </w:p>
        </w:tc>
        <w:tc>
          <w:tcPr>
            <w:tcW w:w="504" w:type="dxa"/>
            <w:tcBorders/>
            <w:shd w:fill="FFFFFF" w:val="clear"/>
          </w:tcPr>
          <w:p>
            <w:pPr>
              <w:pStyle w:val="TOC2"/>
              <w:spacing w:before="0" w:after="0"/>
              <w:jc w:val="center"/>
              <w:rPr/>
            </w:pPr>
            <w:r>
              <w:rPr/>
              <w:t>15</w:t>
            </w:r>
          </w:p>
        </w:tc>
        <w:tc>
          <w:tcPr>
            <w:tcW w:w="504" w:type="dxa"/>
            <w:tcBorders/>
            <w:shd w:fill="FFFFFF" w:val="clear"/>
          </w:tcPr>
          <w:p>
            <w:pPr>
              <w:pStyle w:val="TOC2"/>
              <w:spacing w:before="0" w:after="0"/>
              <w:jc w:val="center"/>
              <w:rPr/>
            </w:pPr>
            <w:r>
              <w:rPr/>
              <w:t>16</w:t>
            </w:r>
          </w:p>
        </w:tc>
        <w:tc>
          <w:tcPr>
            <w:tcW w:w="504" w:type="dxa"/>
            <w:tcBorders/>
          </w:tcPr>
          <w:p>
            <w:pPr>
              <w:pStyle w:val="TOC2"/>
              <w:spacing w:before="0" w:after="0"/>
              <w:jc w:val="center"/>
              <w:rPr/>
            </w:pPr>
            <w:r>
              <w:rPr/>
              <w:t>17</w:t>
            </w:r>
          </w:p>
        </w:tc>
        <w:tc>
          <w:tcPr>
            <w:tcW w:w="504" w:type="dxa"/>
            <w:tcBorders>
              <w:end w:val="single" w:sz="6" w:space="0" w:color="000000"/>
            </w:tcBorders>
          </w:tcPr>
          <w:p>
            <w:pPr>
              <w:pStyle w:val="TOC2"/>
              <w:spacing w:before="0" w:after="0"/>
              <w:jc w:val="center"/>
              <w:rPr/>
            </w:pPr>
            <w:r>
              <w:rPr/>
              <w:t>18</w:t>
            </w:r>
          </w:p>
        </w:tc>
        <w:tc>
          <w:tcPr>
            <w:tcW w:w="522" w:type="dxa"/>
            <w:tcBorders>
              <w:start w:val="single" w:sz="6" w:space="0" w:color="000000"/>
            </w:tcBorders>
          </w:tcPr>
          <w:p>
            <w:pPr>
              <w:pStyle w:val="TOC2"/>
              <w:spacing w:before="0" w:after="0"/>
              <w:jc w:val="center"/>
              <w:rPr/>
            </w:pPr>
            <w:r>
              <w:rPr/>
              <w:t>10</w:t>
            </w:r>
          </w:p>
        </w:tc>
        <w:tc>
          <w:tcPr>
            <w:tcW w:w="504" w:type="dxa"/>
            <w:tcBorders/>
          </w:tcPr>
          <w:p>
            <w:pPr>
              <w:pStyle w:val="TOC2"/>
              <w:spacing w:before="0" w:after="0"/>
              <w:jc w:val="center"/>
              <w:rPr/>
            </w:pPr>
            <w:r>
              <w:rPr/>
              <w:t>11</w:t>
            </w:r>
          </w:p>
        </w:tc>
        <w:tc>
          <w:tcPr>
            <w:tcW w:w="504" w:type="dxa"/>
            <w:tcBorders/>
          </w:tcPr>
          <w:p>
            <w:pPr>
              <w:pStyle w:val="TOC2"/>
              <w:spacing w:before="0" w:after="0"/>
              <w:jc w:val="center"/>
              <w:rPr/>
            </w:pPr>
            <w:r>
              <w:rPr/>
              <w:t>12</w:t>
            </w:r>
          </w:p>
        </w:tc>
        <w:tc>
          <w:tcPr>
            <w:tcW w:w="504" w:type="dxa"/>
            <w:tcBorders/>
          </w:tcPr>
          <w:p>
            <w:pPr>
              <w:pStyle w:val="TOC2"/>
              <w:spacing w:before="0" w:after="0"/>
              <w:jc w:val="center"/>
              <w:rPr/>
            </w:pPr>
            <w:r>
              <w:rPr/>
              <w:t>13</w:t>
            </w:r>
          </w:p>
        </w:tc>
        <w:tc>
          <w:tcPr>
            <w:tcW w:w="504" w:type="dxa"/>
            <w:tcBorders/>
          </w:tcPr>
          <w:p>
            <w:pPr>
              <w:pStyle w:val="TOC2"/>
              <w:spacing w:before="0" w:after="0"/>
              <w:jc w:val="center"/>
              <w:rPr/>
            </w:pPr>
            <w:r>
              <w:rPr/>
              <w:t>14</w:t>
            </w:r>
          </w:p>
        </w:tc>
        <w:tc>
          <w:tcPr>
            <w:tcW w:w="504" w:type="dxa"/>
            <w:tcBorders/>
          </w:tcPr>
          <w:p>
            <w:pPr>
              <w:pStyle w:val="TOC2"/>
              <w:spacing w:before="0" w:after="0"/>
              <w:jc w:val="center"/>
              <w:rPr/>
            </w:pPr>
            <w:r>
              <w:rPr/>
              <w:t>15</w:t>
            </w:r>
          </w:p>
        </w:tc>
        <w:tc>
          <w:tcPr>
            <w:tcW w:w="450" w:type="dxa"/>
            <w:tcBorders>
              <w:end w:val="single" w:sz="6" w:space="0" w:color="000000"/>
            </w:tcBorders>
          </w:tcPr>
          <w:p>
            <w:pPr>
              <w:pStyle w:val="TOC2"/>
              <w:spacing w:before="0" w:after="0"/>
              <w:jc w:val="center"/>
              <w:rPr/>
            </w:pPr>
            <w:r>
              <w:rPr/>
              <w:t>16</w:t>
            </w:r>
          </w:p>
        </w:tc>
      </w:tr>
      <w:tr>
        <w:trPr/>
        <w:tc>
          <w:tcPr>
            <w:tcW w:w="504" w:type="dxa"/>
            <w:tcBorders>
              <w:start w:val="single" w:sz="6" w:space="0" w:color="000000"/>
            </w:tcBorders>
          </w:tcPr>
          <w:p>
            <w:pPr>
              <w:pStyle w:val="TOC2"/>
              <w:spacing w:before="0" w:after="0"/>
              <w:jc w:val="center"/>
              <w:rPr/>
            </w:pPr>
            <w:r>
              <w:rPr/>
              <w:t>19</w:t>
            </w:r>
          </w:p>
        </w:tc>
        <w:tc>
          <w:tcPr>
            <w:tcW w:w="504" w:type="dxa"/>
            <w:tcBorders/>
          </w:tcPr>
          <w:p>
            <w:pPr>
              <w:pStyle w:val="TOC2"/>
              <w:spacing w:before="0" w:after="0"/>
              <w:jc w:val="center"/>
              <w:rPr/>
            </w:pPr>
            <w:r>
              <w:rPr/>
              <w:t>20</w:t>
            </w:r>
          </w:p>
        </w:tc>
        <w:tc>
          <w:tcPr>
            <w:tcW w:w="504" w:type="dxa"/>
            <w:tcBorders/>
          </w:tcPr>
          <w:p>
            <w:pPr>
              <w:pStyle w:val="TOC2"/>
              <w:spacing w:before="0" w:after="0"/>
              <w:jc w:val="center"/>
              <w:rPr/>
            </w:pPr>
            <w:r>
              <w:rPr/>
              <w:t>21</w:t>
            </w:r>
          </w:p>
        </w:tc>
        <w:tc>
          <w:tcPr>
            <w:tcW w:w="504" w:type="dxa"/>
            <w:tcBorders/>
          </w:tcPr>
          <w:p>
            <w:pPr>
              <w:pStyle w:val="TOC2"/>
              <w:spacing w:before="0" w:after="0"/>
              <w:jc w:val="center"/>
              <w:rPr/>
            </w:pPr>
            <w:r>
              <w:rPr/>
              <w:t>22</w:t>
            </w:r>
          </w:p>
        </w:tc>
        <w:tc>
          <w:tcPr>
            <w:tcW w:w="504" w:type="dxa"/>
            <w:tcBorders/>
          </w:tcPr>
          <w:p>
            <w:pPr>
              <w:pStyle w:val="TOC2"/>
              <w:spacing w:before="0" w:after="0"/>
              <w:jc w:val="center"/>
              <w:rPr/>
            </w:pPr>
            <w:r>
              <w:rPr/>
              <w:t>23</w:t>
            </w:r>
          </w:p>
        </w:tc>
        <w:tc>
          <w:tcPr>
            <w:tcW w:w="504" w:type="dxa"/>
            <w:tcBorders/>
          </w:tcPr>
          <w:p>
            <w:pPr>
              <w:pStyle w:val="TOC2"/>
              <w:spacing w:before="0" w:after="0"/>
              <w:jc w:val="center"/>
              <w:rPr/>
            </w:pPr>
            <w:r>
              <w:rPr/>
              <w:t>24</w:t>
            </w:r>
          </w:p>
        </w:tc>
        <w:tc>
          <w:tcPr>
            <w:tcW w:w="504" w:type="dxa"/>
            <w:tcBorders>
              <w:end w:val="single" w:sz="6" w:space="0" w:color="000000"/>
            </w:tcBorders>
          </w:tcPr>
          <w:p>
            <w:pPr>
              <w:pStyle w:val="TOC2"/>
              <w:spacing w:before="0" w:after="0"/>
              <w:jc w:val="center"/>
              <w:rPr/>
            </w:pPr>
            <w:r>
              <w:rPr/>
              <w:t>25</w:t>
            </w:r>
          </w:p>
        </w:tc>
        <w:tc>
          <w:tcPr>
            <w:tcW w:w="522" w:type="dxa"/>
            <w:tcBorders>
              <w:start w:val="single" w:sz="6" w:space="0" w:color="000000"/>
            </w:tcBorders>
          </w:tcPr>
          <w:p>
            <w:pPr>
              <w:pStyle w:val="TOC2"/>
              <w:spacing w:before="0" w:after="0"/>
              <w:jc w:val="center"/>
              <w:rPr/>
            </w:pPr>
            <w:r>
              <w:rPr/>
              <w:t>17</w:t>
            </w:r>
          </w:p>
        </w:tc>
        <w:tc>
          <w:tcPr>
            <w:tcW w:w="504" w:type="dxa"/>
            <w:tcBorders/>
          </w:tcPr>
          <w:p>
            <w:pPr>
              <w:pStyle w:val="TOC2"/>
              <w:spacing w:before="0" w:after="0"/>
              <w:jc w:val="center"/>
              <w:rPr/>
            </w:pPr>
            <w:r>
              <w:rPr/>
              <w:t>18</w:t>
            </w:r>
          </w:p>
        </w:tc>
        <w:tc>
          <w:tcPr>
            <w:tcW w:w="504" w:type="dxa"/>
            <w:tcBorders/>
          </w:tcPr>
          <w:p>
            <w:pPr>
              <w:pStyle w:val="TOC2"/>
              <w:spacing w:before="0" w:after="0"/>
              <w:jc w:val="center"/>
              <w:rPr/>
            </w:pPr>
            <w:r>
              <w:rPr/>
              <w:t>19</w:t>
            </w:r>
          </w:p>
        </w:tc>
        <w:tc>
          <w:tcPr>
            <w:tcW w:w="504" w:type="dxa"/>
            <w:tcBorders/>
          </w:tcPr>
          <w:p>
            <w:pPr>
              <w:pStyle w:val="TOC2"/>
              <w:spacing w:before="0" w:after="0"/>
              <w:jc w:val="center"/>
              <w:rPr/>
            </w:pPr>
            <w:r>
              <w:rPr/>
              <w:t>20</w:t>
            </w:r>
          </w:p>
        </w:tc>
        <w:tc>
          <w:tcPr>
            <w:tcW w:w="504" w:type="dxa"/>
            <w:tcBorders/>
          </w:tcPr>
          <w:p>
            <w:pPr>
              <w:pStyle w:val="TOC2"/>
              <w:spacing w:before="0" w:after="0"/>
              <w:jc w:val="center"/>
              <w:rPr/>
            </w:pPr>
            <w:r>
              <w:rPr/>
              <w:t>21</w:t>
            </w:r>
          </w:p>
        </w:tc>
        <w:tc>
          <w:tcPr>
            <w:tcW w:w="504" w:type="dxa"/>
            <w:tcBorders/>
          </w:tcPr>
          <w:p>
            <w:pPr>
              <w:pStyle w:val="TOC2"/>
              <w:spacing w:before="0" w:after="0"/>
              <w:jc w:val="center"/>
              <w:rPr/>
            </w:pPr>
            <w:r>
              <w:rPr/>
              <w:t>22</w:t>
            </w:r>
          </w:p>
        </w:tc>
        <w:tc>
          <w:tcPr>
            <w:tcW w:w="450" w:type="dxa"/>
            <w:tcBorders>
              <w:end w:val="single" w:sz="6" w:space="0" w:color="000000"/>
            </w:tcBorders>
          </w:tcPr>
          <w:p>
            <w:pPr>
              <w:pStyle w:val="TOC2"/>
              <w:spacing w:before="0" w:after="0"/>
              <w:jc w:val="center"/>
              <w:rPr/>
            </w:pPr>
            <w:r>
              <w:rPr/>
              <w:t>23</w:t>
            </w:r>
          </w:p>
        </w:tc>
      </w:tr>
      <w:tr>
        <w:trPr/>
        <w:tc>
          <w:tcPr>
            <w:tcW w:w="504" w:type="dxa"/>
            <w:tcBorders>
              <w:start w:val="single" w:sz="4" w:space="0" w:color="000000"/>
            </w:tcBorders>
          </w:tcPr>
          <w:p>
            <w:pPr>
              <w:pStyle w:val="TOC2"/>
              <w:spacing w:before="0" w:after="0"/>
              <w:jc w:val="center"/>
              <w:rPr/>
            </w:pPr>
            <w:r>
              <w:rPr/>
              <w:t>26</w:t>
            </w:r>
          </w:p>
        </w:tc>
        <w:tc>
          <w:tcPr>
            <w:tcW w:w="504" w:type="dxa"/>
            <w:tcBorders/>
          </w:tcPr>
          <w:p>
            <w:pPr>
              <w:pStyle w:val="TOC2"/>
              <w:spacing w:before="0" w:after="0"/>
              <w:jc w:val="center"/>
              <w:rPr/>
            </w:pPr>
            <w:r>
              <w:rPr/>
              <w:t>27</w:t>
            </w:r>
          </w:p>
        </w:tc>
        <w:tc>
          <w:tcPr>
            <w:tcW w:w="504" w:type="dxa"/>
            <w:tcBorders/>
          </w:tcPr>
          <w:p>
            <w:pPr>
              <w:pStyle w:val="TOC2"/>
              <w:spacing w:before="0" w:after="0"/>
              <w:jc w:val="center"/>
              <w:rPr/>
            </w:pPr>
            <w:r>
              <w:rPr/>
              <w:t>28</w:t>
            </w:r>
          </w:p>
        </w:tc>
        <w:tc>
          <w:tcPr>
            <w:tcW w:w="504" w:type="dxa"/>
            <w:tcBorders/>
          </w:tcPr>
          <w:p>
            <w:pPr>
              <w:pStyle w:val="TOC2"/>
              <w:spacing w:before="0" w:after="0"/>
              <w:jc w:val="center"/>
              <w:rPr/>
            </w:pPr>
            <w:r>
              <w:rPr/>
              <w:t>29</w:t>
            </w:r>
          </w:p>
        </w:tc>
        <w:tc>
          <w:tcPr>
            <w:tcW w:w="504" w:type="dxa"/>
            <w:tcBorders/>
          </w:tcPr>
          <w:p>
            <w:pPr>
              <w:pStyle w:val="TOC2"/>
              <w:spacing w:before="0" w:after="0"/>
              <w:jc w:val="center"/>
              <w:rPr/>
            </w:pPr>
            <w:r>
              <w:rPr/>
              <w:t>30</w:t>
            </w:r>
          </w:p>
        </w:tc>
        <w:tc>
          <w:tcPr>
            <w:tcW w:w="504" w:type="dxa"/>
            <w:tcBorders/>
          </w:tcPr>
          <w:p>
            <w:pPr>
              <w:pStyle w:val="TOC2"/>
              <w:snapToGrid w:val="false"/>
              <w:spacing w:before="0" w:after="0"/>
              <w:jc w:val="center"/>
              <w:rPr/>
            </w:pPr>
            <w:r>
              <w:rPr/>
            </w:r>
          </w:p>
        </w:tc>
        <w:tc>
          <w:tcPr>
            <w:tcW w:w="504" w:type="dxa"/>
            <w:tcBorders>
              <w:end w:val="single" w:sz="4" w:space="0" w:color="000000"/>
            </w:tcBorders>
          </w:tcPr>
          <w:p>
            <w:pPr>
              <w:pStyle w:val="TOC2"/>
              <w:snapToGrid w:val="false"/>
              <w:spacing w:before="0" w:after="0"/>
              <w:jc w:val="center"/>
              <w:rPr/>
            </w:pPr>
            <w:r>
              <w:rPr/>
            </w:r>
          </w:p>
        </w:tc>
        <w:tc>
          <w:tcPr>
            <w:tcW w:w="522" w:type="dxa"/>
            <w:tcBorders/>
          </w:tcPr>
          <w:p>
            <w:pPr>
              <w:pStyle w:val="TOC2"/>
              <w:spacing w:before="0" w:after="0"/>
              <w:jc w:val="center"/>
              <w:rPr/>
            </w:pPr>
            <w:r>
              <w:rPr/>
              <w:t>24</w:t>
            </w:r>
          </w:p>
        </w:tc>
        <w:tc>
          <w:tcPr>
            <w:tcW w:w="504" w:type="dxa"/>
            <w:tcBorders/>
          </w:tcPr>
          <w:p>
            <w:pPr>
              <w:pStyle w:val="TOC2"/>
              <w:spacing w:before="0" w:after="0"/>
              <w:jc w:val="center"/>
              <w:rPr/>
            </w:pPr>
            <w:r>
              <w:rPr/>
              <w:t>25</w:t>
            </w:r>
          </w:p>
        </w:tc>
        <w:tc>
          <w:tcPr>
            <w:tcW w:w="504" w:type="dxa"/>
            <w:tcBorders/>
          </w:tcPr>
          <w:p>
            <w:pPr>
              <w:pStyle w:val="TOC2"/>
              <w:spacing w:before="0" w:after="0"/>
              <w:jc w:val="center"/>
              <w:rPr/>
            </w:pPr>
            <w:r>
              <w:rPr/>
              <w:t>26</w:t>
            </w:r>
          </w:p>
        </w:tc>
        <w:tc>
          <w:tcPr>
            <w:tcW w:w="504" w:type="dxa"/>
            <w:tcBorders/>
          </w:tcPr>
          <w:p>
            <w:pPr>
              <w:pStyle w:val="TOC2"/>
              <w:spacing w:before="0" w:after="0"/>
              <w:jc w:val="center"/>
              <w:rPr/>
            </w:pPr>
            <w:r>
              <w:rPr/>
              <w:t>27</w:t>
            </w:r>
          </w:p>
        </w:tc>
        <w:tc>
          <w:tcPr>
            <w:tcW w:w="504" w:type="dxa"/>
            <w:tcBorders/>
          </w:tcPr>
          <w:p>
            <w:pPr>
              <w:pStyle w:val="TOC2"/>
              <w:spacing w:before="0" w:after="0"/>
              <w:jc w:val="center"/>
              <w:rPr/>
            </w:pPr>
            <w:r>
              <w:rPr/>
              <w:t>28</w:t>
            </w:r>
          </w:p>
        </w:tc>
        <w:tc>
          <w:tcPr>
            <w:tcW w:w="504" w:type="dxa"/>
            <w:tcBorders/>
          </w:tcPr>
          <w:p>
            <w:pPr>
              <w:pStyle w:val="TOC2"/>
              <w:spacing w:before="0" w:after="0"/>
              <w:jc w:val="center"/>
              <w:rPr/>
            </w:pPr>
            <w:r>
              <w:rPr/>
              <w:t>29</w:t>
            </w:r>
          </w:p>
        </w:tc>
        <w:tc>
          <w:tcPr>
            <w:tcW w:w="450" w:type="dxa"/>
            <w:tcBorders>
              <w:end w:val="single" w:sz="4" w:space="0" w:color="000000"/>
            </w:tcBorders>
          </w:tcPr>
          <w:p>
            <w:pPr>
              <w:pStyle w:val="TOC2"/>
              <w:spacing w:before="0" w:after="0"/>
              <w:jc w:val="center"/>
              <w:rPr/>
            </w:pPr>
            <w:r>
              <w:rPr/>
              <w:t>30</w:t>
            </w:r>
          </w:p>
        </w:tc>
      </w:tr>
      <w:tr>
        <w:trPr/>
        <w:tc>
          <w:tcPr>
            <w:tcW w:w="504" w:type="dxa"/>
            <w:tcBorders>
              <w:start w:val="single" w:sz="6" w:space="0" w:color="000000"/>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end w:val="single" w:sz="6" w:space="0" w:color="000000"/>
            </w:tcBorders>
          </w:tcPr>
          <w:p>
            <w:pPr>
              <w:pStyle w:val="TOC2"/>
              <w:snapToGrid w:val="false"/>
              <w:spacing w:before="0" w:after="0"/>
              <w:jc w:val="center"/>
              <w:rPr/>
            </w:pPr>
            <w:r>
              <w:rPr/>
            </w:r>
          </w:p>
        </w:tc>
        <w:tc>
          <w:tcPr>
            <w:tcW w:w="522" w:type="dxa"/>
            <w:tcBorders>
              <w:start w:val="single" w:sz="6" w:space="0" w:color="000000"/>
              <w:bottom w:val="single" w:sz="4" w:space="0" w:color="000000"/>
            </w:tcBorders>
          </w:tcPr>
          <w:p>
            <w:pPr>
              <w:pStyle w:val="TOC2"/>
              <w:spacing w:before="0" w:after="0"/>
              <w:jc w:val="center"/>
              <w:rPr/>
            </w:pPr>
            <w:r>
              <w:rPr/>
              <w:t>31</w:t>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504" w:type="dxa"/>
            <w:tcBorders>
              <w:bottom w:val="single" w:sz="4" w:space="0" w:color="000000"/>
            </w:tcBorders>
          </w:tcPr>
          <w:p>
            <w:pPr>
              <w:pStyle w:val="TOC2"/>
              <w:snapToGrid w:val="false"/>
              <w:spacing w:before="0" w:after="0"/>
              <w:jc w:val="center"/>
              <w:rPr/>
            </w:pPr>
            <w:r>
              <w:rPr/>
            </w:r>
          </w:p>
        </w:tc>
        <w:tc>
          <w:tcPr>
            <w:tcW w:w="450" w:type="dxa"/>
            <w:tcBorders>
              <w:bottom w:val="single" w:sz="4" w:space="0" w:color="000000"/>
              <w:end w:val="single" w:sz="6" w:space="0" w:color="000000"/>
            </w:tcBorders>
          </w:tcPr>
          <w:p>
            <w:pPr>
              <w:pStyle w:val="TOC2"/>
              <w:snapToGrid w:val="false"/>
              <w:spacing w:before="0" w:after="0"/>
              <w:jc w:val="center"/>
              <w:rPr/>
            </w:pPr>
            <w:r>
              <w:rPr/>
            </w:r>
          </w:p>
        </w:tc>
      </w:tr>
    </w:tbl>
    <w:p>
      <w:pPr>
        <w:pStyle w:val="Spacer"/>
        <w:rPr/>
      </w:pPr>
      <w:r>
        <w:rPr/>
      </w:r>
    </w:p>
    <w:p>
      <w:pPr>
        <w:pStyle w:val="Spacer"/>
        <w:rPr/>
      </w:pPr>
      <w:r>
        <w:rPr/>
      </w:r>
    </w:p>
    <w:p>
      <w:pPr>
        <w:pStyle w:val="Spacer"/>
        <w:rPr/>
      </w:pPr>
      <w:r>
        <w:rPr/>
      </w:r>
    </w:p>
    <w:tbl>
      <w:tblPr>
        <w:tblW w:w="9360" w:type="dxa"/>
        <w:jc w:val="start"/>
        <w:tblInd w:w="0" w:type="dxa"/>
        <w:tblLayout w:type="fixed"/>
        <w:tblCellMar>
          <w:top w:w="0" w:type="dxa"/>
          <w:start w:w="0" w:type="dxa"/>
          <w:bottom w:w="0" w:type="dxa"/>
          <w:end w:w="0" w:type="dxa"/>
        </w:tblCellMar>
      </w:tblPr>
      <w:tblGrid>
        <w:gridCol w:w="3330"/>
        <w:gridCol w:w="6030"/>
      </w:tblGrid>
      <w:tr>
        <w:trPr/>
        <w:tc>
          <w:tcPr>
            <w:tcW w:w="3330" w:type="dxa"/>
            <w:tcBorders>
              <w:bottom w:val="single" w:sz="4" w:space="0" w:color="000000"/>
            </w:tcBorders>
          </w:tcPr>
          <w:p>
            <w:pPr>
              <w:pStyle w:val="Normal"/>
              <w:spacing w:before="240" w:after="0"/>
              <w:jc w:val="both"/>
              <w:rPr>
                <w:b/>
                <w:sz w:val="21"/>
              </w:rPr>
            </w:pPr>
            <w:r>
              <w:rPr>
                <w:b/>
                <w:sz w:val="21"/>
              </w:rPr>
              <w:t>Date</w:t>
            </w:r>
          </w:p>
        </w:tc>
        <w:tc>
          <w:tcPr>
            <w:tcW w:w="6030" w:type="dxa"/>
            <w:tcBorders>
              <w:bottom w:val="single" w:sz="4" w:space="0" w:color="000000"/>
            </w:tcBorders>
            <w:vAlign w:val="bottom"/>
          </w:tcPr>
          <w:p>
            <w:pPr>
              <w:pStyle w:val="Normal"/>
              <w:rPr>
                <w:b/>
                <w:sz w:val="21"/>
              </w:rPr>
            </w:pPr>
            <w:r>
              <w:rPr>
                <w:b/>
                <w:sz w:val="21"/>
              </w:rPr>
              <w:t>Action Item</w:t>
            </w:r>
          </w:p>
        </w:tc>
      </w:tr>
      <w:tr>
        <w:trPr/>
        <w:tc>
          <w:tcPr>
            <w:tcW w:w="3330" w:type="dxa"/>
            <w:tcBorders/>
          </w:tcPr>
          <w:p>
            <w:pPr>
              <w:pStyle w:val="Normal"/>
              <w:spacing w:before="240" w:after="0"/>
              <w:jc w:val="both"/>
              <w:rPr/>
            </w:pPr>
            <w:r>
              <w:rPr/>
              <w:t>November 13, 2000</w:t>
            </w:r>
          </w:p>
        </w:tc>
        <w:tc>
          <w:tcPr>
            <w:tcW w:w="6030" w:type="dxa"/>
            <w:tcBorders/>
            <w:vAlign w:val="bottom"/>
          </w:tcPr>
          <w:p>
            <w:pPr>
              <w:pStyle w:val="Normal"/>
              <w:rPr/>
            </w:pPr>
            <w:r>
              <w:rPr/>
              <w:t>Memorandum delivered to Prospective Purchasers</w:t>
            </w:r>
          </w:p>
        </w:tc>
      </w:tr>
      <w:tr>
        <w:trPr/>
        <w:tc>
          <w:tcPr>
            <w:tcW w:w="3330" w:type="dxa"/>
            <w:tcBorders/>
          </w:tcPr>
          <w:p>
            <w:pPr>
              <w:pStyle w:val="Normal"/>
              <w:spacing w:before="240" w:after="0"/>
              <w:jc w:val="both"/>
              <w:rPr/>
            </w:pPr>
            <w:r>
              <w:rPr/>
              <w:t>November 13 – November 19, 2000</w:t>
            </w:r>
          </w:p>
        </w:tc>
        <w:tc>
          <w:tcPr>
            <w:tcW w:w="6030" w:type="dxa"/>
            <w:tcBorders/>
            <w:vAlign w:val="bottom"/>
          </w:tcPr>
          <w:p>
            <w:pPr>
              <w:pStyle w:val="Normal"/>
              <w:rPr/>
            </w:pPr>
            <w:r>
              <w:rPr/>
              <w:t>Initial evaluation (access to Internet Website-based data room)</w:t>
            </w:r>
          </w:p>
        </w:tc>
      </w:tr>
      <w:tr>
        <w:trPr/>
        <w:tc>
          <w:tcPr>
            <w:tcW w:w="3330" w:type="dxa"/>
            <w:tcBorders/>
          </w:tcPr>
          <w:p>
            <w:pPr>
              <w:pStyle w:val="Normal"/>
              <w:spacing w:before="240" w:after="0"/>
              <w:jc w:val="both"/>
              <w:rPr/>
            </w:pPr>
            <w:r>
              <w:rPr/>
              <w:t>November 30, 2000</w:t>
            </w:r>
          </w:p>
        </w:tc>
        <w:tc>
          <w:tcPr>
            <w:tcW w:w="6030" w:type="dxa"/>
            <w:tcBorders/>
            <w:vAlign w:val="bottom"/>
          </w:tcPr>
          <w:p>
            <w:pPr>
              <w:pStyle w:val="Normal"/>
              <w:rPr/>
            </w:pPr>
            <w:r>
              <w:rPr/>
              <w:t>Submission of Round I bids</w:t>
            </w:r>
          </w:p>
        </w:tc>
      </w:tr>
      <w:tr>
        <w:trPr/>
        <w:tc>
          <w:tcPr>
            <w:tcW w:w="3330" w:type="dxa"/>
            <w:tcBorders/>
          </w:tcPr>
          <w:p>
            <w:pPr>
              <w:pStyle w:val="Normal"/>
              <w:spacing w:before="240" w:after="0"/>
              <w:jc w:val="both"/>
              <w:rPr/>
            </w:pPr>
            <w:r>
              <w:rPr/>
              <w:t>December 1, 2000</w:t>
            </w:r>
          </w:p>
        </w:tc>
        <w:tc>
          <w:tcPr>
            <w:tcW w:w="6030" w:type="dxa"/>
            <w:tcBorders/>
            <w:vAlign w:val="bottom"/>
          </w:tcPr>
          <w:p>
            <w:pPr>
              <w:pStyle w:val="Normal"/>
              <w:spacing w:before="240" w:after="0"/>
              <w:rPr/>
            </w:pPr>
            <w:r>
              <w:rPr/>
              <w:t>Determination and notification of short-listed bidders</w:t>
            </w:r>
          </w:p>
          <w:p>
            <w:pPr>
              <w:pStyle w:val="Normal"/>
              <w:rPr/>
            </w:pPr>
            <w:r>
              <w:rPr/>
              <w:t>Transaction documents (e.g. Purchase and Sales Agreement) delivered to short-listed bidders</w:t>
            </w:r>
          </w:p>
        </w:tc>
      </w:tr>
      <w:tr>
        <w:trPr/>
        <w:tc>
          <w:tcPr>
            <w:tcW w:w="3330" w:type="dxa"/>
            <w:tcBorders/>
          </w:tcPr>
          <w:p>
            <w:pPr>
              <w:pStyle w:val="Normal"/>
              <w:spacing w:before="240" w:after="0"/>
              <w:jc w:val="both"/>
              <w:rPr/>
            </w:pPr>
            <w:r>
              <w:rPr/>
              <w:t>December 1 – December 7, 2000</w:t>
            </w:r>
          </w:p>
        </w:tc>
        <w:tc>
          <w:tcPr>
            <w:tcW w:w="6030" w:type="dxa"/>
            <w:tcBorders/>
            <w:vAlign w:val="bottom"/>
          </w:tcPr>
          <w:p>
            <w:pPr>
              <w:pStyle w:val="Normal"/>
              <w:rPr/>
            </w:pPr>
            <w:r>
              <w:rPr/>
              <w:t>Data Room visits</w:t>
            </w:r>
          </w:p>
        </w:tc>
      </w:tr>
      <w:tr>
        <w:trPr/>
        <w:tc>
          <w:tcPr>
            <w:tcW w:w="3330" w:type="dxa"/>
            <w:tcBorders/>
          </w:tcPr>
          <w:p>
            <w:pPr>
              <w:pStyle w:val="Normal"/>
              <w:spacing w:before="240" w:after="0"/>
              <w:jc w:val="both"/>
              <w:rPr/>
            </w:pPr>
            <w:r>
              <w:rPr/>
              <w:t>December 8, 2000</w:t>
            </w:r>
          </w:p>
        </w:tc>
        <w:tc>
          <w:tcPr>
            <w:tcW w:w="6030" w:type="dxa"/>
            <w:tcBorders/>
            <w:vAlign w:val="bottom"/>
          </w:tcPr>
          <w:p>
            <w:pPr>
              <w:pStyle w:val="Normal"/>
              <w:rPr/>
            </w:pPr>
            <w:r>
              <w:rPr/>
              <w:t>Submission of Round II bids</w:t>
            </w:r>
          </w:p>
        </w:tc>
      </w:tr>
      <w:tr>
        <w:trPr/>
        <w:tc>
          <w:tcPr>
            <w:tcW w:w="3330" w:type="dxa"/>
            <w:tcBorders/>
          </w:tcPr>
          <w:p>
            <w:pPr>
              <w:pStyle w:val="Normal"/>
              <w:spacing w:before="240" w:after="0"/>
              <w:jc w:val="both"/>
              <w:rPr/>
            </w:pPr>
            <w:r>
              <w:rPr/>
              <w:t>December  14, 2000</w:t>
            </w:r>
          </w:p>
        </w:tc>
        <w:tc>
          <w:tcPr>
            <w:tcW w:w="6030" w:type="dxa"/>
            <w:tcBorders/>
            <w:vAlign w:val="bottom"/>
          </w:tcPr>
          <w:p>
            <w:pPr>
              <w:pStyle w:val="Normal"/>
              <w:rPr/>
            </w:pPr>
            <w:r>
              <w:rPr/>
              <w:t>Bidder selection and execution of definitive transaction documents</w:t>
            </w:r>
          </w:p>
        </w:tc>
      </w:tr>
      <w:tr>
        <w:trPr/>
        <w:tc>
          <w:tcPr>
            <w:tcW w:w="3330" w:type="dxa"/>
            <w:tcBorders>
              <w:bottom w:val="single" w:sz="4" w:space="0" w:color="000000"/>
            </w:tcBorders>
          </w:tcPr>
          <w:p>
            <w:pPr>
              <w:pStyle w:val="Normal"/>
              <w:spacing w:before="240" w:after="60"/>
              <w:jc w:val="both"/>
              <w:rPr/>
            </w:pPr>
            <w:r>
              <w:rPr/>
              <w:t>December 20, 2000</w:t>
            </w:r>
          </w:p>
        </w:tc>
        <w:tc>
          <w:tcPr>
            <w:tcW w:w="6030" w:type="dxa"/>
            <w:tcBorders>
              <w:bottom w:val="single" w:sz="4" w:space="0" w:color="000000"/>
            </w:tcBorders>
            <w:vAlign w:val="bottom"/>
          </w:tcPr>
          <w:p>
            <w:pPr>
              <w:pStyle w:val="Normal"/>
              <w:rPr/>
            </w:pPr>
            <w:r>
              <w:rPr/>
              <w:t>Closing</w:t>
            </w:r>
          </w:p>
        </w:tc>
      </w:tr>
    </w:tbl>
    <w:p>
      <w:pPr>
        <w:pStyle w:val="WW-Text"/>
        <w:tabs>
          <w:tab w:val="clear" w:pos="2160"/>
          <w:tab w:val="left" w:pos="4320" w:leader="none"/>
          <w:tab w:val="left" w:pos="7380" w:leader="none"/>
          <w:tab w:val="left" w:pos="7650" w:leader="none"/>
        </w:tabs>
        <w:spacing w:before="0" w:after="0"/>
        <w:rPr/>
      </w:pPr>
      <w:r>
        <w:rPr/>
      </w:r>
    </w:p>
    <w:p>
      <w:pPr>
        <w:pStyle w:val="Textboldbreak"/>
        <w:rPr/>
      </w:pPr>
      <w:r>
        <w:rPr/>
        <w:t>GLOSSARY</w:t>
      </w:r>
    </w:p>
    <w:p>
      <w:pPr>
        <w:pStyle w:val="Spacer"/>
        <w:rPr/>
      </w:pPr>
      <w:r>
        <w:rPr/>
      </w:r>
    </w:p>
    <w:tbl>
      <w:tblPr>
        <w:tblW w:w="9360" w:type="dxa"/>
        <w:jc w:val="start"/>
        <w:tblInd w:w="0" w:type="dxa"/>
        <w:tblLayout w:type="fixed"/>
        <w:tblCellMar>
          <w:top w:w="0" w:type="dxa"/>
          <w:start w:w="0" w:type="dxa"/>
          <w:bottom w:w="0" w:type="dxa"/>
          <w:end w:w="0" w:type="dxa"/>
        </w:tblCellMar>
      </w:tblPr>
      <w:tblGrid>
        <w:gridCol w:w="3978"/>
        <w:gridCol w:w="5382"/>
      </w:tblGrid>
      <w:tr>
        <w:trPr/>
        <w:tc>
          <w:tcPr>
            <w:tcW w:w="3978" w:type="dxa"/>
            <w:tcBorders/>
          </w:tcPr>
          <w:p>
            <w:pPr>
              <w:pStyle w:val="Normal"/>
              <w:rPr/>
            </w:pPr>
            <w:r>
              <w:rPr/>
              <w:t>ADRs</w:t>
            </w:r>
          </w:p>
        </w:tc>
        <w:tc>
          <w:tcPr>
            <w:tcW w:w="5382" w:type="dxa"/>
            <w:tcBorders/>
          </w:tcPr>
          <w:p>
            <w:pPr>
              <w:pStyle w:val="Normal"/>
              <w:rPr/>
            </w:pPr>
            <w:r>
              <w:rPr/>
              <w:t>American Depository Receipts</w:t>
            </w:r>
          </w:p>
        </w:tc>
      </w:tr>
      <w:tr>
        <w:trPr/>
        <w:tc>
          <w:tcPr>
            <w:tcW w:w="3978" w:type="dxa"/>
            <w:tcBorders/>
          </w:tcPr>
          <w:p>
            <w:pPr>
              <w:pStyle w:val="Normal"/>
              <w:rPr/>
            </w:pPr>
            <w:r>
              <w:rPr/>
              <w:t>Advisor</w:t>
            </w:r>
          </w:p>
        </w:tc>
        <w:tc>
          <w:tcPr>
            <w:tcW w:w="5382" w:type="dxa"/>
            <w:tcBorders/>
          </w:tcPr>
          <w:p>
            <w:pPr>
              <w:pStyle w:val="Normal"/>
              <w:rPr/>
            </w:pPr>
            <w:r>
              <w:rPr/>
              <w:t>Operational Energy Corporation</w:t>
            </w:r>
          </w:p>
        </w:tc>
      </w:tr>
      <w:tr>
        <w:trPr/>
        <w:tc>
          <w:tcPr>
            <w:tcW w:w="3978" w:type="dxa"/>
            <w:tcBorders/>
          </w:tcPr>
          <w:p>
            <w:pPr>
              <w:pStyle w:val="Normal"/>
              <w:rPr/>
            </w:pPr>
            <w:r>
              <w:rPr/>
              <w:t>Alcali</w:t>
            </w:r>
          </w:p>
        </w:tc>
        <w:tc>
          <w:tcPr>
            <w:tcW w:w="5382" w:type="dxa"/>
            <w:tcBorders/>
          </w:tcPr>
          <w:p>
            <w:pPr>
              <w:pStyle w:val="Normal"/>
              <w:rPr/>
            </w:pPr>
            <w:r>
              <w:rPr/>
              <w:t>Alcali, S.A. de C.V.</w:t>
            </w:r>
          </w:p>
        </w:tc>
      </w:tr>
      <w:tr>
        <w:trPr/>
        <w:tc>
          <w:tcPr>
            <w:tcW w:w="3978" w:type="dxa"/>
            <w:tcBorders/>
          </w:tcPr>
          <w:p>
            <w:pPr>
              <w:pStyle w:val="Normal"/>
              <w:rPr/>
            </w:pPr>
            <w:r>
              <w:rPr/>
              <w:t>Apasco</w:t>
            </w:r>
          </w:p>
        </w:tc>
        <w:tc>
          <w:tcPr>
            <w:tcW w:w="5382" w:type="dxa"/>
            <w:tcBorders/>
          </w:tcPr>
          <w:p>
            <w:pPr>
              <w:pStyle w:val="Normal"/>
              <w:rPr/>
            </w:pPr>
            <w:r>
              <w:rPr/>
              <w:t>Apasco, S.A. de C.V.</w:t>
            </w:r>
          </w:p>
        </w:tc>
      </w:tr>
      <w:tr>
        <w:trPr/>
        <w:tc>
          <w:tcPr>
            <w:tcW w:w="3978" w:type="dxa"/>
            <w:tcBorders/>
          </w:tcPr>
          <w:p>
            <w:pPr>
              <w:pStyle w:val="Normal"/>
              <w:rPr/>
            </w:pPr>
            <w:r>
              <w:rPr/>
              <w:t>Bolsa Mexicana de Valores</w:t>
            </w:r>
          </w:p>
        </w:tc>
        <w:tc>
          <w:tcPr>
            <w:tcW w:w="5382" w:type="dxa"/>
            <w:tcBorders/>
          </w:tcPr>
          <w:p>
            <w:pPr>
              <w:pStyle w:val="Normal"/>
              <w:rPr/>
            </w:pPr>
            <w:r>
              <w:rPr/>
              <w:t>Mexican Stock Exchange</w:t>
            </w:r>
          </w:p>
        </w:tc>
      </w:tr>
      <w:tr>
        <w:trPr/>
        <w:tc>
          <w:tcPr>
            <w:tcW w:w="3978" w:type="dxa"/>
            <w:tcBorders/>
          </w:tcPr>
          <w:p>
            <w:pPr>
              <w:pStyle w:val="Normal"/>
              <w:rPr/>
            </w:pPr>
            <w:r>
              <w:rPr/>
              <w:t>B.V.1</w:t>
            </w:r>
          </w:p>
        </w:tc>
        <w:tc>
          <w:tcPr>
            <w:tcW w:w="5382" w:type="dxa"/>
            <w:tcBorders/>
          </w:tcPr>
          <w:p>
            <w:pPr>
              <w:pStyle w:val="Normal"/>
              <w:rPr/>
            </w:pPr>
            <w:r>
              <w:rPr/>
              <w:t>Enron Capital &amp; Trade Resources Mexico Holdings B.V.</w:t>
            </w:r>
          </w:p>
        </w:tc>
      </w:tr>
      <w:tr>
        <w:trPr/>
        <w:tc>
          <w:tcPr>
            <w:tcW w:w="3978" w:type="dxa"/>
            <w:tcBorders/>
          </w:tcPr>
          <w:p>
            <w:pPr>
              <w:pStyle w:val="Normal"/>
              <w:rPr/>
            </w:pPr>
            <w:r>
              <w:rPr/>
              <w:t>BTU/kWh</w:t>
            </w:r>
          </w:p>
        </w:tc>
        <w:tc>
          <w:tcPr>
            <w:tcW w:w="5382" w:type="dxa"/>
            <w:tcBorders/>
          </w:tcPr>
          <w:p>
            <w:pPr>
              <w:pStyle w:val="Normal"/>
              <w:rPr/>
            </w:pPr>
            <w:r>
              <w:rPr/>
              <w:t>British thermal units per kilowatt hour</w:t>
            </w:r>
          </w:p>
        </w:tc>
      </w:tr>
      <w:tr>
        <w:trPr/>
        <w:tc>
          <w:tcPr>
            <w:tcW w:w="3978" w:type="dxa"/>
            <w:tcBorders/>
          </w:tcPr>
          <w:p>
            <w:pPr>
              <w:pStyle w:val="Normal"/>
              <w:rPr/>
            </w:pPr>
            <w:r>
              <w:rPr/>
              <w:t>BTU/mtph</w:t>
            </w:r>
          </w:p>
        </w:tc>
        <w:tc>
          <w:tcPr>
            <w:tcW w:w="5382" w:type="dxa"/>
            <w:tcBorders/>
          </w:tcPr>
          <w:p>
            <w:pPr>
              <w:pStyle w:val="Normal"/>
              <w:rPr/>
            </w:pPr>
            <w:r>
              <w:rPr/>
              <w:t>British thermal units per metric tonne per hour</w:t>
            </w:r>
          </w:p>
        </w:tc>
      </w:tr>
      <w:tr>
        <w:trPr/>
        <w:tc>
          <w:tcPr>
            <w:tcW w:w="3978" w:type="dxa"/>
            <w:tcBorders/>
          </w:tcPr>
          <w:p>
            <w:pPr>
              <w:pStyle w:val="Normal"/>
              <w:rPr/>
            </w:pPr>
            <w:r>
              <w:rPr/>
              <w:t>BLT</w:t>
            </w:r>
          </w:p>
        </w:tc>
        <w:tc>
          <w:tcPr>
            <w:tcW w:w="5382" w:type="dxa"/>
            <w:tcBorders/>
          </w:tcPr>
          <w:p>
            <w:pPr>
              <w:pStyle w:val="Normal"/>
              <w:rPr/>
            </w:pPr>
            <w:r>
              <w:rPr/>
              <w:t>Build-Lease-Transfer</w:t>
            </w:r>
          </w:p>
        </w:tc>
      </w:tr>
      <w:tr>
        <w:trPr/>
        <w:tc>
          <w:tcPr>
            <w:tcW w:w="3978" w:type="dxa"/>
            <w:tcBorders/>
          </w:tcPr>
          <w:p>
            <w:pPr>
              <w:pStyle w:val="Normal"/>
              <w:rPr/>
            </w:pPr>
            <w:r>
              <w:rPr/>
              <w:t>Capacity Users, the</w:t>
            </w:r>
          </w:p>
        </w:tc>
        <w:tc>
          <w:tcPr>
            <w:tcW w:w="5382" w:type="dxa"/>
            <w:tcBorders/>
          </w:tcPr>
          <w:p>
            <w:pPr>
              <w:pStyle w:val="Normal"/>
              <w:rPr/>
            </w:pPr>
            <w:r>
              <w:rPr/>
              <w:t>Together Cementos Apasco, IMSA subsidiaries, Vitro subsidiaries and Vitro JVs</w:t>
            </w:r>
          </w:p>
        </w:tc>
      </w:tr>
      <w:tr>
        <w:trPr/>
        <w:tc>
          <w:tcPr>
            <w:tcW w:w="3978" w:type="dxa"/>
            <w:tcBorders/>
          </w:tcPr>
          <w:p>
            <w:pPr>
              <w:pStyle w:val="Normal"/>
              <w:rPr/>
            </w:pPr>
            <w:r>
              <w:rPr/>
              <w:t>Cementos Apasco</w:t>
            </w:r>
          </w:p>
        </w:tc>
        <w:tc>
          <w:tcPr>
            <w:tcW w:w="5382" w:type="dxa"/>
            <w:tcBorders/>
          </w:tcPr>
          <w:p>
            <w:pPr>
              <w:pStyle w:val="Normal"/>
              <w:rPr/>
            </w:pPr>
            <w:r>
              <w:rPr/>
              <w:t>Cementos Apasco, S.A. de C.V.</w:t>
            </w:r>
          </w:p>
        </w:tc>
      </w:tr>
      <w:tr>
        <w:trPr/>
        <w:tc>
          <w:tcPr>
            <w:tcW w:w="3978" w:type="dxa"/>
            <w:tcBorders/>
          </w:tcPr>
          <w:p>
            <w:pPr>
              <w:pStyle w:val="Normal"/>
              <w:rPr/>
            </w:pPr>
            <w:r>
              <w:rPr/>
              <w:t>Cemex</w:t>
            </w:r>
          </w:p>
        </w:tc>
        <w:tc>
          <w:tcPr>
            <w:tcW w:w="5382" w:type="dxa"/>
            <w:tcBorders/>
          </w:tcPr>
          <w:p>
            <w:pPr>
              <w:pStyle w:val="Normal"/>
              <w:rPr/>
            </w:pPr>
            <w:r>
              <w:rPr/>
              <w:t>Cemex S.A. de C.V.</w:t>
            </w:r>
          </w:p>
        </w:tc>
      </w:tr>
      <w:tr>
        <w:trPr/>
        <w:tc>
          <w:tcPr>
            <w:tcW w:w="3978" w:type="dxa"/>
            <w:tcBorders/>
          </w:tcPr>
          <w:p>
            <w:pPr>
              <w:pStyle w:val="Normal"/>
              <w:rPr/>
            </w:pPr>
            <w:r>
              <w:rPr/>
              <w:t>CENACE</w:t>
            </w:r>
          </w:p>
        </w:tc>
        <w:tc>
          <w:tcPr>
            <w:tcW w:w="5382" w:type="dxa"/>
            <w:tcBorders/>
          </w:tcPr>
          <w:p>
            <w:pPr>
              <w:pStyle w:val="Normal"/>
              <w:rPr/>
            </w:pPr>
            <w:r>
              <w:rPr/>
              <w:t>Centro Nacional de Control de Energía</w:t>
            </w:r>
          </w:p>
        </w:tc>
      </w:tr>
      <w:tr>
        <w:trPr/>
        <w:tc>
          <w:tcPr>
            <w:tcW w:w="3978" w:type="dxa"/>
            <w:tcBorders/>
          </w:tcPr>
          <w:p>
            <w:pPr>
              <w:pStyle w:val="Normal"/>
              <w:rPr/>
            </w:pPr>
            <w:r>
              <w:rPr/>
              <w:t>CFE</w:t>
            </w:r>
          </w:p>
        </w:tc>
        <w:tc>
          <w:tcPr>
            <w:tcW w:w="5382" w:type="dxa"/>
            <w:tcBorders/>
          </w:tcPr>
          <w:p>
            <w:pPr>
              <w:pStyle w:val="Normal"/>
              <w:rPr/>
            </w:pPr>
            <w:r>
              <w:rPr/>
              <w:t>Comisión Federal de Electricidad</w:t>
            </w:r>
          </w:p>
        </w:tc>
      </w:tr>
      <w:tr>
        <w:trPr/>
        <w:tc>
          <w:tcPr>
            <w:tcW w:w="3978" w:type="dxa"/>
            <w:tcBorders/>
          </w:tcPr>
          <w:p>
            <w:pPr>
              <w:pStyle w:val="Normal"/>
              <w:rPr/>
            </w:pPr>
            <w:r>
              <w:rPr/>
              <w:t>Commodity</w:t>
            </w:r>
          </w:p>
        </w:tc>
        <w:tc>
          <w:tcPr>
            <w:tcW w:w="5382" w:type="dxa"/>
            <w:tcBorders/>
          </w:tcPr>
          <w:p>
            <w:pPr>
              <w:pStyle w:val="Normal"/>
              <w:rPr/>
            </w:pPr>
            <w:r>
              <w:rPr/>
              <w:t>Each of primary condensate, secondary condensate or low pressure waste steam</w:t>
            </w:r>
          </w:p>
        </w:tc>
      </w:tr>
      <w:tr>
        <w:trPr/>
        <w:tc>
          <w:tcPr>
            <w:tcW w:w="3978" w:type="dxa"/>
            <w:tcBorders/>
          </w:tcPr>
          <w:p>
            <w:pPr>
              <w:pStyle w:val="Normal"/>
              <w:rPr/>
            </w:pPr>
            <w:r>
              <w:rPr/>
              <w:t>Constitution, the</w:t>
            </w:r>
          </w:p>
        </w:tc>
        <w:tc>
          <w:tcPr>
            <w:tcW w:w="5382" w:type="dxa"/>
            <w:tcBorders/>
          </w:tcPr>
          <w:p>
            <w:pPr>
              <w:pStyle w:val="Normal"/>
              <w:rPr/>
            </w:pPr>
            <w:r>
              <w:rPr/>
              <w:t>Constitución Política de los Estados Unidos Mexicanos</w:t>
            </w:r>
          </w:p>
        </w:tc>
      </w:tr>
      <w:tr>
        <w:trPr/>
        <w:tc>
          <w:tcPr>
            <w:tcW w:w="3978" w:type="dxa"/>
            <w:tcBorders/>
          </w:tcPr>
          <w:p>
            <w:pPr>
              <w:pStyle w:val="Normal"/>
              <w:rPr/>
            </w:pPr>
            <w:r>
              <w:rPr/>
              <w:t>Contractor, the</w:t>
            </w:r>
          </w:p>
        </w:tc>
        <w:tc>
          <w:tcPr>
            <w:tcW w:w="5382" w:type="dxa"/>
            <w:tcBorders/>
          </w:tcPr>
          <w:p>
            <w:pPr>
              <w:pStyle w:val="Normal"/>
              <w:rPr/>
            </w:pPr>
            <w:r>
              <w:rPr/>
              <w:t>Mitsui &amp; Co., Ltd.</w:t>
            </w:r>
          </w:p>
        </w:tc>
      </w:tr>
      <w:tr>
        <w:trPr/>
        <w:tc>
          <w:tcPr>
            <w:tcW w:w="3978" w:type="dxa"/>
            <w:tcBorders/>
          </w:tcPr>
          <w:p>
            <w:pPr>
              <w:pStyle w:val="Normal"/>
              <w:rPr/>
            </w:pPr>
            <w:r>
              <w:rPr/>
              <w:t>COSEN</w:t>
            </w:r>
          </w:p>
        </w:tc>
        <w:tc>
          <w:tcPr>
            <w:tcW w:w="5382" w:type="dxa"/>
            <w:tcBorders/>
          </w:tcPr>
          <w:p>
            <w:pPr>
              <w:pStyle w:val="Normal"/>
              <w:rPr/>
            </w:pPr>
            <w:r>
              <w:rPr/>
              <w:t>Proposed Mexican independent system operator</w:t>
            </w:r>
          </w:p>
        </w:tc>
      </w:tr>
      <w:tr>
        <w:trPr/>
        <w:tc>
          <w:tcPr>
            <w:tcW w:w="3978" w:type="dxa"/>
            <w:tcBorders/>
          </w:tcPr>
          <w:p>
            <w:pPr>
              <w:pStyle w:val="Normal"/>
              <w:rPr/>
            </w:pPr>
            <w:r>
              <w:rPr/>
              <w:t>CRE</w:t>
            </w:r>
          </w:p>
        </w:tc>
        <w:tc>
          <w:tcPr>
            <w:tcW w:w="5382" w:type="dxa"/>
            <w:tcBorders/>
          </w:tcPr>
          <w:p>
            <w:pPr>
              <w:pStyle w:val="Normal"/>
              <w:rPr/>
            </w:pPr>
            <w:r>
              <w:rPr/>
              <w:t>Comisión Reguladora de Energía</w:t>
            </w:r>
          </w:p>
        </w:tc>
      </w:tr>
      <w:tr>
        <w:trPr/>
        <w:tc>
          <w:tcPr>
            <w:tcW w:w="3978" w:type="dxa"/>
            <w:tcBorders/>
          </w:tcPr>
          <w:p>
            <w:pPr>
              <w:pStyle w:val="Normal"/>
              <w:rPr/>
            </w:pPr>
            <w:r>
              <w:rPr/>
              <w:t>CTG</w:t>
            </w:r>
          </w:p>
        </w:tc>
        <w:tc>
          <w:tcPr>
            <w:tcW w:w="5382" w:type="dxa"/>
            <w:tcBorders/>
          </w:tcPr>
          <w:p>
            <w:pPr>
              <w:pStyle w:val="Normal"/>
              <w:rPr/>
            </w:pPr>
            <w:r>
              <w:rPr/>
              <w:t>Combustion turbine generator</w:t>
            </w:r>
          </w:p>
        </w:tc>
      </w:tr>
      <w:tr>
        <w:trPr/>
        <w:tc>
          <w:tcPr>
            <w:tcW w:w="3978" w:type="dxa"/>
            <w:tcBorders/>
          </w:tcPr>
          <w:p>
            <w:pPr>
              <w:pStyle w:val="Normal"/>
              <w:rPr/>
            </w:pPr>
            <w:r>
              <w:rPr/>
              <w:t>EBITDA</w:t>
            </w:r>
          </w:p>
        </w:tc>
        <w:tc>
          <w:tcPr>
            <w:tcW w:w="5382" w:type="dxa"/>
            <w:tcBorders/>
          </w:tcPr>
          <w:p>
            <w:pPr>
              <w:pStyle w:val="Normal"/>
              <w:rPr/>
            </w:pPr>
            <w:r>
              <w:rPr/>
              <w:t>Earnings before interest, taxes, depreciation and amortization</w:t>
            </w:r>
          </w:p>
        </w:tc>
      </w:tr>
      <w:tr>
        <w:trPr/>
        <w:tc>
          <w:tcPr>
            <w:tcW w:w="3978" w:type="dxa"/>
            <w:tcBorders/>
          </w:tcPr>
          <w:p>
            <w:pPr>
              <w:pStyle w:val="Normal"/>
              <w:rPr/>
            </w:pPr>
            <w:r>
              <w:rPr/>
              <w:t>EEIM</w:t>
            </w:r>
          </w:p>
        </w:tc>
        <w:tc>
          <w:tcPr>
            <w:tcW w:w="5382" w:type="dxa"/>
            <w:tcBorders/>
          </w:tcPr>
          <w:p>
            <w:pPr>
              <w:pStyle w:val="Normal"/>
              <w:rPr/>
            </w:pPr>
            <w:r>
              <w:rPr/>
              <w:t>Enron Energía Industrial de México B.V.</w:t>
            </w:r>
          </w:p>
        </w:tc>
      </w:tr>
      <w:tr>
        <w:trPr/>
        <w:tc>
          <w:tcPr>
            <w:tcW w:w="3978" w:type="dxa"/>
            <w:tcBorders/>
          </w:tcPr>
          <w:p>
            <w:pPr>
              <w:pStyle w:val="Normal"/>
              <w:rPr/>
            </w:pPr>
            <w:r>
              <w:rPr/>
              <w:t>EGA Target</w:t>
            </w:r>
          </w:p>
        </w:tc>
        <w:tc>
          <w:tcPr>
            <w:tcW w:w="5382" w:type="dxa"/>
            <w:tcBorders/>
          </w:tcPr>
          <w:p>
            <w:pPr>
              <w:pStyle w:val="Normal"/>
              <w:rPr/>
            </w:pPr>
            <w:r>
              <w:rPr/>
              <w:t>Electric generation availability target</w:t>
            </w:r>
          </w:p>
        </w:tc>
      </w:tr>
      <w:tr>
        <w:trPr/>
        <w:tc>
          <w:tcPr>
            <w:tcW w:w="3978" w:type="dxa"/>
            <w:tcBorders/>
          </w:tcPr>
          <w:p>
            <w:pPr>
              <w:pStyle w:val="Normal"/>
              <w:rPr/>
            </w:pPr>
            <w:r>
              <w:rPr/>
              <w:t>EGAT</w:t>
            </w:r>
          </w:p>
        </w:tc>
        <w:tc>
          <w:tcPr>
            <w:tcW w:w="5382" w:type="dxa"/>
            <w:tcBorders/>
          </w:tcPr>
          <w:p>
            <w:pPr>
              <w:pStyle w:val="Normal"/>
              <w:rPr/>
            </w:pPr>
            <w:r>
              <w:rPr/>
              <w:t>Electricity Generating Authority of Thailand</w:t>
            </w:r>
          </w:p>
        </w:tc>
      </w:tr>
      <w:tr>
        <w:trPr/>
        <w:tc>
          <w:tcPr>
            <w:tcW w:w="3978" w:type="dxa"/>
            <w:tcBorders/>
          </w:tcPr>
          <w:p>
            <w:pPr>
              <w:pStyle w:val="Normal"/>
              <w:rPr/>
            </w:pPr>
            <w:r>
              <w:rPr/>
              <w:t>Electricity Law, the</w:t>
            </w:r>
          </w:p>
        </w:tc>
        <w:tc>
          <w:tcPr>
            <w:tcW w:w="5382" w:type="dxa"/>
            <w:tcBorders/>
          </w:tcPr>
          <w:p>
            <w:pPr>
              <w:pStyle w:val="Normal"/>
              <w:rPr/>
            </w:pPr>
            <w:r>
              <w:rPr/>
              <w:t>Ley del Servicio Público de Energía Eléctrica</w:t>
            </w:r>
          </w:p>
        </w:tc>
      </w:tr>
      <w:tr>
        <w:trPr/>
        <w:tc>
          <w:tcPr>
            <w:tcW w:w="3978" w:type="dxa"/>
            <w:tcBorders/>
          </w:tcPr>
          <w:p>
            <w:pPr>
              <w:pStyle w:val="Normal"/>
              <w:rPr/>
            </w:pPr>
            <w:r>
              <w:rPr/>
              <w:t>Energy Charges, the</w:t>
            </w:r>
          </w:p>
        </w:tc>
        <w:tc>
          <w:tcPr>
            <w:tcW w:w="5382" w:type="dxa"/>
            <w:tcBorders/>
          </w:tcPr>
          <w:p>
            <w:pPr>
              <w:pStyle w:val="Normal"/>
              <w:rPr/>
            </w:pPr>
            <w:r>
              <w:rPr/>
              <w:t>Together the Start-up Charge, Fuel Charge and Variable Operation and Maintenance Charge</w:t>
            </w:r>
          </w:p>
        </w:tc>
      </w:tr>
      <w:tr>
        <w:trPr/>
        <w:tc>
          <w:tcPr>
            <w:tcW w:w="3978" w:type="dxa"/>
            <w:tcBorders/>
          </w:tcPr>
          <w:p>
            <w:pPr>
              <w:pStyle w:val="Normal"/>
              <w:rPr/>
            </w:pPr>
            <w:r>
              <w:rPr/>
              <w:t>Enron</w:t>
            </w:r>
          </w:p>
        </w:tc>
        <w:tc>
          <w:tcPr>
            <w:tcW w:w="5382" w:type="dxa"/>
            <w:tcBorders/>
          </w:tcPr>
          <w:p>
            <w:pPr>
              <w:pStyle w:val="Normal"/>
              <w:rPr/>
            </w:pPr>
            <w:r>
              <w:rPr/>
              <w:t>Enron North America Corporation</w:t>
            </w:r>
          </w:p>
        </w:tc>
      </w:tr>
      <w:tr>
        <w:trPr/>
        <w:tc>
          <w:tcPr>
            <w:tcW w:w="3978" w:type="dxa"/>
            <w:tcBorders/>
          </w:tcPr>
          <w:p>
            <w:pPr>
              <w:pStyle w:val="Normal"/>
              <w:rPr/>
            </w:pPr>
            <w:r>
              <w:rPr/>
              <w:t>Enron Mexico</w:t>
            </w:r>
          </w:p>
        </w:tc>
        <w:tc>
          <w:tcPr>
            <w:tcW w:w="5382" w:type="dxa"/>
            <w:tcBorders/>
          </w:tcPr>
          <w:p>
            <w:pPr>
              <w:pStyle w:val="Normal"/>
              <w:rPr/>
            </w:pPr>
            <w:r>
              <w:rPr/>
              <w:t>Enron Energía Industrial de México, S. de R.L. de C.V.</w:t>
            </w:r>
          </w:p>
        </w:tc>
      </w:tr>
      <w:tr>
        <w:trPr/>
        <w:tc>
          <w:tcPr>
            <w:tcW w:w="3978" w:type="dxa"/>
            <w:tcBorders/>
          </w:tcPr>
          <w:p>
            <w:pPr>
              <w:pStyle w:val="Normal"/>
              <w:rPr/>
            </w:pPr>
            <w:r>
              <w:rPr/>
              <w:t>ERCOT</w:t>
            </w:r>
          </w:p>
        </w:tc>
        <w:tc>
          <w:tcPr>
            <w:tcW w:w="5382" w:type="dxa"/>
            <w:tcBorders/>
          </w:tcPr>
          <w:p>
            <w:pPr>
              <w:pStyle w:val="Normal"/>
              <w:rPr/>
            </w:pPr>
            <w:r>
              <w:rPr/>
              <w:t>Electric Reliability Council of Texas</w:t>
            </w:r>
          </w:p>
        </w:tc>
      </w:tr>
      <w:tr>
        <w:trPr/>
        <w:tc>
          <w:tcPr>
            <w:tcW w:w="3978" w:type="dxa"/>
            <w:tcBorders/>
          </w:tcPr>
          <w:p>
            <w:pPr>
              <w:pStyle w:val="Normal"/>
              <w:rPr/>
            </w:pPr>
            <w:r>
              <w:rPr/>
              <w:t>ESMP</w:t>
            </w:r>
          </w:p>
        </w:tc>
        <w:tc>
          <w:tcPr>
            <w:tcW w:w="5382" w:type="dxa"/>
            <w:tcBorders/>
          </w:tcPr>
          <w:p>
            <w:pPr>
              <w:pStyle w:val="Normal"/>
              <w:rPr/>
            </w:pPr>
            <w:r>
              <w:rPr/>
              <w:t>Environmental and Social Management Plan</w:t>
            </w:r>
          </w:p>
        </w:tc>
      </w:tr>
      <w:tr>
        <w:trPr/>
        <w:tc>
          <w:tcPr>
            <w:tcW w:w="3978" w:type="dxa"/>
            <w:tcBorders/>
          </w:tcPr>
          <w:p>
            <w:pPr>
              <w:pStyle w:val="Normal"/>
              <w:rPr/>
            </w:pPr>
            <w:r>
              <w:rPr/>
              <w:t>FRP</w:t>
            </w:r>
          </w:p>
        </w:tc>
        <w:tc>
          <w:tcPr>
            <w:tcW w:w="5382" w:type="dxa"/>
            <w:tcBorders/>
          </w:tcPr>
          <w:p>
            <w:pPr>
              <w:pStyle w:val="Normal"/>
              <w:rPr/>
            </w:pPr>
            <w:r>
              <w:rPr/>
              <w:t>Fiberglass reinforced plastic</w:t>
            </w:r>
          </w:p>
        </w:tc>
      </w:tr>
      <w:tr>
        <w:trPr/>
        <w:tc>
          <w:tcPr>
            <w:tcW w:w="3978" w:type="dxa"/>
            <w:tcBorders/>
          </w:tcPr>
          <w:p>
            <w:pPr>
              <w:pStyle w:val="Normal"/>
              <w:rPr/>
            </w:pPr>
            <w:r>
              <w:rPr/>
              <w:t>FSA</w:t>
            </w:r>
          </w:p>
        </w:tc>
        <w:tc>
          <w:tcPr>
            <w:tcW w:w="5382" w:type="dxa"/>
            <w:tcBorders/>
          </w:tcPr>
          <w:p>
            <w:pPr>
              <w:pStyle w:val="Normal"/>
              <w:rPr/>
            </w:pPr>
            <w:r>
              <w:rPr/>
              <w:t>Fuel supply agreement</w:t>
            </w:r>
          </w:p>
        </w:tc>
      </w:tr>
      <w:tr>
        <w:trPr/>
        <w:tc>
          <w:tcPr>
            <w:tcW w:w="3978" w:type="dxa"/>
            <w:tcBorders/>
          </w:tcPr>
          <w:p>
            <w:pPr>
              <w:pStyle w:val="Normal"/>
              <w:rPr/>
            </w:pPr>
            <w:r>
              <w:rPr/>
              <w:t>GDP</w:t>
            </w:r>
          </w:p>
        </w:tc>
        <w:tc>
          <w:tcPr>
            <w:tcW w:w="5382" w:type="dxa"/>
            <w:tcBorders/>
          </w:tcPr>
          <w:p>
            <w:pPr>
              <w:pStyle w:val="Normal"/>
              <w:rPr/>
            </w:pPr>
            <w:r>
              <w:rPr/>
              <w:t>Gross Domestic Product</w:t>
            </w:r>
          </w:p>
        </w:tc>
      </w:tr>
      <w:tr>
        <w:trPr/>
        <w:tc>
          <w:tcPr>
            <w:tcW w:w="3978" w:type="dxa"/>
            <w:tcBorders/>
          </w:tcPr>
          <w:p>
            <w:pPr>
              <w:pStyle w:val="Normal"/>
              <w:rPr/>
            </w:pPr>
            <w:r>
              <w:rPr/>
              <w:t>GE</w:t>
            </w:r>
          </w:p>
        </w:tc>
        <w:tc>
          <w:tcPr>
            <w:tcW w:w="5382" w:type="dxa"/>
            <w:tcBorders/>
          </w:tcPr>
          <w:p>
            <w:pPr>
              <w:pStyle w:val="Normal"/>
              <w:rPr/>
            </w:pPr>
            <w:r>
              <w:rPr/>
              <w:t>General Electric</w:t>
            </w:r>
          </w:p>
        </w:tc>
      </w:tr>
      <w:tr>
        <w:trPr/>
        <w:tc>
          <w:tcPr>
            <w:tcW w:w="3978" w:type="dxa"/>
            <w:tcBorders/>
          </w:tcPr>
          <w:p>
            <w:pPr>
              <w:pStyle w:val="Normal"/>
              <w:rPr/>
            </w:pPr>
            <w:r>
              <w:rPr/>
              <w:t>GNP</w:t>
            </w:r>
          </w:p>
        </w:tc>
        <w:tc>
          <w:tcPr>
            <w:tcW w:w="5382" w:type="dxa"/>
            <w:tcBorders/>
          </w:tcPr>
          <w:p>
            <w:pPr>
              <w:pStyle w:val="Normal"/>
              <w:rPr/>
            </w:pPr>
            <w:r>
              <w:rPr/>
              <w:t>Gross National Product</w:t>
            </w:r>
          </w:p>
        </w:tc>
      </w:tr>
      <w:tr>
        <w:trPr/>
        <w:tc>
          <w:tcPr>
            <w:tcW w:w="3978" w:type="dxa"/>
            <w:tcBorders/>
          </w:tcPr>
          <w:p>
            <w:pPr>
              <w:pStyle w:val="Normal"/>
              <w:rPr/>
            </w:pPr>
            <w:r>
              <w:rPr/>
              <w:t>GWh</w:t>
            </w:r>
          </w:p>
        </w:tc>
        <w:tc>
          <w:tcPr>
            <w:tcW w:w="5382" w:type="dxa"/>
            <w:tcBorders/>
          </w:tcPr>
          <w:p>
            <w:pPr>
              <w:pStyle w:val="Normal"/>
              <w:rPr/>
            </w:pPr>
            <w:r>
              <w:rPr/>
              <w:t>Gigawatt hour</w:t>
            </w:r>
          </w:p>
        </w:tc>
      </w:tr>
      <w:tr>
        <w:trPr/>
        <w:tc>
          <w:tcPr>
            <w:tcW w:w="3978" w:type="dxa"/>
            <w:tcBorders/>
          </w:tcPr>
          <w:p>
            <w:pPr>
              <w:pStyle w:val="Normal"/>
              <w:rPr/>
            </w:pPr>
            <w:r>
              <w:rPr/>
              <w:t>HHV</w:t>
            </w:r>
          </w:p>
        </w:tc>
        <w:tc>
          <w:tcPr>
            <w:tcW w:w="5382" w:type="dxa"/>
            <w:tcBorders/>
          </w:tcPr>
          <w:p>
            <w:pPr>
              <w:pStyle w:val="Normal"/>
              <w:rPr/>
            </w:pPr>
            <w:r>
              <w:rPr/>
              <w:t>High Heat Value</w:t>
            </w:r>
          </w:p>
        </w:tc>
      </w:tr>
      <w:tr>
        <w:trPr/>
        <w:tc>
          <w:tcPr>
            <w:tcW w:w="3978" w:type="dxa"/>
            <w:tcBorders/>
          </w:tcPr>
          <w:p>
            <w:pPr>
              <w:pStyle w:val="Normal"/>
              <w:rPr/>
            </w:pPr>
            <w:r>
              <w:rPr/>
              <w:t>HRSG</w:t>
            </w:r>
          </w:p>
        </w:tc>
        <w:tc>
          <w:tcPr>
            <w:tcW w:w="5382" w:type="dxa"/>
            <w:tcBorders/>
          </w:tcPr>
          <w:p>
            <w:pPr>
              <w:pStyle w:val="Normal"/>
              <w:rPr/>
            </w:pPr>
            <w:r>
              <w:rPr/>
              <w:t>Heat recovery steam generator</w:t>
            </w:r>
          </w:p>
        </w:tc>
      </w:tr>
      <w:tr>
        <w:trPr/>
        <w:tc>
          <w:tcPr>
            <w:tcW w:w="3978" w:type="dxa"/>
            <w:tcBorders/>
          </w:tcPr>
          <w:p>
            <w:pPr>
              <w:pStyle w:val="Normal"/>
              <w:rPr/>
            </w:pPr>
            <w:r>
              <w:rPr/>
              <w:t>HUBCO</w:t>
            </w:r>
          </w:p>
        </w:tc>
        <w:tc>
          <w:tcPr>
            <w:tcW w:w="5382" w:type="dxa"/>
            <w:tcBorders/>
          </w:tcPr>
          <w:p>
            <w:pPr>
              <w:pStyle w:val="Normal"/>
              <w:rPr/>
            </w:pPr>
            <w:r>
              <w:rPr/>
              <w:t>Hub Power Company Limited</w:t>
            </w:r>
          </w:p>
        </w:tc>
      </w:tr>
      <w:tr>
        <w:trPr/>
        <w:tc>
          <w:tcPr>
            <w:tcW w:w="3978" w:type="dxa"/>
            <w:tcBorders/>
          </w:tcPr>
          <w:p>
            <w:pPr>
              <w:pStyle w:val="Normal"/>
              <w:rPr/>
            </w:pPr>
            <w:r>
              <w:rPr/>
              <w:t>IDB</w:t>
            </w:r>
          </w:p>
        </w:tc>
        <w:tc>
          <w:tcPr>
            <w:tcW w:w="5382" w:type="dxa"/>
            <w:tcBorders/>
          </w:tcPr>
          <w:p>
            <w:pPr>
              <w:pStyle w:val="Normal"/>
              <w:rPr/>
            </w:pPr>
            <w:r>
              <w:rPr/>
              <w:t>Inter-American Development Bank</w:t>
            </w:r>
          </w:p>
        </w:tc>
      </w:tr>
      <w:tr>
        <w:trPr/>
        <w:tc>
          <w:tcPr>
            <w:tcW w:w="3978" w:type="dxa"/>
            <w:tcBorders/>
          </w:tcPr>
          <w:p>
            <w:pPr>
              <w:pStyle w:val="Normal"/>
              <w:rPr/>
            </w:pPr>
            <w:r>
              <w:rPr/>
              <w:t>IDC</w:t>
            </w:r>
          </w:p>
        </w:tc>
        <w:tc>
          <w:tcPr>
            <w:tcW w:w="5382" w:type="dxa"/>
            <w:tcBorders/>
          </w:tcPr>
          <w:p>
            <w:pPr>
              <w:pStyle w:val="Normal"/>
              <w:rPr/>
            </w:pPr>
            <w:r>
              <w:rPr/>
              <w:t>Interest during construction</w:t>
            </w:r>
          </w:p>
        </w:tc>
      </w:tr>
      <w:tr>
        <w:trPr/>
        <w:tc>
          <w:tcPr>
            <w:tcW w:w="3978" w:type="dxa"/>
            <w:tcBorders/>
          </w:tcPr>
          <w:p>
            <w:pPr>
              <w:pStyle w:val="Normal"/>
              <w:rPr/>
            </w:pPr>
            <w:r>
              <w:rPr/>
              <w:t>IMSA</w:t>
            </w:r>
          </w:p>
        </w:tc>
        <w:tc>
          <w:tcPr>
            <w:tcW w:w="5382" w:type="dxa"/>
            <w:tcBorders/>
          </w:tcPr>
          <w:p>
            <w:pPr>
              <w:pStyle w:val="Normal"/>
              <w:rPr/>
            </w:pPr>
            <w:r>
              <w:rPr/>
              <w:t>Grupo IMSA, S.A. de C.V.</w:t>
            </w:r>
          </w:p>
        </w:tc>
      </w:tr>
      <w:tr>
        <w:trPr/>
        <w:tc>
          <w:tcPr>
            <w:tcW w:w="3978" w:type="dxa"/>
            <w:tcBorders/>
          </w:tcPr>
          <w:p>
            <w:pPr>
              <w:pStyle w:val="Normal"/>
              <w:rPr/>
            </w:pPr>
            <w:r>
              <w:rPr/>
              <w:t>IMSA Corp.</w:t>
            </w:r>
          </w:p>
        </w:tc>
        <w:tc>
          <w:tcPr>
            <w:tcW w:w="5382" w:type="dxa"/>
            <w:tcBorders/>
          </w:tcPr>
          <w:p>
            <w:pPr>
              <w:pStyle w:val="Normal"/>
              <w:rPr/>
            </w:pPr>
            <w:r>
              <w:rPr/>
              <w:t>Corporativo Grupo IMSA, S.A. de C.V.</w:t>
            </w:r>
          </w:p>
        </w:tc>
      </w:tr>
      <w:tr>
        <w:trPr/>
        <w:tc>
          <w:tcPr>
            <w:tcW w:w="3978" w:type="dxa"/>
            <w:tcBorders/>
          </w:tcPr>
          <w:p>
            <w:pPr>
              <w:pStyle w:val="Normal"/>
              <w:rPr/>
            </w:pPr>
            <w:r>
              <w:rPr/>
              <w:t>IMSA Subsidiaries</w:t>
            </w:r>
          </w:p>
        </w:tc>
        <w:tc>
          <w:tcPr>
            <w:tcW w:w="5382" w:type="dxa"/>
            <w:tcBorders/>
          </w:tcPr>
          <w:p>
            <w:pPr>
              <w:pStyle w:val="Normal"/>
              <w:rPr/>
            </w:pPr>
            <w:r>
              <w:rPr/>
              <w:t>Nine subsidiaries under the IMSA power purchase agreement which will purchase power from the project</w:t>
            </w:r>
          </w:p>
        </w:tc>
      </w:tr>
      <w:tr>
        <w:trPr/>
        <w:tc>
          <w:tcPr>
            <w:tcW w:w="3978" w:type="dxa"/>
            <w:tcBorders/>
          </w:tcPr>
          <w:p>
            <w:pPr>
              <w:pStyle w:val="Normal"/>
              <w:rPr/>
            </w:pPr>
            <w:r>
              <w:rPr/>
              <w:t>INE</w:t>
            </w:r>
          </w:p>
        </w:tc>
        <w:tc>
          <w:tcPr>
            <w:tcW w:w="5382" w:type="dxa"/>
            <w:tcBorders/>
          </w:tcPr>
          <w:p>
            <w:pPr>
              <w:pStyle w:val="Normal"/>
              <w:rPr/>
            </w:pPr>
            <w:r>
              <w:rPr/>
              <w:t>Instituto Nacional de Energía</w:t>
            </w:r>
          </w:p>
        </w:tc>
      </w:tr>
      <w:tr>
        <w:trPr/>
        <w:tc>
          <w:tcPr>
            <w:tcW w:w="3978" w:type="dxa"/>
            <w:tcBorders/>
          </w:tcPr>
          <w:p>
            <w:pPr>
              <w:pStyle w:val="Normal"/>
              <w:rPr/>
            </w:pPr>
            <w:r>
              <w:rPr/>
              <w:t>INPP</w:t>
            </w:r>
          </w:p>
        </w:tc>
        <w:tc>
          <w:tcPr>
            <w:tcW w:w="5382" w:type="dxa"/>
            <w:tcBorders/>
          </w:tcPr>
          <w:p>
            <w:pPr>
              <w:pStyle w:val="Normal"/>
              <w:rPr/>
            </w:pPr>
            <w:r>
              <w:rPr/>
              <w:t>National Producer Price Index</w:t>
            </w:r>
          </w:p>
        </w:tc>
      </w:tr>
      <w:tr>
        <w:trPr/>
        <w:tc>
          <w:tcPr>
            <w:tcW w:w="3978" w:type="dxa"/>
            <w:tcBorders/>
          </w:tcPr>
          <w:p>
            <w:pPr>
              <w:pStyle w:val="Normal"/>
              <w:rPr/>
            </w:pPr>
            <w:r>
              <w:rPr/>
              <w:t>IPP</w:t>
            </w:r>
          </w:p>
        </w:tc>
        <w:tc>
          <w:tcPr>
            <w:tcW w:w="5382" w:type="dxa"/>
            <w:tcBorders/>
          </w:tcPr>
          <w:p>
            <w:pPr>
              <w:pStyle w:val="Normal"/>
              <w:rPr/>
            </w:pPr>
            <w:r>
              <w:rPr/>
              <w:t>Independent Power Producers</w:t>
            </w:r>
          </w:p>
        </w:tc>
      </w:tr>
      <w:tr>
        <w:trPr/>
        <w:tc>
          <w:tcPr>
            <w:tcW w:w="3978" w:type="dxa"/>
            <w:tcBorders/>
          </w:tcPr>
          <w:p>
            <w:pPr>
              <w:pStyle w:val="Normal"/>
              <w:rPr/>
            </w:pPr>
            <w:r>
              <w:rPr/>
              <w:t>ISO</w:t>
            </w:r>
          </w:p>
        </w:tc>
        <w:tc>
          <w:tcPr>
            <w:tcW w:w="5382" w:type="dxa"/>
            <w:tcBorders/>
          </w:tcPr>
          <w:p>
            <w:pPr>
              <w:pStyle w:val="Normal"/>
              <w:rPr/>
            </w:pPr>
            <w:r>
              <w:rPr/>
              <w:t>Independent System Operator</w:t>
            </w:r>
          </w:p>
        </w:tc>
      </w:tr>
      <w:tr>
        <w:trPr/>
        <w:tc>
          <w:tcPr>
            <w:tcW w:w="3978" w:type="dxa"/>
            <w:tcBorders/>
          </w:tcPr>
          <w:p>
            <w:pPr>
              <w:pStyle w:val="Normal"/>
              <w:rPr/>
            </w:pPr>
            <w:r>
              <w:rPr/>
              <w:t>J¥</w:t>
            </w:r>
          </w:p>
        </w:tc>
        <w:tc>
          <w:tcPr>
            <w:tcW w:w="5382" w:type="dxa"/>
            <w:tcBorders/>
          </w:tcPr>
          <w:p>
            <w:pPr>
              <w:pStyle w:val="Normal"/>
              <w:rPr/>
            </w:pPr>
            <w:r>
              <w:rPr/>
              <w:t>Japanese yen</w:t>
            </w:r>
          </w:p>
        </w:tc>
      </w:tr>
      <w:tr>
        <w:trPr/>
        <w:tc>
          <w:tcPr>
            <w:tcW w:w="3978" w:type="dxa"/>
            <w:tcBorders/>
          </w:tcPr>
          <w:p>
            <w:pPr>
              <w:pStyle w:val="Normal"/>
              <w:rPr/>
            </w:pPr>
            <w:r>
              <w:rPr/>
              <w:t>Kawaski</w:t>
            </w:r>
          </w:p>
        </w:tc>
        <w:tc>
          <w:tcPr>
            <w:tcW w:w="5382" w:type="dxa"/>
            <w:tcBorders/>
          </w:tcPr>
          <w:p>
            <w:pPr>
              <w:pStyle w:val="Normal"/>
              <w:rPr/>
            </w:pPr>
            <w:r>
              <w:rPr/>
              <w:t>Kawasaki Heavy Industries, Ltd.</w:t>
            </w:r>
          </w:p>
        </w:tc>
      </w:tr>
      <w:tr>
        <w:trPr/>
        <w:tc>
          <w:tcPr>
            <w:tcW w:w="3978" w:type="dxa"/>
            <w:tcBorders/>
          </w:tcPr>
          <w:p>
            <w:pPr>
              <w:pStyle w:val="Normal"/>
              <w:rPr/>
            </w:pPr>
            <w:r>
              <w:rPr/>
              <w:t>Keppler</w:t>
            </w:r>
          </w:p>
        </w:tc>
        <w:tc>
          <w:tcPr>
            <w:tcW w:w="5382" w:type="dxa"/>
            <w:tcBorders/>
          </w:tcPr>
          <w:p>
            <w:pPr>
              <w:pStyle w:val="Normal"/>
              <w:rPr/>
            </w:pPr>
            <w:r>
              <w:rPr/>
              <w:t>Constructora Keppler, S.A. de C.V.</w:t>
            </w:r>
          </w:p>
        </w:tc>
      </w:tr>
      <w:tr>
        <w:trPr/>
        <w:tc>
          <w:tcPr>
            <w:tcW w:w="3978" w:type="dxa"/>
            <w:tcBorders/>
          </w:tcPr>
          <w:p>
            <w:pPr>
              <w:pStyle w:val="Normal"/>
              <w:rPr/>
            </w:pPr>
            <w:r>
              <w:rPr/>
              <w:t>Key Transaction Documents</w:t>
            </w:r>
          </w:p>
        </w:tc>
        <w:tc>
          <w:tcPr>
            <w:tcW w:w="5382" w:type="dxa"/>
            <w:tcBorders/>
          </w:tcPr>
          <w:p>
            <w:pPr>
              <w:pStyle w:val="Normal"/>
              <w:rPr/>
            </w:pPr>
            <w:r>
              <w:rPr/>
              <w:t>Sales and Purchase Agreement, and Shareholder’s Agreement</w:t>
            </w:r>
          </w:p>
        </w:tc>
      </w:tr>
      <w:tr>
        <w:trPr/>
        <w:tc>
          <w:tcPr>
            <w:tcW w:w="3978" w:type="dxa"/>
            <w:tcBorders/>
          </w:tcPr>
          <w:p>
            <w:pPr>
              <w:pStyle w:val="Normal"/>
              <w:rPr/>
            </w:pPr>
            <w:r>
              <w:rPr/>
              <w:t>kV</w:t>
            </w:r>
          </w:p>
        </w:tc>
        <w:tc>
          <w:tcPr>
            <w:tcW w:w="5382" w:type="dxa"/>
            <w:tcBorders/>
          </w:tcPr>
          <w:p>
            <w:pPr>
              <w:pStyle w:val="Normal"/>
              <w:rPr/>
            </w:pPr>
            <w:r>
              <w:rPr/>
              <w:t>Kilovolt</w:t>
            </w:r>
          </w:p>
        </w:tc>
      </w:tr>
      <w:tr>
        <w:trPr/>
        <w:tc>
          <w:tcPr>
            <w:tcW w:w="3978" w:type="dxa"/>
            <w:tcBorders/>
          </w:tcPr>
          <w:p>
            <w:pPr>
              <w:pStyle w:val="Normal"/>
              <w:rPr/>
            </w:pPr>
            <w:r>
              <w:rPr/>
              <w:t>kW</w:t>
            </w:r>
          </w:p>
        </w:tc>
        <w:tc>
          <w:tcPr>
            <w:tcW w:w="5382" w:type="dxa"/>
            <w:tcBorders/>
          </w:tcPr>
          <w:p>
            <w:pPr>
              <w:pStyle w:val="Normal"/>
              <w:rPr/>
            </w:pPr>
            <w:r>
              <w:rPr/>
              <w:t>Kilowatt</w:t>
            </w:r>
          </w:p>
        </w:tc>
      </w:tr>
      <w:tr>
        <w:trPr/>
        <w:tc>
          <w:tcPr>
            <w:tcW w:w="3978" w:type="dxa"/>
            <w:tcBorders/>
          </w:tcPr>
          <w:p>
            <w:pPr>
              <w:pStyle w:val="Normal"/>
              <w:rPr/>
            </w:pPr>
            <w:r>
              <w:rPr/>
              <w:t>kWh</w:t>
            </w:r>
          </w:p>
        </w:tc>
        <w:tc>
          <w:tcPr>
            <w:tcW w:w="5382" w:type="dxa"/>
            <w:tcBorders/>
          </w:tcPr>
          <w:p>
            <w:pPr>
              <w:pStyle w:val="Normal"/>
              <w:rPr/>
            </w:pPr>
            <w:r>
              <w:rPr/>
              <w:t>Kilowatt hour</w:t>
            </w:r>
          </w:p>
        </w:tc>
      </w:tr>
      <w:tr>
        <w:trPr/>
        <w:tc>
          <w:tcPr>
            <w:tcW w:w="3978" w:type="dxa"/>
            <w:tcBorders/>
          </w:tcPr>
          <w:p>
            <w:pPr>
              <w:pStyle w:val="Normal"/>
              <w:rPr/>
            </w:pPr>
            <w:r>
              <w:rPr/>
              <w:t>Lenders</w:t>
            </w:r>
          </w:p>
        </w:tc>
        <w:tc>
          <w:tcPr>
            <w:tcW w:w="5382" w:type="dxa"/>
            <w:tcBorders/>
          </w:tcPr>
          <w:p>
            <w:pPr>
              <w:pStyle w:val="Normal"/>
              <w:rPr/>
            </w:pPr>
            <w:r>
              <w:rPr/>
              <w:t>Inter-American Development Bank and commercial banks participating in the US$136.5 million debt financing</w:t>
            </w:r>
          </w:p>
        </w:tc>
      </w:tr>
      <w:tr>
        <w:trPr/>
        <w:tc>
          <w:tcPr>
            <w:tcW w:w="3978" w:type="dxa"/>
            <w:tcBorders/>
          </w:tcPr>
          <w:p>
            <w:pPr>
              <w:pStyle w:val="Normal"/>
              <w:rPr/>
            </w:pPr>
            <w:r>
              <w:rPr/>
              <w:t>LFC</w:t>
            </w:r>
          </w:p>
        </w:tc>
        <w:tc>
          <w:tcPr>
            <w:tcW w:w="5382" w:type="dxa"/>
            <w:tcBorders/>
          </w:tcPr>
          <w:p>
            <w:pPr>
              <w:pStyle w:val="Normal"/>
              <w:rPr/>
            </w:pPr>
            <w:r>
              <w:rPr/>
              <w:t>Luz y Fuerza del Centro</w:t>
            </w:r>
          </w:p>
        </w:tc>
      </w:tr>
      <w:tr>
        <w:trPr/>
        <w:tc>
          <w:tcPr>
            <w:tcW w:w="3978" w:type="dxa"/>
            <w:tcBorders/>
          </w:tcPr>
          <w:p>
            <w:pPr>
              <w:pStyle w:val="Normal"/>
              <w:rPr/>
            </w:pPr>
            <w:r>
              <w:rPr/>
              <w:t>Mitsui</w:t>
            </w:r>
          </w:p>
        </w:tc>
        <w:tc>
          <w:tcPr>
            <w:tcW w:w="5382" w:type="dxa"/>
            <w:tcBorders/>
          </w:tcPr>
          <w:p>
            <w:pPr>
              <w:pStyle w:val="Normal"/>
              <w:rPr/>
            </w:pPr>
            <w:r>
              <w:rPr/>
              <w:t>Mitsui &amp; Co., Ltd.</w:t>
            </w:r>
          </w:p>
        </w:tc>
      </w:tr>
      <w:tr>
        <w:trPr/>
        <w:tc>
          <w:tcPr>
            <w:tcW w:w="3978" w:type="dxa"/>
            <w:tcBorders/>
          </w:tcPr>
          <w:p>
            <w:pPr>
              <w:pStyle w:val="Normal"/>
              <w:rPr/>
            </w:pPr>
            <w:r>
              <w:rPr/>
              <w:t>MMBtu/day</w:t>
            </w:r>
          </w:p>
        </w:tc>
        <w:tc>
          <w:tcPr>
            <w:tcW w:w="5382" w:type="dxa"/>
            <w:tcBorders/>
          </w:tcPr>
          <w:p>
            <w:pPr>
              <w:pStyle w:val="Normal"/>
              <w:rPr/>
            </w:pPr>
            <w:r>
              <w:rPr/>
              <w:t>Millions of British thermal units per day</w:t>
            </w:r>
          </w:p>
        </w:tc>
      </w:tr>
      <w:tr>
        <w:trPr/>
        <w:tc>
          <w:tcPr>
            <w:tcW w:w="3978" w:type="dxa"/>
            <w:tcBorders/>
          </w:tcPr>
          <w:p>
            <w:pPr>
              <w:pStyle w:val="Normal"/>
              <w:rPr/>
            </w:pPr>
            <w:r>
              <w:rPr/>
              <w:t>Moody’s</w:t>
            </w:r>
          </w:p>
        </w:tc>
        <w:tc>
          <w:tcPr>
            <w:tcW w:w="5382" w:type="dxa"/>
            <w:tcBorders/>
          </w:tcPr>
          <w:p>
            <w:pPr>
              <w:pStyle w:val="Normal"/>
              <w:rPr/>
            </w:pPr>
            <w:r>
              <w:rPr/>
              <w:t>Moody’s Investors Service</w:t>
            </w:r>
          </w:p>
        </w:tc>
      </w:tr>
      <w:tr>
        <w:trPr/>
        <w:tc>
          <w:tcPr>
            <w:tcW w:w="3978" w:type="dxa"/>
            <w:tcBorders/>
          </w:tcPr>
          <w:p>
            <w:pPr>
              <w:pStyle w:val="Normal"/>
              <w:rPr/>
            </w:pPr>
            <w:r>
              <w:rPr/>
              <w:t>MTPH</w:t>
            </w:r>
          </w:p>
        </w:tc>
        <w:tc>
          <w:tcPr>
            <w:tcW w:w="5382" w:type="dxa"/>
            <w:tcBorders/>
          </w:tcPr>
          <w:p>
            <w:pPr>
              <w:pStyle w:val="Normal"/>
              <w:rPr/>
            </w:pPr>
            <w:r>
              <w:rPr/>
              <w:t>Metric tonnes per hour</w:t>
            </w:r>
          </w:p>
        </w:tc>
      </w:tr>
      <w:tr>
        <w:trPr/>
        <w:tc>
          <w:tcPr>
            <w:tcW w:w="3978" w:type="dxa"/>
            <w:tcBorders/>
          </w:tcPr>
          <w:p>
            <w:pPr>
              <w:pStyle w:val="Normal"/>
              <w:rPr/>
            </w:pPr>
            <w:r>
              <w:rPr/>
              <w:t>MW</w:t>
            </w:r>
          </w:p>
        </w:tc>
        <w:tc>
          <w:tcPr>
            <w:tcW w:w="5382" w:type="dxa"/>
            <w:tcBorders/>
          </w:tcPr>
          <w:p>
            <w:pPr>
              <w:pStyle w:val="Normal"/>
              <w:rPr/>
            </w:pPr>
            <w:r>
              <w:rPr/>
              <w:t>Megawatt</w:t>
            </w:r>
          </w:p>
        </w:tc>
      </w:tr>
      <w:tr>
        <w:trPr/>
        <w:tc>
          <w:tcPr>
            <w:tcW w:w="3978" w:type="dxa"/>
            <w:tcBorders/>
          </w:tcPr>
          <w:p>
            <w:pPr>
              <w:pStyle w:val="Normal"/>
              <w:rPr/>
            </w:pPr>
            <w:r>
              <w:rPr/>
              <w:t>NAFTA</w:t>
            </w:r>
          </w:p>
        </w:tc>
        <w:tc>
          <w:tcPr>
            <w:tcW w:w="5382" w:type="dxa"/>
            <w:tcBorders/>
          </w:tcPr>
          <w:p>
            <w:pPr>
              <w:pStyle w:val="Normal"/>
              <w:rPr/>
            </w:pPr>
            <w:r>
              <w:rPr/>
              <w:t>North American Free Trade Agreement</w:t>
            </w:r>
          </w:p>
        </w:tc>
      </w:tr>
      <w:tr>
        <w:trPr/>
        <w:tc>
          <w:tcPr>
            <w:tcW w:w="3978" w:type="dxa"/>
            <w:tcBorders/>
          </w:tcPr>
          <w:p>
            <w:pPr>
              <w:pStyle w:val="Normal"/>
              <w:rPr/>
            </w:pPr>
            <w:r>
              <w:rPr/>
              <w:t>NASDAQ</w:t>
            </w:r>
          </w:p>
        </w:tc>
        <w:tc>
          <w:tcPr>
            <w:tcW w:w="5382" w:type="dxa"/>
            <w:tcBorders/>
          </w:tcPr>
          <w:p>
            <w:pPr>
              <w:pStyle w:val="Normal"/>
              <w:rPr/>
            </w:pPr>
            <w:r>
              <w:rPr/>
              <w:t>National Association of Securities Dealers over-the-counter stock exchange</w:t>
            </w:r>
          </w:p>
        </w:tc>
      </w:tr>
      <w:tr>
        <w:trPr/>
        <w:tc>
          <w:tcPr>
            <w:tcW w:w="3978" w:type="dxa"/>
            <w:tcBorders/>
          </w:tcPr>
          <w:p>
            <w:pPr>
              <w:pStyle w:val="Normal"/>
              <w:rPr/>
            </w:pPr>
            <w:r>
              <w:rPr/>
              <w:t>National Center for Energy Control</w:t>
            </w:r>
          </w:p>
        </w:tc>
        <w:tc>
          <w:tcPr>
            <w:tcW w:w="5382" w:type="dxa"/>
            <w:tcBorders/>
          </w:tcPr>
          <w:p>
            <w:pPr>
              <w:pStyle w:val="Normal"/>
              <w:rPr/>
            </w:pPr>
            <w:r>
              <w:rPr/>
              <w:t>Centro Nacional de Control de la Energía</w:t>
            </w:r>
          </w:p>
        </w:tc>
      </w:tr>
      <w:tr>
        <w:trPr/>
        <w:tc>
          <w:tcPr>
            <w:tcW w:w="3978" w:type="dxa"/>
            <w:tcBorders/>
          </w:tcPr>
          <w:p>
            <w:pPr>
              <w:pStyle w:val="Normal"/>
              <w:rPr/>
            </w:pPr>
            <w:r>
              <w:rPr/>
              <w:t>NOx</w:t>
            </w:r>
          </w:p>
        </w:tc>
        <w:tc>
          <w:tcPr>
            <w:tcW w:w="5382" w:type="dxa"/>
            <w:tcBorders/>
          </w:tcPr>
          <w:p>
            <w:pPr>
              <w:pStyle w:val="Normal"/>
              <w:rPr/>
            </w:pPr>
            <w:r>
              <w:rPr/>
              <w:t>Nitrous oxide</w:t>
            </w:r>
          </w:p>
        </w:tc>
      </w:tr>
      <w:tr>
        <w:trPr/>
        <w:tc>
          <w:tcPr>
            <w:tcW w:w="3978" w:type="dxa"/>
            <w:tcBorders/>
          </w:tcPr>
          <w:p>
            <w:pPr>
              <w:pStyle w:val="Normal"/>
              <w:rPr/>
            </w:pPr>
            <w:r>
              <w:rPr/>
              <w:t>NSPI</w:t>
            </w:r>
          </w:p>
        </w:tc>
        <w:tc>
          <w:tcPr>
            <w:tcW w:w="5382" w:type="dxa"/>
            <w:tcBorders/>
          </w:tcPr>
          <w:p>
            <w:pPr>
              <w:pStyle w:val="Normal"/>
              <w:rPr/>
            </w:pPr>
            <w:r>
              <w:rPr/>
              <w:t>Nova Scotia Power Inc.</w:t>
            </w:r>
          </w:p>
        </w:tc>
      </w:tr>
      <w:tr>
        <w:trPr/>
        <w:tc>
          <w:tcPr>
            <w:tcW w:w="3978" w:type="dxa"/>
            <w:tcBorders/>
          </w:tcPr>
          <w:p>
            <w:pPr>
              <w:pStyle w:val="Normal"/>
              <w:rPr/>
            </w:pPr>
            <w:r>
              <w:rPr/>
              <w:t>O&amp;M</w:t>
            </w:r>
          </w:p>
        </w:tc>
        <w:tc>
          <w:tcPr>
            <w:tcW w:w="5382" w:type="dxa"/>
            <w:tcBorders/>
          </w:tcPr>
          <w:p>
            <w:pPr>
              <w:pStyle w:val="Normal"/>
              <w:rPr/>
            </w:pPr>
            <w:r>
              <w:rPr/>
              <w:t>Operation and maintenance</w:t>
            </w:r>
          </w:p>
        </w:tc>
      </w:tr>
      <w:tr>
        <w:trPr/>
        <w:tc>
          <w:tcPr>
            <w:tcW w:w="3978" w:type="dxa"/>
            <w:tcBorders/>
          </w:tcPr>
          <w:p>
            <w:pPr>
              <w:pStyle w:val="Normal"/>
              <w:rPr/>
            </w:pPr>
            <w:r>
              <w:rPr/>
              <w:t>O&amp;M Guaranty</w:t>
            </w:r>
          </w:p>
        </w:tc>
        <w:tc>
          <w:tcPr>
            <w:tcW w:w="5382" w:type="dxa"/>
            <w:tcBorders/>
          </w:tcPr>
          <w:p>
            <w:pPr>
              <w:pStyle w:val="Normal"/>
              <w:rPr/>
            </w:pPr>
            <w:r>
              <w:rPr/>
              <w:t>Operation and maintenance guaranty</w:t>
            </w:r>
          </w:p>
        </w:tc>
      </w:tr>
      <w:tr>
        <w:trPr/>
        <w:tc>
          <w:tcPr>
            <w:tcW w:w="3978" w:type="dxa"/>
            <w:tcBorders/>
          </w:tcPr>
          <w:p>
            <w:pPr>
              <w:pStyle w:val="Normal"/>
              <w:rPr/>
            </w:pPr>
            <w:r>
              <w:rPr/>
              <w:t>OEC</w:t>
            </w:r>
          </w:p>
        </w:tc>
        <w:tc>
          <w:tcPr>
            <w:tcW w:w="5382" w:type="dxa"/>
            <w:tcBorders/>
          </w:tcPr>
          <w:p>
            <w:pPr>
              <w:pStyle w:val="Normal"/>
              <w:rPr/>
            </w:pPr>
            <w:r>
              <w:rPr/>
              <w:t>Operational Energy Corporation</w:t>
            </w:r>
          </w:p>
        </w:tc>
      </w:tr>
      <w:tr>
        <w:trPr/>
        <w:tc>
          <w:tcPr>
            <w:tcW w:w="3978" w:type="dxa"/>
            <w:tcBorders/>
          </w:tcPr>
          <w:p>
            <w:pPr>
              <w:pStyle w:val="Normal"/>
              <w:rPr/>
            </w:pPr>
            <w:r>
              <w:rPr/>
              <w:t>OEC Mexico</w:t>
            </w:r>
          </w:p>
        </w:tc>
        <w:tc>
          <w:tcPr>
            <w:tcW w:w="5382" w:type="dxa"/>
            <w:tcBorders/>
          </w:tcPr>
          <w:p>
            <w:pPr>
              <w:pStyle w:val="Normal"/>
              <w:rPr/>
            </w:pPr>
            <w:r>
              <w:rPr/>
              <w:t>OEC México, S. de R.L. de C.V.</w:t>
            </w:r>
          </w:p>
        </w:tc>
      </w:tr>
      <w:tr>
        <w:trPr/>
        <w:tc>
          <w:tcPr>
            <w:tcW w:w="3978" w:type="dxa"/>
            <w:tcBorders/>
          </w:tcPr>
          <w:p>
            <w:pPr>
              <w:pStyle w:val="Normal"/>
              <w:rPr/>
            </w:pPr>
            <w:r>
              <w:rPr/>
              <w:t>Operators, the</w:t>
            </w:r>
          </w:p>
        </w:tc>
        <w:tc>
          <w:tcPr>
            <w:tcW w:w="5382" w:type="dxa"/>
            <w:tcBorders/>
          </w:tcPr>
          <w:p>
            <w:pPr>
              <w:pStyle w:val="Normal"/>
              <w:rPr/>
            </w:pPr>
            <w:r>
              <w:rPr/>
              <w:t>Together Operational Energy Corporation and OEC México, S. de R.L. de C.V.</w:t>
            </w:r>
          </w:p>
        </w:tc>
      </w:tr>
      <w:tr>
        <w:trPr/>
        <w:tc>
          <w:tcPr>
            <w:tcW w:w="3978" w:type="dxa"/>
            <w:tcBorders/>
          </w:tcPr>
          <w:p>
            <w:pPr>
              <w:pStyle w:val="Normal"/>
              <w:rPr/>
            </w:pPr>
            <w:r>
              <w:rPr/>
              <w:t>Owner, the</w:t>
            </w:r>
          </w:p>
        </w:tc>
        <w:tc>
          <w:tcPr>
            <w:tcW w:w="5382" w:type="dxa"/>
            <w:tcBorders/>
          </w:tcPr>
          <w:p>
            <w:pPr>
              <w:pStyle w:val="Normal"/>
              <w:rPr/>
            </w:pPr>
            <w:r>
              <w:rPr/>
              <w:t>Enron Energía Industrial de México, S. de R.L. de C.V.</w:t>
            </w:r>
          </w:p>
        </w:tc>
      </w:tr>
      <w:tr>
        <w:trPr/>
        <w:tc>
          <w:tcPr>
            <w:tcW w:w="3978" w:type="dxa"/>
            <w:tcBorders/>
          </w:tcPr>
          <w:p>
            <w:pPr>
              <w:pStyle w:val="Normal"/>
              <w:rPr/>
            </w:pPr>
            <w:r>
              <w:rPr/>
              <w:t>Parent Guaranties</w:t>
            </w:r>
          </w:p>
        </w:tc>
        <w:tc>
          <w:tcPr>
            <w:tcW w:w="5382" w:type="dxa"/>
            <w:tcBorders/>
          </w:tcPr>
          <w:p>
            <w:pPr>
              <w:pStyle w:val="Normal"/>
              <w:rPr/>
            </w:pPr>
            <w:r>
              <w:rPr/>
              <w:t xml:space="preserve">Guaranties from Vitro, IMSA and Apasco to support payments under their respective power purchase agreements </w:t>
            </w:r>
          </w:p>
        </w:tc>
      </w:tr>
      <w:tr>
        <w:trPr/>
        <w:tc>
          <w:tcPr>
            <w:tcW w:w="3978" w:type="dxa"/>
            <w:tcBorders/>
          </w:tcPr>
          <w:p>
            <w:pPr>
              <w:pStyle w:val="Normal"/>
              <w:rPr/>
            </w:pPr>
            <w:r>
              <w:rPr/>
              <w:t>Pemex</w:t>
            </w:r>
          </w:p>
        </w:tc>
        <w:tc>
          <w:tcPr>
            <w:tcW w:w="5382" w:type="dxa"/>
            <w:tcBorders/>
          </w:tcPr>
          <w:p>
            <w:pPr>
              <w:pStyle w:val="Normal"/>
              <w:rPr/>
            </w:pPr>
            <w:r>
              <w:rPr/>
              <w:t>Petróleos Mexicanos</w:t>
            </w:r>
          </w:p>
        </w:tc>
      </w:tr>
      <w:tr>
        <w:trPr/>
        <w:tc>
          <w:tcPr>
            <w:tcW w:w="3978" w:type="dxa"/>
            <w:tcBorders/>
          </w:tcPr>
          <w:p>
            <w:pPr>
              <w:pStyle w:val="Normal"/>
              <w:rPr/>
            </w:pPr>
            <w:r>
              <w:rPr/>
              <w:t>Pemex-Exploration and Production</w:t>
            </w:r>
          </w:p>
        </w:tc>
        <w:tc>
          <w:tcPr>
            <w:tcW w:w="5382" w:type="dxa"/>
            <w:tcBorders/>
          </w:tcPr>
          <w:p>
            <w:pPr>
              <w:pStyle w:val="Normal"/>
              <w:rPr/>
            </w:pPr>
            <w:r>
              <w:rPr/>
              <w:t>Pemex-Exploración y Producción</w:t>
            </w:r>
          </w:p>
        </w:tc>
      </w:tr>
      <w:tr>
        <w:trPr/>
        <w:tc>
          <w:tcPr>
            <w:tcW w:w="3978" w:type="dxa"/>
            <w:tcBorders/>
          </w:tcPr>
          <w:p>
            <w:pPr>
              <w:pStyle w:val="Normal"/>
              <w:rPr/>
            </w:pPr>
            <w:r>
              <w:rPr/>
              <w:t>Pemex-Gas and Basic Petrochemicals</w:t>
            </w:r>
          </w:p>
        </w:tc>
        <w:tc>
          <w:tcPr>
            <w:tcW w:w="5382" w:type="dxa"/>
            <w:tcBorders/>
          </w:tcPr>
          <w:p>
            <w:pPr>
              <w:pStyle w:val="Normal"/>
              <w:rPr/>
            </w:pPr>
            <w:r>
              <w:rPr/>
              <w:t>Pemex-Gas y Petroquímica Básica</w:t>
            </w:r>
          </w:p>
        </w:tc>
      </w:tr>
      <w:tr>
        <w:trPr/>
        <w:tc>
          <w:tcPr>
            <w:tcW w:w="3978" w:type="dxa"/>
            <w:tcBorders/>
          </w:tcPr>
          <w:p>
            <w:pPr>
              <w:pStyle w:val="Normal"/>
              <w:rPr/>
            </w:pPr>
            <w:r>
              <w:rPr/>
              <w:t>Pemex- Petrochemicals</w:t>
            </w:r>
          </w:p>
        </w:tc>
        <w:tc>
          <w:tcPr>
            <w:tcW w:w="5382" w:type="dxa"/>
            <w:tcBorders/>
          </w:tcPr>
          <w:p>
            <w:pPr>
              <w:pStyle w:val="Normal"/>
              <w:rPr/>
            </w:pPr>
            <w:r>
              <w:rPr/>
              <w:t>Pemex- Petroquímica</w:t>
            </w:r>
          </w:p>
        </w:tc>
      </w:tr>
      <w:tr>
        <w:trPr/>
        <w:tc>
          <w:tcPr>
            <w:tcW w:w="3978" w:type="dxa"/>
            <w:tcBorders/>
          </w:tcPr>
          <w:p>
            <w:pPr>
              <w:pStyle w:val="Normal"/>
              <w:rPr/>
            </w:pPr>
            <w:r>
              <w:rPr/>
              <w:t>Pemex-Refining</w:t>
            </w:r>
          </w:p>
        </w:tc>
        <w:tc>
          <w:tcPr>
            <w:tcW w:w="5382" w:type="dxa"/>
            <w:tcBorders/>
          </w:tcPr>
          <w:p>
            <w:pPr>
              <w:pStyle w:val="Normal"/>
              <w:rPr/>
            </w:pPr>
            <w:r>
              <w:rPr/>
              <w:t>Pemex-Refinación</w:t>
            </w:r>
          </w:p>
        </w:tc>
      </w:tr>
      <w:tr>
        <w:trPr/>
        <w:tc>
          <w:tcPr>
            <w:tcW w:w="3978" w:type="dxa"/>
            <w:tcBorders/>
          </w:tcPr>
          <w:p>
            <w:pPr>
              <w:pStyle w:val="Normal"/>
              <w:rPr/>
            </w:pPr>
            <w:r>
              <w:rPr/>
              <w:t>PGPB</w:t>
            </w:r>
          </w:p>
        </w:tc>
        <w:tc>
          <w:tcPr>
            <w:tcW w:w="5382" w:type="dxa"/>
            <w:tcBorders/>
          </w:tcPr>
          <w:p>
            <w:pPr>
              <w:pStyle w:val="Normal"/>
              <w:rPr/>
            </w:pPr>
            <w:r>
              <w:rPr/>
              <w:t>Pemex-Gas y Petroquímica Básica</w:t>
            </w:r>
          </w:p>
        </w:tc>
      </w:tr>
      <w:tr>
        <w:trPr/>
        <w:tc>
          <w:tcPr>
            <w:tcW w:w="3978" w:type="dxa"/>
            <w:tcBorders/>
          </w:tcPr>
          <w:p>
            <w:pPr>
              <w:pStyle w:val="Normal"/>
              <w:rPr/>
            </w:pPr>
            <w:r>
              <w:rPr/>
              <w:t>PMI Group</w:t>
            </w:r>
          </w:p>
        </w:tc>
        <w:tc>
          <w:tcPr>
            <w:tcW w:w="5382" w:type="dxa"/>
            <w:tcBorders/>
          </w:tcPr>
          <w:p>
            <w:pPr>
              <w:pStyle w:val="Normal"/>
              <w:rPr/>
            </w:pPr>
            <w:r>
              <w:rPr/>
              <w:t>PMI and PMI Trading Ltd.</w:t>
            </w:r>
          </w:p>
        </w:tc>
      </w:tr>
      <w:tr>
        <w:trPr/>
        <w:tc>
          <w:tcPr>
            <w:tcW w:w="3978" w:type="dxa"/>
            <w:tcBorders/>
          </w:tcPr>
          <w:p>
            <w:pPr>
              <w:pStyle w:val="Normal"/>
              <w:rPr/>
            </w:pPr>
            <w:r>
              <w:rPr/>
              <w:t>PPAs</w:t>
            </w:r>
          </w:p>
        </w:tc>
        <w:tc>
          <w:tcPr>
            <w:tcW w:w="5382" w:type="dxa"/>
            <w:tcBorders/>
          </w:tcPr>
          <w:p>
            <w:pPr>
              <w:pStyle w:val="Normal"/>
              <w:rPr/>
            </w:pPr>
            <w:r>
              <w:rPr/>
              <w:t>Power purchase agreements</w:t>
            </w:r>
          </w:p>
        </w:tc>
      </w:tr>
      <w:tr>
        <w:trPr/>
        <w:tc>
          <w:tcPr>
            <w:tcW w:w="3978" w:type="dxa"/>
            <w:tcBorders/>
          </w:tcPr>
          <w:p>
            <w:pPr>
              <w:pStyle w:val="Normal"/>
              <w:rPr/>
            </w:pPr>
            <w:r>
              <w:rPr/>
              <w:t>Producer</w:t>
            </w:r>
          </w:p>
        </w:tc>
        <w:tc>
          <w:tcPr>
            <w:tcW w:w="5382" w:type="dxa"/>
            <w:tcBorders/>
          </w:tcPr>
          <w:p>
            <w:pPr>
              <w:pStyle w:val="Normal"/>
              <w:rPr/>
            </w:pPr>
            <w:r>
              <w:rPr/>
              <w:t>Enron Energía Industrial de México, S. de R.L. de C.V.</w:t>
            </w:r>
          </w:p>
        </w:tc>
      </w:tr>
      <w:tr>
        <w:trPr/>
        <w:tc>
          <w:tcPr>
            <w:tcW w:w="3978" w:type="dxa"/>
            <w:tcBorders/>
          </w:tcPr>
          <w:p>
            <w:pPr>
              <w:pStyle w:val="Normal"/>
              <w:rPr/>
            </w:pPr>
            <w:r>
              <w:rPr/>
              <w:t>Project Company, the</w:t>
            </w:r>
          </w:p>
        </w:tc>
        <w:tc>
          <w:tcPr>
            <w:tcW w:w="5382" w:type="dxa"/>
            <w:tcBorders/>
          </w:tcPr>
          <w:p>
            <w:pPr>
              <w:pStyle w:val="Normal"/>
              <w:rPr/>
            </w:pPr>
            <w:r>
              <w:rPr/>
              <w:t>Enron Energía Industrial de México, S. de R.L. de C.V.</w:t>
            </w:r>
          </w:p>
        </w:tc>
      </w:tr>
      <w:tr>
        <w:trPr/>
        <w:tc>
          <w:tcPr>
            <w:tcW w:w="3978" w:type="dxa"/>
            <w:tcBorders/>
          </w:tcPr>
          <w:p>
            <w:pPr>
              <w:pStyle w:val="Normal"/>
              <w:rPr/>
            </w:pPr>
            <w:r>
              <w:rPr/>
              <w:t>Project, the</w:t>
            </w:r>
          </w:p>
        </w:tc>
        <w:tc>
          <w:tcPr>
            <w:tcW w:w="5382" w:type="dxa"/>
            <w:tcBorders/>
          </w:tcPr>
          <w:p>
            <w:pPr>
              <w:pStyle w:val="Normal"/>
              <w:rPr/>
            </w:pPr>
            <w:r>
              <w:rPr/>
              <w:t>245 MW natural gas-fired cogeneration facility located near Monterrey, Nuevo León, México</w:t>
            </w:r>
          </w:p>
        </w:tc>
      </w:tr>
      <w:tr>
        <w:trPr/>
        <w:tc>
          <w:tcPr>
            <w:tcW w:w="3978" w:type="dxa"/>
            <w:tcBorders/>
          </w:tcPr>
          <w:p>
            <w:pPr>
              <w:pStyle w:val="Normal"/>
              <w:rPr/>
            </w:pPr>
            <w:r>
              <w:rPr/>
              <w:t>Ps</w:t>
            </w:r>
          </w:p>
        </w:tc>
        <w:tc>
          <w:tcPr>
            <w:tcW w:w="5382" w:type="dxa"/>
            <w:tcBorders/>
          </w:tcPr>
          <w:p>
            <w:pPr>
              <w:pStyle w:val="Normal"/>
              <w:rPr/>
            </w:pPr>
            <w:r>
              <w:rPr/>
              <w:t>Mexican pesos</w:t>
            </w:r>
          </w:p>
        </w:tc>
      </w:tr>
      <w:tr>
        <w:trPr/>
        <w:tc>
          <w:tcPr>
            <w:tcW w:w="3978" w:type="dxa"/>
            <w:tcBorders/>
          </w:tcPr>
          <w:p>
            <w:pPr>
              <w:pStyle w:val="Normal"/>
              <w:rPr/>
            </w:pPr>
            <w:r>
              <w:rPr/>
              <w:t>REN</w:t>
            </w:r>
          </w:p>
        </w:tc>
        <w:tc>
          <w:tcPr>
            <w:tcW w:w="5382" w:type="dxa"/>
            <w:tcBorders/>
          </w:tcPr>
          <w:p>
            <w:pPr>
              <w:pStyle w:val="Normal"/>
              <w:rPr/>
            </w:pPr>
            <w:r>
              <w:rPr/>
              <w:t>Proposed Mexican transmission company</w:t>
            </w:r>
          </w:p>
        </w:tc>
      </w:tr>
      <w:tr>
        <w:trPr/>
        <w:tc>
          <w:tcPr>
            <w:tcW w:w="3978" w:type="dxa"/>
            <w:tcBorders/>
          </w:tcPr>
          <w:p>
            <w:pPr>
              <w:pStyle w:val="Normal"/>
              <w:rPr/>
            </w:pPr>
            <w:r>
              <w:rPr/>
              <w:t>Secretaría de Energía</w:t>
            </w:r>
          </w:p>
        </w:tc>
        <w:tc>
          <w:tcPr>
            <w:tcW w:w="5382" w:type="dxa"/>
            <w:tcBorders/>
          </w:tcPr>
          <w:p>
            <w:pPr>
              <w:pStyle w:val="Normal"/>
              <w:rPr/>
            </w:pPr>
            <w:r>
              <w:rPr/>
              <w:t>Secretary of Energy</w:t>
            </w:r>
          </w:p>
        </w:tc>
      </w:tr>
      <w:tr>
        <w:trPr/>
        <w:tc>
          <w:tcPr>
            <w:tcW w:w="3978" w:type="dxa"/>
            <w:tcBorders/>
          </w:tcPr>
          <w:p>
            <w:pPr>
              <w:pStyle w:val="Normal"/>
              <w:rPr/>
            </w:pPr>
            <w:r>
              <w:rPr/>
              <w:t>SG</w:t>
            </w:r>
          </w:p>
        </w:tc>
        <w:tc>
          <w:tcPr>
            <w:tcW w:w="5382" w:type="dxa"/>
            <w:tcBorders/>
          </w:tcPr>
          <w:p>
            <w:pPr>
              <w:pStyle w:val="Normal"/>
              <w:rPr/>
            </w:pPr>
            <w:r>
              <w:rPr/>
              <w:t>Société Générale</w:t>
            </w:r>
          </w:p>
        </w:tc>
      </w:tr>
      <w:tr>
        <w:trPr/>
        <w:tc>
          <w:tcPr>
            <w:tcW w:w="3978" w:type="dxa"/>
            <w:tcBorders/>
          </w:tcPr>
          <w:p>
            <w:pPr>
              <w:pStyle w:val="Normal"/>
              <w:rPr/>
            </w:pPr>
            <w:r>
              <w:rPr/>
              <w:t>SLI</w:t>
            </w:r>
          </w:p>
        </w:tc>
        <w:tc>
          <w:tcPr>
            <w:tcW w:w="5382" w:type="dxa"/>
            <w:tcBorders/>
          </w:tcPr>
          <w:p>
            <w:pPr>
              <w:pStyle w:val="Normal"/>
              <w:rPr/>
            </w:pPr>
            <w:r>
              <w:rPr/>
              <w:t>Starting, lighting and ignition</w:t>
            </w:r>
          </w:p>
        </w:tc>
      </w:tr>
      <w:tr>
        <w:trPr/>
        <w:tc>
          <w:tcPr>
            <w:tcW w:w="3978" w:type="dxa"/>
            <w:tcBorders/>
          </w:tcPr>
          <w:p>
            <w:pPr>
              <w:pStyle w:val="Normal"/>
              <w:rPr/>
            </w:pPr>
            <w:r>
              <w:rPr/>
              <w:t>S&amp;P</w:t>
            </w:r>
          </w:p>
        </w:tc>
        <w:tc>
          <w:tcPr>
            <w:tcW w:w="5382" w:type="dxa"/>
            <w:tcBorders/>
          </w:tcPr>
          <w:p>
            <w:pPr>
              <w:pStyle w:val="Normal"/>
              <w:rPr/>
            </w:pPr>
            <w:r>
              <w:rPr/>
              <w:t>Standard &amp; Poor’s</w:t>
            </w:r>
          </w:p>
        </w:tc>
      </w:tr>
      <w:tr>
        <w:trPr/>
        <w:tc>
          <w:tcPr>
            <w:tcW w:w="3978" w:type="dxa"/>
            <w:tcBorders/>
          </w:tcPr>
          <w:p>
            <w:pPr>
              <w:pStyle w:val="Normal"/>
              <w:rPr/>
            </w:pPr>
            <w:r>
              <w:rPr/>
              <w:t>SPA</w:t>
            </w:r>
          </w:p>
        </w:tc>
        <w:tc>
          <w:tcPr>
            <w:tcW w:w="5382" w:type="dxa"/>
            <w:tcBorders/>
          </w:tcPr>
          <w:p>
            <w:pPr>
              <w:pStyle w:val="Normal"/>
              <w:rPr/>
            </w:pPr>
            <w:r>
              <w:rPr/>
              <w:t>Steam purchase agreement</w:t>
            </w:r>
          </w:p>
        </w:tc>
      </w:tr>
      <w:tr>
        <w:trPr/>
        <w:tc>
          <w:tcPr>
            <w:tcW w:w="3978" w:type="dxa"/>
            <w:tcBorders/>
          </w:tcPr>
          <w:p>
            <w:pPr>
              <w:pStyle w:val="Normal"/>
              <w:rPr/>
            </w:pPr>
            <w:r>
              <w:rPr/>
              <w:t>Sponsor, the</w:t>
            </w:r>
          </w:p>
        </w:tc>
        <w:tc>
          <w:tcPr>
            <w:tcW w:w="5382" w:type="dxa"/>
            <w:tcBorders/>
          </w:tcPr>
          <w:p>
            <w:pPr>
              <w:pStyle w:val="Normal"/>
              <w:rPr/>
            </w:pPr>
            <w:r>
              <w:rPr/>
              <w:t>Enron North America Corp.</w:t>
            </w:r>
          </w:p>
        </w:tc>
      </w:tr>
      <w:tr>
        <w:trPr/>
        <w:tc>
          <w:tcPr>
            <w:tcW w:w="3978" w:type="dxa"/>
            <w:tcBorders/>
          </w:tcPr>
          <w:p>
            <w:pPr>
              <w:pStyle w:val="Normal"/>
              <w:rPr/>
            </w:pPr>
            <w:r>
              <w:rPr/>
              <w:t>Supervisor</w:t>
            </w:r>
          </w:p>
        </w:tc>
        <w:tc>
          <w:tcPr>
            <w:tcW w:w="5382" w:type="dxa"/>
            <w:tcBorders/>
          </w:tcPr>
          <w:p>
            <w:pPr>
              <w:pStyle w:val="Normal"/>
              <w:rPr/>
            </w:pPr>
            <w:r>
              <w:rPr/>
              <w:t>OEC México, S. de R.L. de C.V.</w:t>
            </w:r>
          </w:p>
        </w:tc>
      </w:tr>
      <w:tr>
        <w:trPr/>
        <w:tc>
          <w:tcPr>
            <w:tcW w:w="3978" w:type="dxa"/>
            <w:tcBorders/>
          </w:tcPr>
          <w:p>
            <w:pPr>
              <w:pStyle w:val="Normal"/>
              <w:rPr/>
            </w:pPr>
            <w:r>
              <w:rPr/>
              <w:t>TA Guaranty</w:t>
            </w:r>
          </w:p>
        </w:tc>
        <w:tc>
          <w:tcPr>
            <w:tcW w:w="5382" w:type="dxa"/>
            <w:tcBorders/>
          </w:tcPr>
          <w:p>
            <w:pPr>
              <w:pStyle w:val="Normal"/>
              <w:rPr/>
            </w:pPr>
            <w:r>
              <w:rPr/>
              <w:t>Technical Agreement Guaranty</w:t>
            </w:r>
          </w:p>
        </w:tc>
      </w:tr>
      <w:tr>
        <w:trPr/>
        <w:tc>
          <w:tcPr>
            <w:tcW w:w="3978" w:type="dxa"/>
            <w:tcBorders/>
          </w:tcPr>
          <w:p>
            <w:pPr>
              <w:pStyle w:val="Normal"/>
              <w:rPr/>
            </w:pPr>
            <w:r>
              <w:rPr/>
              <w:t>Transaction Structure</w:t>
            </w:r>
          </w:p>
        </w:tc>
        <w:tc>
          <w:tcPr>
            <w:tcW w:w="5382" w:type="dxa"/>
            <w:tcBorders/>
          </w:tcPr>
          <w:p>
            <w:pPr>
              <w:pStyle w:val="Normal"/>
              <w:rPr/>
            </w:pPr>
            <w:r>
              <w:rPr/>
              <w:t>Sale of an approximate 50% ownership interest in EEIM</w:t>
            </w:r>
          </w:p>
        </w:tc>
      </w:tr>
      <w:tr>
        <w:trPr/>
        <w:tc>
          <w:tcPr>
            <w:tcW w:w="3978" w:type="dxa"/>
            <w:tcBorders/>
          </w:tcPr>
          <w:p>
            <w:pPr>
              <w:pStyle w:val="Normal"/>
              <w:rPr/>
            </w:pPr>
            <w:r>
              <w:rPr/>
              <w:t>US$/kW-month</w:t>
            </w:r>
          </w:p>
        </w:tc>
        <w:tc>
          <w:tcPr>
            <w:tcW w:w="5382" w:type="dxa"/>
            <w:tcBorders/>
          </w:tcPr>
          <w:p>
            <w:pPr>
              <w:pStyle w:val="Normal"/>
              <w:rPr/>
            </w:pPr>
            <w:r>
              <w:rPr/>
              <w:t>U.S. dollars per kilowatt-month</w:t>
            </w:r>
          </w:p>
        </w:tc>
      </w:tr>
      <w:tr>
        <w:trPr/>
        <w:tc>
          <w:tcPr>
            <w:tcW w:w="3978" w:type="dxa"/>
            <w:tcBorders/>
          </w:tcPr>
          <w:p>
            <w:pPr>
              <w:pStyle w:val="Normal"/>
              <w:rPr/>
            </w:pPr>
            <w:r>
              <w:rPr/>
              <w:t>VAT</w:t>
            </w:r>
          </w:p>
        </w:tc>
        <w:tc>
          <w:tcPr>
            <w:tcW w:w="5382" w:type="dxa"/>
            <w:tcBorders/>
          </w:tcPr>
          <w:p>
            <w:pPr>
              <w:pStyle w:val="Normal"/>
              <w:rPr/>
            </w:pPr>
            <w:r>
              <w:rPr/>
              <w:t>Value-added tax</w:t>
            </w:r>
          </w:p>
        </w:tc>
      </w:tr>
      <w:tr>
        <w:trPr/>
        <w:tc>
          <w:tcPr>
            <w:tcW w:w="3978" w:type="dxa"/>
            <w:tcBorders/>
          </w:tcPr>
          <w:p>
            <w:pPr>
              <w:pStyle w:val="Normal"/>
              <w:rPr/>
            </w:pPr>
            <w:r>
              <w:rPr/>
              <w:t>Vitro</w:t>
            </w:r>
          </w:p>
        </w:tc>
        <w:tc>
          <w:tcPr>
            <w:tcW w:w="5382" w:type="dxa"/>
            <w:tcBorders/>
          </w:tcPr>
          <w:p>
            <w:pPr>
              <w:pStyle w:val="Normal"/>
              <w:rPr/>
            </w:pPr>
            <w:r>
              <w:rPr/>
              <w:t>Vitro S.A. de C.V.</w:t>
            </w:r>
          </w:p>
        </w:tc>
      </w:tr>
      <w:tr>
        <w:trPr/>
        <w:tc>
          <w:tcPr>
            <w:tcW w:w="3978" w:type="dxa"/>
            <w:tcBorders/>
          </w:tcPr>
          <w:p>
            <w:pPr>
              <w:pStyle w:val="Normal"/>
              <w:rPr/>
            </w:pPr>
            <w:r>
              <w:rPr/>
              <w:t>Vitro Corp.</w:t>
            </w:r>
          </w:p>
        </w:tc>
        <w:tc>
          <w:tcPr>
            <w:tcW w:w="5382" w:type="dxa"/>
            <w:tcBorders/>
          </w:tcPr>
          <w:p>
            <w:pPr>
              <w:pStyle w:val="Normal"/>
              <w:rPr/>
            </w:pPr>
            <w:r>
              <w:rPr/>
              <w:t>Vitro Corporativo S.A. de C.V.</w:t>
            </w:r>
          </w:p>
        </w:tc>
      </w:tr>
      <w:tr>
        <w:trPr/>
        <w:tc>
          <w:tcPr>
            <w:tcW w:w="3978" w:type="dxa"/>
            <w:tcBorders/>
          </w:tcPr>
          <w:p>
            <w:pPr>
              <w:pStyle w:val="Normal"/>
              <w:rPr/>
            </w:pPr>
            <w:r>
              <w:rPr/>
              <w:t>Vitro JVs</w:t>
            </w:r>
          </w:p>
        </w:tc>
        <w:tc>
          <w:tcPr>
            <w:tcW w:w="5382" w:type="dxa"/>
            <w:tcBorders/>
          </w:tcPr>
          <w:p>
            <w:pPr>
              <w:pStyle w:val="Normal"/>
              <w:rPr/>
            </w:pPr>
            <w:r>
              <w:rPr/>
              <w:t>Four joint venture entities under the Vitro power purchase agreement which will purchase power from the project</w:t>
            </w:r>
          </w:p>
        </w:tc>
      </w:tr>
      <w:tr>
        <w:trPr/>
        <w:tc>
          <w:tcPr>
            <w:tcW w:w="3978" w:type="dxa"/>
            <w:tcBorders/>
          </w:tcPr>
          <w:p>
            <w:pPr>
              <w:pStyle w:val="Normal"/>
              <w:rPr/>
            </w:pPr>
            <w:r>
              <w:rPr/>
              <w:t>Vitro Subsidiaries</w:t>
            </w:r>
          </w:p>
        </w:tc>
        <w:tc>
          <w:tcPr>
            <w:tcW w:w="5382" w:type="dxa"/>
            <w:tcBorders/>
          </w:tcPr>
          <w:p>
            <w:pPr>
              <w:pStyle w:val="Normal"/>
              <w:rPr/>
            </w:pPr>
            <w:r>
              <w:rPr/>
              <w:t>13 subsidiaries under the Vitro power purchase agreement which will purchase power from the project</w:t>
            </w:r>
          </w:p>
        </w:tc>
      </w:tr>
    </w:tbl>
    <w:p>
      <w:pPr>
        <w:sectPr>
          <w:headerReference w:type="default" r:id="rId8"/>
          <w:headerReference w:type="first" r:id="rId9"/>
          <w:footerReference w:type="default" r:id="rId10"/>
          <w:footerReference w:type="first" r:id="rId11"/>
          <w:type w:val="nextPage"/>
          <w:pgSz w:w="12240" w:h="15840"/>
          <w:pgMar w:left="1584" w:right="1296" w:gutter="0" w:header="288" w:top="1440" w:footer="504" w:bottom="1440"/>
          <w:pgNumType w:fmt="decimal"/>
          <w:formProt w:val="false"/>
          <w:titlePg/>
          <w:textDirection w:val="lrTb"/>
          <w:docGrid w:type="default" w:linePitch="360" w:charSpace="0"/>
        </w:sectPr>
      </w:pPr>
    </w:p>
    <w:p>
      <w:pPr>
        <w:pStyle w:val="TabPage"/>
        <w:rPr/>
      </w:pPr>
      <w:r>
        <w:rPr/>
        <w:t>EXECUTIVE SUMMARY</w:t>
      </w:r>
      <w:r>
        <w:br w:type="page"/>
      </w:r>
    </w:p>
    <w:p>
      <w:pPr>
        <w:pStyle w:val="Textbold"/>
        <w:rPr/>
      </w:pPr>
      <w:r>
        <w:rPr/>
        <w:t>Proposed Transaction</w:t>
      </w:r>
    </w:p>
    <w:p>
      <w:pPr>
        <w:pStyle w:val="WW-Text"/>
        <w:rPr/>
      </w:pPr>
      <w:r>
        <w:rPr/>
        <w:t>Enron North America Corp. (“Enron” or the “Sponsor”) has retained Société Générale (“SG”) to sell an ownership interest in Enron Energía Industrial de Mexico B.V. (“EEIM”) to a strategic partner. EEIM owns in excess of 98% of Enron Energía Industrial de México, S. de R.L. de C.V. (“Enron Mexico” or the “Project Company”) a special-purpose project company incorporated under the laws of Mexico which has been established to build, own and operate a 245 MW natural gas-fired, cogeneration facility to be built on a site located near Monterrey, Mexico (the “Project”).</w:t>
      </w:r>
    </w:p>
    <w:p>
      <w:pPr>
        <w:pStyle w:val="WW-Text"/>
        <w:rPr/>
      </w:pPr>
      <w:r>
        <w:rPr/>
        <w:t xml:space="preserve">Enron is currently required by the IDB loan agreement to maintain a minimum 50% ownership position in EEIM until the Project achieves commercial operations. Enron’s preference is to structure an initial sale of an approximate 50% interest accompanied by a put option and/or a call option facilitating the sale of an additional 30% interest when the Project commences commercial operations. </w:t>
      </w:r>
    </w:p>
    <w:p>
      <w:pPr>
        <w:pStyle w:val="GraphicHead"/>
        <w:spacing w:before="360" w:after="120"/>
        <w:rPr/>
      </w:pPr>
      <w:r>
        <w:rPr/>
        <w:t>Enron Monterrey and the Mexican Grid</w:t>
      </w:r>
    </w:p>
    <w:p>
      <w:pPr>
        <w:pStyle w:val="Hidden"/>
        <w:rPr>
          <w:lang w:val="en-AU"/>
        </w:rPr>
      </w:pPr>
      <w:r>
        <w:rPr>
          <w:lang w:val="en-AU"/>
        </w:rPr>
        <w:t>P:\PC\Docs\E\0110260a.cdr</w:t>
      </w:r>
    </w:p>
    <w:p>
      <w:pPr>
        <w:pStyle w:val="WW-Text"/>
        <w:keepNext w:val="true"/>
        <w:keepLines/>
        <w:jc w:val="center"/>
        <w:rPr>
          <w:b/>
        </w:rPr>
      </w:pPr>
      <w:bookmarkStart w:id="0" w:name="_1035206070"/>
      <w:bookmarkEnd w:id="0"/>
      <w:r>
        <w:rPr/>
        <w:object w:dxaOrig="7366" w:dyaOrig="8446">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54.3pt;height:405.8pt" filled="f" o:ole="">
            <v:imagedata r:id="rId13" o:title=""/>
          </v:shape>
          <o:OLEObject Type="Embed" ProgID="" ShapeID="ole_rId12" DrawAspect="Content" ObjectID="_1401830583" r:id="rId12"/>
        </w:object>
      </w:r>
      <w:r>
        <w:br w:type="page"/>
      </w:r>
    </w:p>
    <w:p>
      <w:pPr>
        <w:pStyle w:val="WW-Text"/>
        <w:keepNext w:val="true"/>
        <w:keepLines/>
        <w:jc w:val="center"/>
        <w:rPr>
          <w:b/>
          <w:sz w:val="21"/>
        </w:rPr>
      </w:pPr>
      <w:r>
        <w:rPr>
          <w:b/>
          <w:sz w:val="21"/>
        </w:rPr>
        <w:t>Contract Overview</w:t>
      </w:r>
    </w:p>
    <w:p>
      <w:pPr>
        <w:pStyle w:val="WW-Text"/>
        <w:keepNext w:val="true"/>
        <w:rPr/>
      </w:pPr>
      <w:r>
        <w:rPr/>
        <w:t xml:space="preserve">The Project Company has executed three power purchase agreements (the “PPAs”) with: (1) Cementos Apasco, S.A. de C.V. (“Cementos Apasco”), a subsidiary of Apasco, S.A. de C.V. (“Apasco”); (2) Corporativo Grupo IMSA, S.A. de C.V. (“IMSA Corp.”), a subsidiary of Grupo IMSA, S.A. de C.V. (“IMSA”); and (3) various subsidiaries (“Vitro Subsidiaries”) and joint ventures (“Vitro JVs”) of Vitro Corporativo, S.A. de C.V. (“Vitro Corp.”).  Cementos Apasco, the IMSA Subsidiaries, the Vitro Subsidiaries and the Vitro JVs are hereinafter collectively referred to as the capacity users (“Capacity Users”). </w:t>
      </w:r>
    </w:p>
    <w:p>
      <w:pPr>
        <w:pStyle w:val="WW-Text"/>
        <w:rPr/>
      </w:pPr>
      <w:r>
        <w:rPr/>
        <w:t>In addition, Enron Mexico executed a steam purchase agreement (the “SPA”) with Industria del Alcali, S.A. de C.V. (“Alcali”), an affiliate of Vitro, to supply steam generated by the Project to Alcali.  The Project Company also has a long-term natural gas fuel supply and transportation agreement (“FSA”) with Pemex–Gas y Petroquímica Básica (“PGPB”), a division of Petróleos Mexicanos (“Pemex”), the Mexican state-owned oil company. Finally, Enron Mexico has signed two 15-year back-up power agreements, a 15-year wheeling agreement, and a 15-year interconnection agreement with Comisión Federal de Electricidad (“CFE”), the Mexican state-owned power company.</w:t>
      </w:r>
    </w:p>
    <w:p>
      <w:pPr>
        <w:pStyle w:val="GraphicHead"/>
        <w:rPr/>
      </w:pPr>
      <w:r>
        <w:rPr/>
        <w:t>Summary of Contractual Structure</w:t>
      </w:r>
    </w:p>
    <w:p>
      <w:pPr>
        <w:pStyle w:val="Hidden"/>
        <w:rPr>
          <w:lang w:val="en-AU"/>
        </w:rPr>
      </w:pPr>
      <w:r>
        <w:rPr>
          <w:lang w:val="en-AU"/>
        </w:rPr>
        <w:t>\\cfinny03\wp\pc\docs\e\0110260d.ppt, Slide "1"</w:t>
      </w:r>
    </w:p>
    <w:p>
      <w:pPr>
        <w:pStyle w:val="Graphic"/>
        <w:rPr>
          <w:lang w:val="en-AU"/>
        </w:rPr>
      </w:pPr>
      <w:r>
        <w:rPr>
          <w:lang w:val="en-AU"/>
        </w:rPr>
        <w:drawing>
          <wp:inline distT="0" distB="0" distL="0" distR="0">
            <wp:extent cx="5949950" cy="434975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4"/>
                    <a:srcRect l="-6" t="-8" r="-6" b="-8"/>
                    <a:stretch>
                      <a:fillRect/>
                    </a:stretch>
                  </pic:blipFill>
                  <pic:spPr bwMode="auto">
                    <a:xfrm>
                      <a:off x="0" y="0"/>
                      <a:ext cx="5949950" cy="4349750"/>
                    </a:xfrm>
                    <a:prstGeom prst="rect">
                      <a:avLst/>
                    </a:prstGeom>
                    <a:noFill/>
                  </pic:spPr>
                </pic:pic>
              </a:graphicData>
            </a:graphic>
          </wp:inline>
        </w:drawing>
      </w:r>
    </w:p>
    <w:p>
      <w:pPr>
        <w:pStyle w:val="Spacerhalf"/>
        <w:rPr>
          <w:vertAlign w:val="superscript"/>
          <w:lang w:val="en-AU"/>
        </w:rPr>
      </w:pPr>
      <w:r>
        <w:rPr>
          <w:vertAlign w:val="superscript"/>
          <w:lang w:val="en-AU"/>
        </w:rPr>
      </w:r>
    </w:p>
    <w:p>
      <w:pPr>
        <w:pStyle w:val="TableFootnote"/>
        <w:rPr/>
      </w:pPr>
      <w:r>
        <w:rPr>
          <w:vertAlign w:val="superscript"/>
          <w:lang w:val="en-AU"/>
        </w:rPr>
        <w:t>(1)</w:t>
      </w:r>
      <w:r>
        <w:rPr>
          <w:lang w:val="en-AU"/>
        </w:rPr>
        <w:t xml:space="preserve">   Indirect, wholly-owned subsidiaries of Enron.</w:t>
      </w:r>
    </w:p>
    <w:p>
      <w:pPr>
        <w:pStyle w:val="Textbold"/>
        <w:rPr/>
      </w:pPr>
      <w:r>
        <w:rPr/>
        <w:t>Summary of Key Transaction Merits</w:t>
      </w:r>
    </w:p>
    <w:p>
      <w:pPr>
        <w:pStyle w:val="WW-Text"/>
        <w:keepNext w:val="true"/>
        <w:keepLines/>
        <w:rPr/>
      </w:pPr>
      <w:r>
        <w:rPr/>
        <w:t xml:space="preserve">The Project represents a unique opportunity for a prospective investor to participate in the high growth Mexican electricity industry. Among the factors which should be considered in the evaluation of this business are the following: </w:t>
      </w:r>
    </w:p>
    <w:p>
      <w:pPr>
        <w:pStyle w:val="Textbulletsmall"/>
        <w:numPr>
          <w:ilvl w:val="0"/>
          <w:numId w:val="11"/>
        </w:numPr>
        <w:ind w:hanging="0" w:start="0"/>
        <w:rPr/>
      </w:pPr>
      <w:r>
        <w:rPr>
          <w:b/>
        </w:rPr>
        <w:t>Market Potential</w:t>
      </w:r>
      <w:r>
        <w:rPr/>
        <w:t xml:space="preserve"> – The Project represents an opportunity to establish a foothold or deepen a presence in a rapidly growing and liberalizing market. </w:t>
      </w:r>
    </w:p>
    <w:p>
      <w:pPr>
        <w:pStyle w:val="Textbulletsmall"/>
        <w:numPr>
          <w:ilvl w:val="0"/>
          <w:numId w:val="11"/>
        </w:numPr>
        <w:ind w:hanging="0" w:start="0"/>
        <w:rPr/>
      </w:pPr>
      <w:r>
        <w:rPr>
          <w:b/>
        </w:rPr>
        <w:t>Key Location</w:t>
      </w:r>
      <w:r>
        <w:rPr/>
        <w:t xml:space="preserve"> – The Project is located near Monterrey, which represents one of the most attractive regions of Mexico in terms of its demand characteristics, available infrastructure and potential for future integration with the U.S. gas and electricity markets</w:t>
      </w:r>
    </w:p>
    <w:p>
      <w:pPr>
        <w:pStyle w:val="Textbulletsmall"/>
        <w:numPr>
          <w:ilvl w:val="0"/>
          <w:numId w:val="11"/>
        </w:numPr>
        <w:ind w:hanging="0" w:start="0"/>
        <w:rPr/>
      </w:pPr>
      <w:r>
        <w:rPr>
          <w:b/>
        </w:rPr>
        <w:t>Strong Project Structure</w:t>
      </w:r>
      <w:r>
        <w:rPr/>
        <w:t xml:space="preserve"> – The Project enjoys a sound structure with a well-designed set of financeable contracts.</w:t>
      </w:r>
    </w:p>
    <w:p>
      <w:pPr>
        <w:pStyle w:val="Textbulletsmall"/>
        <w:numPr>
          <w:ilvl w:val="0"/>
          <w:numId w:val="11"/>
        </w:numPr>
        <w:ind w:hanging="0" w:start="0"/>
        <w:rPr/>
      </w:pPr>
      <w:r>
        <w:rPr>
          <w:b/>
        </w:rPr>
        <w:t xml:space="preserve">Advanced Stage of Development </w:t>
      </w:r>
      <w:r>
        <w:rPr/>
        <w:t>– The Project is in the final stages of financing with the IDB.</w:t>
      </w:r>
    </w:p>
    <w:p>
      <w:pPr>
        <w:pStyle w:val="Textbulletsmall"/>
        <w:numPr>
          <w:ilvl w:val="0"/>
          <w:numId w:val="11"/>
        </w:numPr>
        <w:ind w:hanging="0" w:start="0"/>
        <w:rPr/>
      </w:pPr>
      <w:r>
        <w:rPr>
          <w:b/>
        </w:rPr>
        <w:t>Diversified Base of Off-takers</w:t>
      </w:r>
      <w:r>
        <w:rPr/>
        <w:t xml:space="preserve"> – Uniquely for a project of this size in the Mexican market, affiliates of Mexico’s leading corporate groups are the off-takers rather than the Mexican state-owned electricity company.  The Project represents a visible effort to develop a relationship with these off-takers.</w:t>
      </w:r>
    </w:p>
    <w:p>
      <w:pPr>
        <w:pStyle w:val="Textbulletsmall"/>
        <w:numPr>
          <w:ilvl w:val="0"/>
          <w:numId w:val="11"/>
        </w:numPr>
        <w:ind w:hanging="0" w:start="0"/>
        <w:rPr/>
      </w:pPr>
      <w:r>
        <w:rPr>
          <w:b/>
        </w:rPr>
        <w:t>High Importance to Capacity Users</w:t>
      </w:r>
      <w:r>
        <w:rPr/>
        <w:t xml:space="preserve"> – The Project will provide significant savings to each of the off-takers in an area that has already experienced power shortages.</w:t>
      </w:r>
    </w:p>
    <w:p>
      <w:pPr>
        <w:pStyle w:val="Textbulletsmall"/>
        <w:numPr>
          <w:ilvl w:val="0"/>
          <w:numId w:val="11"/>
        </w:numPr>
        <w:ind w:hanging="0" w:start="0"/>
        <w:rPr/>
      </w:pPr>
      <w:r>
        <w:rPr>
          <w:b/>
        </w:rPr>
        <w:t>Structural Flexibility</w:t>
      </w:r>
      <w:r>
        <w:rPr/>
        <w:t xml:space="preserve"> – Unlike traditional CFE contracts with a 25-year PPA, the Project has a 15-year tenor, allowing for optional redirection of the asset as the market continues to open.  In this context, it is significant that although the Project is not subject to CFE dispatch requirements, if the Project were operating in CFE’s economic dispatch system, it is believed that the Project would be fully dispatched during the term of the PPAs.</w:t>
      </w:r>
    </w:p>
    <w:p>
      <w:pPr>
        <w:pStyle w:val="Textbulletsmall"/>
        <w:numPr>
          <w:ilvl w:val="0"/>
          <w:numId w:val="11"/>
        </w:numPr>
        <w:ind w:hanging="0" w:start="0"/>
        <w:rPr/>
      </w:pPr>
      <w:r>
        <w:rPr>
          <w:b/>
        </w:rPr>
        <w:t>Strong EPC Contractor and Proven Technology</w:t>
      </w:r>
      <w:r>
        <w:rPr/>
        <w:t xml:space="preserve"> – The Project benefits from a fixed-price, turnkey, date-certain EPC contract with Mitsui, one of the leaders in the engineering, construction and procurement of power projects.</w:t>
      </w:r>
    </w:p>
    <w:p>
      <w:pPr>
        <w:pStyle w:val="Textbulletsmall"/>
        <w:numPr>
          <w:ilvl w:val="0"/>
          <w:numId w:val="11"/>
        </w:numPr>
        <w:ind w:hanging="0" w:start="0"/>
        <w:rPr/>
      </w:pPr>
      <w:r>
        <w:rPr>
          <w:b/>
        </w:rPr>
        <w:t>Strong Partner</w:t>
      </w:r>
      <w:r>
        <w:rPr/>
        <w:t xml:space="preserve"> – Enron is a leader in the global energy and utility industries.</w:t>
      </w:r>
    </w:p>
    <w:p>
      <w:pPr>
        <w:pStyle w:val="Textbulletsmall"/>
        <w:numPr>
          <w:ilvl w:val="0"/>
          <w:numId w:val="11"/>
        </w:numPr>
        <w:ind w:hanging="0" w:start="0"/>
        <w:rPr/>
      </w:pPr>
      <w:r>
        <w:rPr>
          <w:b/>
        </w:rPr>
        <w:t>Efficient Plant Operation</w:t>
      </w:r>
      <w:r>
        <w:rPr/>
        <w:t>– Enron Mexico has agreements with both IMSA and the CFE and to purchase excess energy.  These agreements allow the Project to operate at a 100% load factor.</w:t>
      </w:r>
    </w:p>
    <w:p>
      <w:pPr>
        <w:pStyle w:val="Textbold"/>
        <w:rPr/>
      </w:pPr>
      <w:r>
        <w:rPr/>
        <w:t>Summary of Transaction Process</w:t>
      </w:r>
    </w:p>
    <w:p>
      <w:pPr>
        <w:pStyle w:val="WW-Text"/>
        <w:rPr/>
      </w:pPr>
      <w:r>
        <w:rPr/>
        <w:t>Upon signing the confidentiality agreement, Enron will give prospective purchasers (“Prospective Purchasers”) access to an Internet Website-based data room (DealBench). DealBench will include electronic copies of key Project documents. The process will consist of two rounds of bidding as follows:</w:t>
      </w:r>
    </w:p>
    <w:p>
      <w:pPr>
        <w:pStyle w:val="WW-Text"/>
        <w:numPr>
          <w:ilvl w:val="0"/>
          <w:numId w:val="3"/>
        </w:numPr>
        <w:spacing w:before="0" w:after="0"/>
        <w:rPr/>
      </w:pPr>
      <w:r>
        <w:rPr/>
        <w:t xml:space="preserve">In Round I of the process, Prospective Purchasers will be required to submit a preliminary proposal (“Proposal of Interest”). Enron prefers that Prospective Purchasers also provide a preliminary assessment of the value that they ascribe to a put option and/or a call option to purchase an additional 30% interest in EEIM from Enron.  On the basis of the Proposal of Interest, Enron will select a limited number of Prospective Purchasers to conduct further due diligence. </w:t>
      </w:r>
    </w:p>
    <w:p>
      <w:pPr>
        <w:pStyle w:val="WW-Text"/>
        <w:numPr>
          <w:ilvl w:val="0"/>
          <w:numId w:val="3"/>
        </w:numPr>
        <w:spacing w:before="0" w:after="0"/>
        <w:rPr/>
      </w:pPr>
      <w:r>
        <w:rPr/>
        <w:t>In Round II of the process, the remaining Prospective Purchasers will submit a second proposal with a markup of key transaction documents, including the Purchase and Sales Agreement.</w:t>
      </w:r>
    </w:p>
    <w:p>
      <w:pPr>
        <w:sectPr>
          <w:headerReference w:type="default" r:id="rId15"/>
          <w:headerReference w:type="first" r:id="rId16"/>
          <w:footerReference w:type="default" r:id="rId17"/>
          <w:footerReference w:type="first" r:id="rId18"/>
          <w:type w:val="nextPage"/>
          <w:pgSz w:w="12240" w:h="15840"/>
          <w:pgMar w:left="1584" w:right="1296" w:gutter="0" w:header="288" w:top="1440" w:footer="504" w:bottom="1440"/>
          <w:pgNumType w:fmt="decimal"/>
          <w:formProt w:val="false"/>
          <w:titlePg/>
          <w:textDirection w:val="lrTb"/>
          <w:docGrid w:type="default" w:linePitch="360" w:charSpace="0"/>
        </w:sectPr>
        <w:pStyle w:val="WW-Text"/>
        <w:numPr>
          <w:ilvl w:val="0"/>
          <w:numId w:val="0"/>
        </w:numPr>
        <w:ind w:hanging="0" w:start="0"/>
        <w:rPr/>
      </w:pPr>
      <w:r>
        <w:rPr/>
        <w:t>For further information on the process, please refer to the “Transaction Process” section of this document.</w:t>
      </w:r>
    </w:p>
    <w:p>
      <w:pPr>
        <w:pStyle w:val="TabPage"/>
        <w:rPr/>
      </w:pPr>
      <w:r>
        <w:rPr/>
        <w:t>key transaction merits</w:t>
      </w:r>
      <w:r>
        <w:br w:type="page"/>
      </w:r>
    </w:p>
    <w:p>
      <w:pPr>
        <w:pStyle w:val="Textbold"/>
        <w:rPr/>
      </w:pPr>
      <w:r>
        <w:rPr/>
        <w:t>Market Potential</w:t>
      </w:r>
    </w:p>
    <w:p>
      <w:pPr>
        <w:pStyle w:val="Textbulletsmall"/>
        <w:numPr>
          <w:ilvl w:val="0"/>
          <w:numId w:val="11"/>
        </w:numPr>
        <w:ind w:hanging="0" w:start="0"/>
        <w:rPr/>
      </w:pPr>
      <w:r>
        <w:rPr/>
        <w:t>The Project will provide Prospective Purchasers with a unique opportunity to establish a foothold or deepen their presence in a market that is both growing rapidly and slowly liberalizing. The Secretaría de Energía predicts that Mexico will need to add between 22,000 and 28,000 MW of capacity within the next nine years in order to keep up with anticipated demand.  Moreover, as per the Secretaría de Energía, demand growth in the industrialized region of northeast Mexico is expected to average 6.6% over the next ten years. Even CFE, the Mexican state-owned utility, expects that up to 90% of new generating capacity installed through 2009 will be funded through private sources. Legislation to liberalize the Mexican power sector is under consideration. Potential changes under this legislation include: (1) providing concessions to distribute power; (2) changing the role of the Mexican state from a power sector owner and operator to regulator; (3) integrating the electricity grids of the U.S. and Mexico; and (4) increasing power marketing opportunities.</w:t>
      </w:r>
    </w:p>
    <w:p>
      <w:pPr>
        <w:pStyle w:val="Textbulletsmall"/>
        <w:numPr>
          <w:ilvl w:val="0"/>
          <w:numId w:val="11"/>
        </w:numPr>
        <w:ind w:hanging="0" w:start="0"/>
        <w:rPr/>
      </w:pPr>
      <w:r>
        <w:rPr/>
        <w:t>If the U.S. and Mexican power grids increase their integration in the future, the Project is well-situated to take advantage of this opportunity as it is cost-competitive and located in northeastern Mexico not far from Texas (ERCOT).</w:t>
      </w:r>
    </w:p>
    <w:p>
      <w:pPr>
        <w:pStyle w:val="Textbulletsmall"/>
        <w:numPr>
          <w:ilvl w:val="0"/>
          <w:numId w:val="11"/>
        </w:numPr>
        <w:ind w:hanging="0" w:start="0"/>
        <w:rPr/>
      </w:pPr>
      <w:r>
        <w:rPr/>
        <w:t>Mexico’s strong and improving credit rating reflects improved economic conditions and stability. Mexico’s long-term debt rating by Moody’s is investment grade, at Baa3.  Standard &amp; Poor’s long-term debt rating for Mexico is one notch below investment grade at BB+, with a positive outlook.  If Mexico becomes an investment grade credit from S&amp;P in the future, the Project may have the opportunity to refinance its debt under significantly more favorable interest rates and terms.</w:t>
      </w:r>
    </w:p>
    <w:p>
      <w:pPr>
        <w:pStyle w:val="Textbold"/>
        <w:rPr/>
      </w:pPr>
      <w:r>
        <w:rPr/>
        <w:t>Key Location</w:t>
      </w:r>
    </w:p>
    <w:p>
      <w:pPr>
        <w:pStyle w:val="Textbulletsmall"/>
        <w:numPr>
          <w:ilvl w:val="0"/>
          <w:numId w:val="11"/>
        </w:numPr>
        <w:ind w:hanging="0" w:start="0"/>
        <w:rPr/>
      </w:pPr>
      <w:r>
        <w:rPr/>
        <w:t>The Project is located in one of the fastest-growing manufacturing centers in Mexico. The state of Nuevo León represents approximately 5.6% of Mexico’s total production. In addition, the Monterrey metropolitan area is the center of Nuevo León’s growing industrial sector.</w:t>
      </w:r>
    </w:p>
    <w:p>
      <w:pPr>
        <w:pStyle w:val="Textbulletsmall"/>
        <w:numPr>
          <w:ilvl w:val="0"/>
          <w:numId w:val="11"/>
        </w:numPr>
        <w:ind w:hanging="0" w:start="0"/>
        <w:rPr/>
      </w:pPr>
      <w:r>
        <w:rPr/>
        <w:t>Due to this growth in demand, the Monterrey region is currently experiencing significant shortages of electric power.   Therefore, the Project’s location just outside the city of Monterrey presents an excellent opportunity to meet the city’s demonstrated need for additional power generation.  Additionally, the Project’s location provides numerous alternative takers of power to back-up the contracted off-takers or to serve as a base for expansion.</w:t>
      </w:r>
    </w:p>
    <w:p>
      <w:pPr>
        <w:pStyle w:val="Textbulletsmall"/>
        <w:numPr>
          <w:ilvl w:val="0"/>
          <w:numId w:val="11"/>
        </w:numPr>
        <w:ind w:hanging="0" w:start="0"/>
        <w:rPr/>
      </w:pPr>
      <w:r>
        <w:rPr/>
        <w:t xml:space="preserve">The Project is well located with respect to infrastructure.  It has easy access to alternative natural gas fuel supply, interconnection to domestic and international electricity grids, as well as access to multiple sources of water supply. </w:t>
      </w:r>
    </w:p>
    <w:p>
      <w:pPr>
        <w:pStyle w:val="Textbulletsmall"/>
        <w:numPr>
          <w:ilvl w:val="0"/>
          <w:numId w:val="11"/>
        </w:numPr>
        <w:ind w:hanging="0" w:start="0"/>
        <w:rPr/>
      </w:pPr>
      <w:r>
        <w:rPr/>
        <w:t>The Project site has adequate infrastructure and space to facilitate future expansion plans.</w:t>
      </w:r>
    </w:p>
    <w:p>
      <w:pPr>
        <w:pStyle w:val="Textbold"/>
        <w:rPr/>
      </w:pPr>
      <w:r>
        <w:rPr/>
        <w:t>Strong Project Structure</w:t>
      </w:r>
    </w:p>
    <w:p>
      <w:pPr>
        <w:pStyle w:val="WW-Text"/>
        <w:spacing w:before="200" w:after="0"/>
        <w:rPr/>
      </w:pPr>
      <w:r>
        <w:rPr/>
        <w:t>The Project benefits from a sound structure with the following key elements:</w:t>
      </w:r>
    </w:p>
    <w:p>
      <w:pPr>
        <w:pStyle w:val="Textbulletsmall"/>
        <w:numPr>
          <w:ilvl w:val="0"/>
          <w:numId w:val="11"/>
        </w:numPr>
        <w:ind w:hanging="0" w:start="0"/>
        <w:rPr/>
      </w:pPr>
      <w:r>
        <w:rPr/>
        <w:t>A fixed-price, turnkey, date-certain EPC contract, which includes appropriate guaranties and performance and delay damages;</w:t>
      </w:r>
    </w:p>
    <w:p>
      <w:pPr>
        <w:pStyle w:val="Textbulletsmall"/>
        <w:numPr>
          <w:ilvl w:val="0"/>
          <w:numId w:val="11"/>
        </w:numPr>
        <w:ind w:hanging="0" w:start="0"/>
        <w:rPr/>
      </w:pPr>
      <w:r>
        <w:rPr/>
        <w:t>Power purchase agreements with a 15-year tenor and capacity payments nominated in U.S. dollars backed by  parent guaranties;</w:t>
      </w:r>
    </w:p>
    <w:p>
      <w:pPr>
        <w:pStyle w:val="Textbulletsmall"/>
        <w:numPr>
          <w:ilvl w:val="0"/>
          <w:numId w:val="11"/>
        </w:numPr>
        <w:ind w:hanging="0" w:start="0"/>
        <w:rPr/>
      </w:pPr>
      <w:r>
        <w:rPr/>
        <w:t>Steam agreement for 15 years backed by a parent guaranty;</w:t>
      </w:r>
    </w:p>
    <w:p>
      <w:pPr>
        <w:pStyle w:val="Textbulletsmall"/>
        <w:numPr>
          <w:ilvl w:val="0"/>
          <w:numId w:val="11"/>
        </w:numPr>
        <w:ind w:hanging="0" w:start="0"/>
        <w:rPr>
          <w:b/>
        </w:rPr>
      </w:pPr>
      <w:r>
        <w:rPr/>
        <w:t>15-year fuel supply and transportation agreements, with fuel and transportation costs designed as a pass-through expense at a guaranteed heat rate to the Capacity Users;</w:t>
      </w:r>
    </w:p>
    <w:p>
      <w:pPr>
        <w:pStyle w:val="Textbulletsmall"/>
        <w:numPr>
          <w:ilvl w:val="0"/>
          <w:numId w:val="11"/>
        </w:numPr>
        <w:ind w:hanging="0" w:start="0"/>
        <w:rPr>
          <w:b/>
        </w:rPr>
      </w:pPr>
      <w:r>
        <w:rPr/>
        <w:t>15-year technical assistance agreement, and operation and maintenance supervision agreement, based upon the guaranteed values of efficiency and availability required by the PPAs; and</w:t>
      </w:r>
    </w:p>
    <w:p>
      <w:pPr>
        <w:pStyle w:val="Textbulletsmall"/>
        <w:numPr>
          <w:ilvl w:val="0"/>
          <w:numId w:val="11"/>
        </w:numPr>
        <w:ind w:hanging="0" w:start="0"/>
        <w:rPr>
          <w:b/>
        </w:rPr>
      </w:pPr>
      <w:r>
        <w:rPr/>
        <w:t>Back-up power, wheeling and interconnection agreements with costs structured as a pass-through to the Capacity Users.</w:t>
      </w:r>
    </w:p>
    <w:p>
      <w:pPr>
        <w:pStyle w:val="Textbold"/>
        <w:rPr/>
      </w:pPr>
      <w:r>
        <w:rPr/>
        <w:t>Advanced Stage of Development</w:t>
      </w:r>
    </w:p>
    <w:p>
      <w:pPr>
        <w:pStyle w:val="Textbulletsmall"/>
        <w:numPr>
          <w:ilvl w:val="0"/>
          <w:numId w:val="11"/>
        </w:numPr>
        <w:ind w:hanging="0" w:start="0"/>
        <w:rPr>
          <w:b/>
        </w:rPr>
      </w:pPr>
      <w:r>
        <w:rPr/>
        <w:t>Unlike many other Mexican Projects, the Project is at a very advanced stage of development and accordingly, has mitigated a number of development risks by (1) obtaining a cogeneration permit; (2) executing power purchase agreements and a steam purchase agreement with a diversified group of large Mexican industrial firms; (3) signing a long-term natural gas fuel supply agreement; and (4) executing back-up, wheeling and interconnection agreements. The Project is currently in the advanced stages of financing approximately 73% of the total Project costs through an IDB A/B loan structure.  Completion of this financing will mitigate the Project Company’s financing risk, and is expected to occur prior to closing of this equity sale.</w:t>
      </w:r>
    </w:p>
    <w:p>
      <w:pPr>
        <w:pStyle w:val="Textbold"/>
        <w:rPr/>
      </w:pPr>
      <w:r>
        <w:rPr/>
        <w:t>Diversified Base of Off-takers</w:t>
      </w:r>
    </w:p>
    <w:p>
      <w:pPr>
        <w:pStyle w:val="Textbulletsmall"/>
        <w:numPr>
          <w:ilvl w:val="0"/>
          <w:numId w:val="11"/>
        </w:numPr>
        <w:ind w:hanging="0" w:start="0"/>
        <w:rPr/>
      </w:pPr>
      <w:r>
        <w:rPr/>
        <w:t>The Project will sell electricity to 38 plants, with the biggest plant accounting for 19% of the Project’s electricity sales.  The Apasco plants/divisions, the IMSA Subsidiaries, the Vitro Subsidiaries and the Vitro JVs account for 16.3%, 36.7%, 33.1% and 11.8%, respectively, of the Project’s electricity sales.</w:t>
      </w:r>
    </w:p>
    <w:p>
      <w:pPr>
        <w:pStyle w:val="Textbulletsmall"/>
        <w:numPr>
          <w:ilvl w:val="0"/>
          <w:numId w:val="11"/>
        </w:numPr>
        <w:ind w:hanging="0" w:start="0"/>
        <w:rPr/>
      </w:pPr>
      <w:r>
        <w:rPr/>
        <w:t xml:space="preserve">All of the off-takers are credit-worthy entities with Apasco’s credit strength reflected in its S&amp;P foreign currency rating of BB+, IMSA’s credit strength reflected in its Moody’s long-term senior unsecured rating of Ba2 and its S&amp;P foreign currency rating of BB+, and Vitro’s credit strength reflected in its Moody’s senior implied rating of Ba2 and S&amp;P local and foreign currency rating of BB. </w:t>
      </w:r>
    </w:p>
    <w:p>
      <w:pPr>
        <w:pStyle w:val="Textbulletsmall"/>
        <w:numPr>
          <w:ilvl w:val="0"/>
          <w:numId w:val="11"/>
        </w:numPr>
        <w:ind w:hanging="0" w:start="0"/>
        <w:rPr/>
      </w:pPr>
      <w:r>
        <w:rPr/>
        <w:t xml:space="preserve">Payments under the PPAs are supported by a guaranty from the respective parent company.  Vitro’s guaranty with respect to the contracted capacity for the Vitro JVs applies to the full obligations of the Vitro JVs under the PPAs, with the exception of the 6.3 MW of capacity bought by the Vitro JV Vitrocrisa, for which Libbey will furnish a Parent Guaranty.  Vitro will guarantee payment obligations of Vitrocrisa that are not covered under the Libbey Parent Guaranty.  </w:t>
      </w:r>
    </w:p>
    <w:p>
      <w:pPr>
        <w:pStyle w:val="Textbulletsmall"/>
        <w:numPr>
          <w:ilvl w:val="0"/>
          <w:numId w:val="11"/>
        </w:numPr>
        <w:ind w:hanging="0" w:start="0"/>
        <w:rPr/>
      </w:pPr>
      <w:r>
        <w:rPr/>
        <w:t>The Project will allow its owners to develop close relationships with the Project off-takers who represent affiliates of high-profile Mexican industrial groups. These relationships may prove significant in terms of creating future opportunities as the Mexican market continues to grow.</w:t>
      </w:r>
    </w:p>
    <w:p>
      <w:pPr>
        <w:pStyle w:val="Textbold"/>
        <w:rPr/>
      </w:pPr>
      <w:r>
        <w:rPr/>
        <w:t>High Importance to Capacity Users</w:t>
      </w:r>
    </w:p>
    <w:p>
      <w:pPr>
        <w:pStyle w:val="Textbulletsmall"/>
        <w:numPr>
          <w:ilvl w:val="0"/>
          <w:numId w:val="11"/>
        </w:numPr>
        <w:ind w:hanging="0" w:start="0"/>
        <w:rPr/>
      </w:pPr>
      <w:r>
        <w:rPr/>
        <w:t>The Project is expected to provide a long-term economical supply of power to each of the Capacity Users.</w:t>
      </w:r>
    </w:p>
    <w:p>
      <w:pPr>
        <w:pStyle w:val="Textbulletsmall"/>
        <w:numPr>
          <w:ilvl w:val="0"/>
          <w:numId w:val="11"/>
        </w:numPr>
        <w:ind w:hanging="0" w:start="0"/>
        <w:rPr/>
      </w:pPr>
      <w:r>
        <w:rPr/>
        <w:t xml:space="preserve">Apasco, IMSA and Vitro are each expected to realize double-digit percentage savings in their electricity costs.  </w:t>
      </w:r>
    </w:p>
    <w:p>
      <w:pPr>
        <w:pStyle w:val="Textbulletsmall"/>
        <w:numPr>
          <w:ilvl w:val="0"/>
          <w:numId w:val="11"/>
        </w:numPr>
        <w:ind w:hanging="0" w:start="0"/>
        <w:rPr/>
      </w:pPr>
      <w:r>
        <w:rPr/>
        <w:t xml:space="preserve">Finally, the Project is expected to help alleviate supply constraints developing near Monterrey, one of the most industrialized areas in Mexico with one of the fastest growth rates. </w:t>
      </w:r>
    </w:p>
    <w:p>
      <w:pPr>
        <w:pStyle w:val="Textbold"/>
        <w:rPr/>
      </w:pPr>
      <w:r>
        <w:rPr/>
        <w:t>Structural Flexibility</w:t>
      </w:r>
    </w:p>
    <w:p>
      <w:pPr>
        <w:pStyle w:val="Textbulletsmall"/>
        <w:numPr>
          <w:ilvl w:val="0"/>
          <w:numId w:val="11"/>
        </w:numPr>
        <w:ind w:hanging="0" w:start="0"/>
        <w:rPr/>
      </w:pPr>
      <w:r>
        <w:rPr/>
        <w:t xml:space="preserve">While the Project will benefit from a steady stream of cash flows from the electricity and steam off-take contracts, there is upside potential supported by the tenor of the agreements. The Project’s PPAs have a tenor of 15 years, versus the traditional 25-year CFE PPAs, allowing a redirection of the asset to take advantage of market changes earlier than comparable CFE projects.  It is expected that the Mexican power market will be liberalized prior to the expiration of the Project’s PPAs. </w:t>
      </w:r>
    </w:p>
    <w:p>
      <w:pPr>
        <w:pStyle w:val="Textbulletsmall"/>
        <w:numPr>
          <w:ilvl w:val="0"/>
          <w:numId w:val="11"/>
        </w:numPr>
        <w:ind w:hanging="0" w:start="0"/>
        <w:rPr/>
      </w:pPr>
      <w:r>
        <w:rPr/>
        <w:t>In the context of a liberalized market, it is important to note that although the Project is not subject to CFE dispatch requirements, it is believed that if the Project were operating in CFE’s dispatch system, it would be fully dispatched during the term of the PPAs.</w:t>
      </w:r>
    </w:p>
    <w:p>
      <w:pPr>
        <w:pStyle w:val="Textbold"/>
        <w:rPr/>
      </w:pPr>
      <w:r>
        <w:rPr/>
        <w:t>Strong EPC Contractor and Proven Technology</w:t>
      </w:r>
    </w:p>
    <w:p>
      <w:pPr>
        <w:pStyle w:val="Textbulletsmall"/>
        <w:numPr>
          <w:ilvl w:val="0"/>
          <w:numId w:val="11"/>
        </w:numPr>
        <w:ind w:hanging="0" w:start="0"/>
        <w:rPr/>
      </w:pPr>
      <w:r>
        <w:rPr/>
        <w:t xml:space="preserve">Mitsui &amp; Co., Ltd. (“Mitsui”) will be the contractor in charge of the design, engineering, procurement, construction, testing, and commissioning of the Project under an approximate US$134.3 million fixed price, date certain, turnkey contract (the “EPC Contract”).  Terms of the EPC Contract call for liquidated damages for delays in completion and guaranteed performance shortfalls.  </w:t>
      </w:r>
    </w:p>
    <w:p>
      <w:pPr>
        <w:pStyle w:val="Textbulletsmall"/>
        <w:numPr>
          <w:ilvl w:val="0"/>
          <w:numId w:val="11"/>
        </w:numPr>
        <w:ind w:hanging="0" w:start="0"/>
        <w:rPr/>
      </w:pPr>
      <w:r>
        <w:rPr/>
        <w:t>Founded in 1876 as an integrated trading company, Mitsui has been supplying equipment to and building power plants worldwide since 1951.  It has been involved in projects using thermal, hydro, combined-cycle, and gas-turbine technologies under turnkey, build-operate-transfer, build-own-operate, and build-lease-transfer arrangements.</w:t>
      </w:r>
    </w:p>
    <w:p>
      <w:pPr>
        <w:pStyle w:val="Textbulletsmall"/>
        <w:numPr>
          <w:ilvl w:val="0"/>
          <w:numId w:val="11"/>
        </w:numPr>
        <w:ind w:hanging="0" w:start="0"/>
        <w:rPr/>
      </w:pPr>
      <w:r>
        <w:rPr/>
        <w:t>The plant configuration features one General Electric (“GE”) 7FA combustion turbine generator (“CTG”), nominally ISO rated at 171.7 MW.  The Frame 7F technology, introduced by GE in 1987, is considered a mature technology, with over 100 units installed, 1.7 million fired hours and over 42,500 fired starts fleet-wide.  The Project will use the 7241FA turbine, which has been more recently introduced and includes upgrades that allow for higher firing temperatures.</w:t>
      </w:r>
    </w:p>
    <w:p>
      <w:pPr>
        <w:pStyle w:val="Textbold"/>
        <w:rPr>
          <w:b w:val="false"/>
        </w:rPr>
      </w:pPr>
      <w:r>
        <w:rPr/>
        <w:t>Strong Partner</w:t>
      </w:r>
      <w:r>
        <w:rPr>
          <w:b w:val="false"/>
        </w:rPr>
        <w:t xml:space="preserve"> </w:t>
      </w:r>
      <w:r>
        <w:rPr/>
        <w:t>and Experienced Operator</w:t>
      </w:r>
    </w:p>
    <w:p>
      <w:pPr>
        <w:pStyle w:val="Textbulletsmall"/>
        <w:numPr>
          <w:ilvl w:val="0"/>
          <w:numId w:val="11"/>
        </w:numPr>
        <w:ind w:hanging="0" w:start="0"/>
        <w:rPr/>
      </w:pPr>
      <w:r>
        <w:rPr/>
        <w:t>Enron is the largest wholesaler of natural gas and the largest seller of electricity in North America, with assets as of December 31, 1999 over US$33.4 billion.   Enron’s investment portfolio includes more than 2,899 MW of generating assets outside of the United States.</w:t>
      </w:r>
      <w:r>
        <w:rPr>
          <w:b/>
        </w:rPr>
        <w:t xml:space="preserve">  </w:t>
      </w:r>
    </w:p>
    <w:p>
      <w:pPr>
        <w:pStyle w:val="Textbulletsmall"/>
        <w:numPr>
          <w:ilvl w:val="0"/>
          <w:numId w:val="11"/>
        </w:numPr>
        <w:ind w:hanging="0" w:start="0"/>
        <w:rPr/>
      </w:pPr>
      <w:r>
        <w:rPr/>
        <w:t xml:space="preserve">Operational Energy Corporation (“OEC”), a wholly-owned subsidiary of Enron Engineering &amp; Construction Company, is an operations and maintenance (O&amp;M) services company.  OEC’s business focus is to provide complete plant services beginning with the construction phase and continuing through the life of the facility. </w:t>
      </w:r>
    </w:p>
    <w:p>
      <w:pPr>
        <w:pStyle w:val="Textbold"/>
        <w:rPr/>
      </w:pPr>
      <w:r>
        <w:rPr/>
        <w:t>Efficient Operating Program</w:t>
      </w:r>
    </w:p>
    <w:p>
      <w:pPr>
        <w:sectPr>
          <w:headerReference w:type="default" r:id="rId19"/>
          <w:headerReference w:type="first" r:id="rId20"/>
          <w:footerReference w:type="default" r:id="rId21"/>
          <w:footerReference w:type="first" r:id="rId22"/>
          <w:type w:val="nextPage"/>
          <w:pgSz w:w="12240" w:h="15840"/>
          <w:pgMar w:left="1584" w:right="1296" w:gutter="0" w:header="288" w:top="1440" w:footer="504" w:bottom="1440"/>
          <w:pgNumType w:fmt="decimal"/>
          <w:formProt w:val="false"/>
          <w:titlePg/>
          <w:textDirection w:val="lrTb"/>
          <w:docGrid w:type="default" w:linePitch="360" w:charSpace="0"/>
        </w:sectPr>
        <w:pStyle w:val="Bullet1"/>
        <w:numPr>
          <w:ilvl w:val="0"/>
          <w:numId w:val="8"/>
        </w:numPr>
        <w:spacing w:before="200" w:after="0"/>
        <w:rPr/>
      </w:pPr>
      <w:r>
        <w:rPr/>
        <w:t>Enron Mexico has agreements with CFE and IMSA to purchase excess energy.  These agreements allow the Project to operate at a 100% load factor, which is expected to reduce marginal operating expenses compared to similar plants operating under a variable dispatch.</w:t>
      </w:r>
    </w:p>
    <w:p>
      <w:pPr>
        <w:pStyle w:val="TabPage"/>
        <w:widowControl w:val="false"/>
        <w:rPr/>
      </w:pPr>
      <w:r>
        <w:rPr/>
        <w:t>TRANSACTION process</w:t>
      </w:r>
      <w:r>
        <w:br w:type="page"/>
      </w:r>
    </w:p>
    <w:p>
      <w:pPr>
        <w:pStyle w:val="Textbold"/>
        <w:rPr/>
      </w:pPr>
      <w:r>
        <w:rPr/>
        <w:t>Transaction Process</w:t>
      </w:r>
    </w:p>
    <w:p>
      <w:pPr>
        <w:pStyle w:val="WW-Text"/>
        <w:rPr/>
      </w:pPr>
      <w:r>
        <w:rPr/>
        <w:t>Société Générale is soliciting proposals from a select group of qualified prospective purchasers (“Prospective Purchasers”).  This Memorandum has been prepared for the sole use of the Prospective Purchasers who have executed a confidentiality agreement (the “Confidentiality Agreement”).</w:t>
      </w:r>
    </w:p>
    <w:p>
      <w:pPr>
        <w:pStyle w:val="WW-Text"/>
        <w:rPr/>
      </w:pPr>
      <w:r>
        <w:rPr/>
        <w:t>The proposed transaction structure assumes a sale of an approximate 50% ownership interest in Enron Energía Industrial de México B.V. (“EEIM”) currently held by Enron Capital &amp; Trade Resources Mexico Holdings B.V. (“B.V.1”) for cash payable at closing (the “Transaction Structure”).  The Transaction Structure is designed to satisfy ownership restrictions in the IDB loan agreement, however it is Enron’s intention to sell an additional 30% interest in EEIM upon commencing commercial operations.  Enron’s main objectives in considering proposals for the purchase of an interest in the Project Company are to arrange for a transaction upon terms which reflect the highest possible value and to consummate an acceptable transaction in a timely manner. To the extent consistent with these objectives, Enron may consider alternative structures and forms of consideration.  Enron prefers proposals which address and value put options and/or call options to purchase an additional 30% interest in EEIM from Enron when the Project commences commercial operations.</w:t>
      </w:r>
    </w:p>
    <w:p>
      <w:pPr>
        <w:pStyle w:val="Textbold"/>
        <w:rPr/>
      </w:pPr>
      <w:r>
        <w:rPr/>
        <w:t>Summary of Process</w:t>
      </w:r>
    </w:p>
    <w:p>
      <w:pPr>
        <w:pStyle w:val="Textboldital"/>
        <w:rPr/>
      </w:pPr>
      <w:r>
        <w:rPr/>
        <w:t>Due Diligence</w:t>
      </w:r>
    </w:p>
    <w:p>
      <w:pPr>
        <w:pStyle w:val="WW-Text"/>
        <w:rPr/>
      </w:pPr>
      <w:r>
        <w:rPr/>
        <w:t xml:space="preserve">Upon signing the Confidentiality Agreement with the Prospective Purchasers, Enron will allow each Prospective Purchaser to conduct further due diligence by accessing an Internet Website-based data room (DealBench). </w:t>
      </w:r>
    </w:p>
    <w:p>
      <w:pPr>
        <w:pStyle w:val="Textital"/>
        <w:rPr/>
      </w:pPr>
      <w:r>
        <w:rPr/>
        <w:t>Round I Proposals</w:t>
      </w:r>
    </w:p>
    <w:p>
      <w:pPr>
        <w:pStyle w:val="WW-Text"/>
        <w:rPr/>
      </w:pPr>
      <w:r>
        <w:rPr/>
        <w:t>Interested Prospective Purchasers will be required to submit written indications of interest in the form of a preliminary proposal (“Proposal of Interest”) to express interest in acquiring an approximate 50% ownership interest in EEIM.  Enron prefers that Prospective Purchasers also provide a preliminary assessment of the value that they ascribe to a put option and/or a call option to purchase an additional 30% interest in EEIM from Enron when the Project achieves commercial operations.</w:t>
      </w:r>
    </w:p>
    <w:p>
      <w:pPr>
        <w:pStyle w:val="WW-Text"/>
        <w:rPr/>
      </w:pPr>
      <w:r>
        <w:rPr/>
        <w:t>On the basis of the Proposals of Interest, Enron expects to select a limited number of Prospective Purchasers to conduct further due diligence as well as a package containing the key transaction documents, namely a Purchase and Sales Agreement and a Shareholders’ Agreement (the “Key Transaction Documents”).</w:t>
      </w:r>
    </w:p>
    <w:p>
      <w:pPr>
        <w:pStyle w:val="Textital"/>
        <w:rPr/>
      </w:pPr>
      <w:r>
        <w:rPr/>
        <w:t>Round II Proposals</w:t>
      </w:r>
    </w:p>
    <w:p>
      <w:pPr>
        <w:pStyle w:val="WW-Text"/>
        <w:rPr/>
      </w:pPr>
      <w:r>
        <w:rPr/>
        <w:t>Prospective Purchasers that have been selected for the Round II proposals will receive under separate cover, Key Transaction Documents. Round II Proposals must be submitted with a markup of the Key Transaction Documents and a confirmation that the Prospective Purchaser is prepared to execute promptly such Key Transaction Documents.  The representations and warranties in the Key Transaction Documents will reflect that comprehensive due diligence has been performed, so Prospective Purchasers are encouraged to use the due diligence opportunity to the fullest.</w:t>
      </w:r>
    </w:p>
    <w:p>
      <w:pPr>
        <w:pStyle w:val="Textboldital"/>
        <w:rPr/>
      </w:pPr>
      <w:r>
        <w:rPr/>
        <w:t>Offers</w:t>
      </w:r>
    </w:p>
    <w:p>
      <w:pPr>
        <w:pStyle w:val="WW-Text"/>
        <w:rPr/>
      </w:pPr>
      <w:r>
        <w:rPr/>
        <w:t>Offers should not be subject to any financing contingencies or other material conditions and will be required to have all necessary board and other corporate or similar approvals prior to submission to be considered.</w:t>
      </w:r>
    </w:p>
    <w:p>
      <w:pPr>
        <w:pStyle w:val="WW-Text"/>
        <w:rPr/>
      </w:pPr>
      <w:r>
        <w:rPr/>
        <w:t>Any Prospective Purchaser is responsible for all costs incurred in connection with its due diligence, bid preparation and proposal, including fees and disbursements of its own counsel and advisors.</w:t>
      </w:r>
    </w:p>
    <w:p>
      <w:pPr>
        <w:pStyle w:val="WW-Text"/>
        <w:rPr/>
      </w:pPr>
      <w:r>
        <w:rPr/>
        <w:t>Enron reserves the right, in its sole discretion, to discontinue the process with respect to any Prospective Purchaser at any time and without any liability on its part.</w:t>
      </w:r>
    </w:p>
    <w:p>
      <w:pPr>
        <w:pStyle w:val="Spacer"/>
        <w:rPr/>
      </w:pPr>
      <w:r>
        <w:rPr/>
      </w:r>
    </w:p>
    <w:tbl>
      <w:tblPr>
        <w:tblW w:w="9360" w:type="dxa"/>
        <w:jc w:val="start"/>
        <w:tblInd w:w="0" w:type="dxa"/>
        <w:tblLayout w:type="fixed"/>
        <w:tblCellMar>
          <w:top w:w="0" w:type="dxa"/>
          <w:start w:w="0" w:type="dxa"/>
          <w:bottom w:w="0" w:type="dxa"/>
          <w:end w:w="0" w:type="dxa"/>
        </w:tblCellMar>
      </w:tblPr>
      <w:tblGrid>
        <w:gridCol w:w="3330"/>
        <w:gridCol w:w="6030"/>
      </w:tblGrid>
      <w:tr>
        <w:trPr/>
        <w:tc>
          <w:tcPr>
            <w:tcW w:w="3330" w:type="dxa"/>
            <w:tcBorders>
              <w:bottom w:val="single" w:sz="4" w:space="0" w:color="000000"/>
            </w:tcBorders>
          </w:tcPr>
          <w:p>
            <w:pPr>
              <w:pStyle w:val="Normal"/>
              <w:spacing w:before="60" w:after="60"/>
              <w:jc w:val="both"/>
              <w:rPr>
                <w:b/>
                <w:sz w:val="21"/>
              </w:rPr>
            </w:pPr>
            <w:r>
              <w:rPr>
                <w:b/>
                <w:sz w:val="21"/>
              </w:rPr>
              <w:t>Date</w:t>
            </w:r>
          </w:p>
        </w:tc>
        <w:tc>
          <w:tcPr>
            <w:tcW w:w="6030" w:type="dxa"/>
            <w:tcBorders>
              <w:bottom w:val="single" w:sz="4" w:space="0" w:color="000000"/>
            </w:tcBorders>
            <w:vAlign w:val="bottom"/>
          </w:tcPr>
          <w:p>
            <w:pPr>
              <w:pStyle w:val="Normal"/>
              <w:spacing w:before="60" w:after="60"/>
              <w:rPr>
                <w:b/>
                <w:sz w:val="21"/>
              </w:rPr>
            </w:pPr>
            <w:r>
              <w:rPr>
                <w:b/>
                <w:sz w:val="21"/>
              </w:rPr>
              <w:t>Action Item</w:t>
            </w:r>
          </w:p>
        </w:tc>
      </w:tr>
      <w:tr>
        <w:trPr/>
        <w:tc>
          <w:tcPr>
            <w:tcW w:w="3330" w:type="dxa"/>
            <w:tcBorders/>
          </w:tcPr>
          <w:p>
            <w:pPr>
              <w:pStyle w:val="Normal"/>
              <w:spacing w:before="240" w:after="0"/>
              <w:jc w:val="both"/>
              <w:rPr/>
            </w:pPr>
            <w:r>
              <w:rPr/>
              <w:t>November 3, 2000</w:t>
            </w:r>
          </w:p>
        </w:tc>
        <w:tc>
          <w:tcPr>
            <w:tcW w:w="6030" w:type="dxa"/>
            <w:tcBorders/>
            <w:vAlign w:val="bottom"/>
          </w:tcPr>
          <w:p>
            <w:pPr>
              <w:pStyle w:val="Normal"/>
              <w:spacing w:before="240" w:after="0"/>
              <w:rPr/>
            </w:pPr>
            <w:r>
              <w:rPr/>
              <w:t>Execute Confidentiality Agreement</w:t>
            </w:r>
          </w:p>
        </w:tc>
      </w:tr>
      <w:tr>
        <w:trPr/>
        <w:tc>
          <w:tcPr>
            <w:tcW w:w="3330" w:type="dxa"/>
            <w:tcBorders/>
          </w:tcPr>
          <w:p>
            <w:pPr>
              <w:pStyle w:val="Normal"/>
              <w:spacing w:before="240" w:after="0"/>
              <w:jc w:val="both"/>
              <w:rPr/>
            </w:pPr>
            <w:r>
              <w:rPr/>
              <w:t>November 3 – 6 , 2000</w:t>
            </w:r>
          </w:p>
        </w:tc>
        <w:tc>
          <w:tcPr>
            <w:tcW w:w="6030" w:type="dxa"/>
            <w:tcBorders/>
            <w:vAlign w:val="bottom"/>
          </w:tcPr>
          <w:p>
            <w:pPr>
              <w:pStyle w:val="Normal"/>
              <w:spacing w:before="240" w:after="0"/>
              <w:rPr/>
            </w:pPr>
            <w:r>
              <w:rPr/>
              <w:t>Memorandum delivered to Prospective Purchasers</w:t>
            </w:r>
          </w:p>
        </w:tc>
      </w:tr>
      <w:tr>
        <w:trPr/>
        <w:tc>
          <w:tcPr>
            <w:tcW w:w="3330" w:type="dxa"/>
            <w:tcBorders/>
          </w:tcPr>
          <w:p>
            <w:pPr>
              <w:pStyle w:val="Normal"/>
              <w:spacing w:before="240" w:after="0"/>
              <w:jc w:val="both"/>
              <w:rPr/>
            </w:pPr>
            <w:r>
              <w:rPr/>
              <w:t>November 6 – November 20, 2000</w:t>
            </w:r>
          </w:p>
        </w:tc>
        <w:tc>
          <w:tcPr>
            <w:tcW w:w="6030" w:type="dxa"/>
            <w:tcBorders/>
            <w:vAlign w:val="bottom"/>
          </w:tcPr>
          <w:p>
            <w:pPr>
              <w:pStyle w:val="Normal"/>
              <w:spacing w:before="240" w:after="0"/>
              <w:rPr/>
            </w:pPr>
            <w:r>
              <w:rPr/>
              <w:t>Initial evaluation (access to Internet Website-based  data room)</w:t>
            </w:r>
          </w:p>
        </w:tc>
      </w:tr>
      <w:tr>
        <w:trPr/>
        <w:tc>
          <w:tcPr>
            <w:tcW w:w="3330" w:type="dxa"/>
            <w:tcBorders/>
          </w:tcPr>
          <w:p>
            <w:pPr>
              <w:pStyle w:val="Normal"/>
              <w:spacing w:before="240" w:after="0"/>
              <w:jc w:val="both"/>
              <w:rPr/>
            </w:pPr>
            <w:r>
              <w:rPr/>
              <w:t>November 21, 2000</w:t>
            </w:r>
          </w:p>
        </w:tc>
        <w:tc>
          <w:tcPr>
            <w:tcW w:w="6030" w:type="dxa"/>
            <w:tcBorders/>
            <w:vAlign w:val="bottom"/>
          </w:tcPr>
          <w:p>
            <w:pPr>
              <w:pStyle w:val="Normal"/>
              <w:spacing w:before="240" w:after="0"/>
              <w:rPr/>
            </w:pPr>
            <w:r>
              <w:rPr/>
              <w:t>Submission of Round I bids</w:t>
            </w:r>
          </w:p>
        </w:tc>
      </w:tr>
      <w:tr>
        <w:trPr/>
        <w:tc>
          <w:tcPr>
            <w:tcW w:w="3330" w:type="dxa"/>
            <w:tcBorders/>
          </w:tcPr>
          <w:p>
            <w:pPr>
              <w:pStyle w:val="Normal"/>
              <w:spacing w:before="240" w:after="0"/>
              <w:jc w:val="both"/>
              <w:rPr/>
            </w:pPr>
            <w:r>
              <w:rPr/>
              <w:t>November 22, 2000</w:t>
            </w:r>
          </w:p>
        </w:tc>
        <w:tc>
          <w:tcPr>
            <w:tcW w:w="6030" w:type="dxa"/>
            <w:tcBorders/>
            <w:vAlign w:val="bottom"/>
          </w:tcPr>
          <w:p>
            <w:pPr>
              <w:pStyle w:val="Normal"/>
              <w:spacing w:before="240" w:after="0"/>
              <w:rPr/>
            </w:pPr>
            <w:r>
              <w:rPr/>
              <w:t>Determination and notification of short-listed bidders</w:t>
            </w:r>
          </w:p>
          <w:p>
            <w:pPr>
              <w:pStyle w:val="Normal"/>
              <w:rPr/>
            </w:pPr>
            <w:r>
              <w:rPr/>
              <w:t>Transaction documents (e.g. Purchase and Sale Agreement) delivered to short-listed bidders</w:t>
            </w:r>
          </w:p>
        </w:tc>
      </w:tr>
      <w:tr>
        <w:trPr/>
        <w:tc>
          <w:tcPr>
            <w:tcW w:w="3330" w:type="dxa"/>
            <w:tcBorders/>
          </w:tcPr>
          <w:p>
            <w:pPr>
              <w:pStyle w:val="Normal"/>
              <w:spacing w:before="240" w:after="0"/>
              <w:jc w:val="both"/>
              <w:rPr/>
            </w:pPr>
            <w:r>
              <w:rPr/>
              <w:t>November 22 – December 4, 2000</w:t>
            </w:r>
          </w:p>
        </w:tc>
        <w:tc>
          <w:tcPr>
            <w:tcW w:w="6030" w:type="dxa"/>
            <w:tcBorders/>
            <w:vAlign w:val="bottom"/>
          </w:tcPr>
          <w:p>
            <w:pPr>
              <w:pStyle w:val="Normal"/>
              <w:spacing w:before="240" w:after="0"/>
              <w:rPr/>
            </w:pPr>
            <w:r>
              <w:rPr/>
              <w:t>Data Room visits</w:t>
            </w:r>
          </w:p>
        </w:tc>
      </w:tr>
      <w:tr>
        <w:trPr/>
        <w:tc>
          <w:tcPr>
            <w:tcW w:w="3330" w:type="dxa"/>
            <w:tcBorders/>
          </w:tcPr>
          <w:p>
            <w:pPr>
              <w:pStyle w:val="Normal"/>
              <w:spacing w:before="240" w:after="0"/>
              <w:jc w:val="both"/>
              <w:rPr/>
            </w:pPr>
            <w:r>
              <w:rPr/>
              <w:t>December 5, 2000</w:t>
            </w:r>
          </w:p>
        </w:tc>
        <w:tc>
          <w:tcPr>
            <w:tcW w:w="6030" w:type="dxa"/>
            <w:tcBorders/>
            <w:vAlign w:val="bottom"/>
          </w:tcPr>
          <w:p>
            <w:pPr>
              <w:pStyle w:val="Normal"/>
              <w:spacing w:before="240" w:after="0"/>
              <w:rPr/>
            </w:pPr>
            <w:r>
              <w:rPr/>
              <w:t>Submission of Round II bids</w:t>
            </w:r>
          </w:p>
        </w:tc>
      </w:tr>
      <w:tr>
        <w:trPr/>
        <w:tc>
          <w:tcPr>
            <w:tcW w:w="3330" w:type="dxa"/>
            <w:tcBorders/>
          </w:tcPr>
          <w:p>
            <w:pPr>
              <w:pStyle w:val="Normal"/>
              <w:spacing w:before="240" w:after="0"/>
              <w:jc w:val="both"/>
              <w:rPr/>
            </w:pPr>
            <w:r>
              <w:rPr/>
              <w:t>December  6, 2000</w:t>
            </w:r>
          </w:p>
        </w:tc>
        <w:tc>
          <w:tcPr>
            <w:tcW w:w="6030" w:type="dxa"/>
            <w:tcBorders/>
            <w:vAlign w:val="bottom"/>
          </w:tcPr>
          <w:p>
            <w:pPr>
              <w:pStyle w:val="Normal"/>
              <w:spacing w:before="240" w:after="0"/>
              <w:rPr/>
            </w:pPr>
            <w:r>
              <w:rPr/>
              <w:t>Bidder selection and execution of definitive transaction documents</w:t>
            </w:r>
          </w:p>
        </w:tc>
      </w:tr>
      <w:tr>
        <w:trPr/>
        <w:tc>
          <w:tcPr>
            <w:tcW w:w="3330" w:type="dxa"/>
            <w:tcBorders>
              <w:bottom w:val="single" w:sz="4" w:space="0" w:color="000000"/>
            </w:tcBorders>
          </w:tcPr>
          <w:p>
            <w:pPr>
              <w:pStyle w:val="Normal"/>
              <w:spacing w:before="240" w:after="0"/>
              <w:jc w:val="both"/>
              <w:rPr/>
            </w:pPr>
            <w:r>
              <w:rPr/>
              <w:t>December 19, 2000</w:t>
            </w:r>
          </w:p>
        </w:tc>
        <w:tc>
          <w:tcPr>
            <w:tcW w:w="6030" w:type="dxa"/>
            <w:tcBorders>
              <w:bottom w:val="single" w:sz="4" w:space="0" w:color="000000"/>
            </w:tcBorders>
            <w:vAlign w:val="bottom"/>
          </w:tcPr>
          <w:p>
            <w:pPr>
              <w:pStyle w:val="Normal"/>
              <w:spacing w:before="240" w:after="0"/>
              <w:rPr/>
            </w:pPr>
            <w:r>
              <w:rPr/>
              <w:t>Closing</w:t>
            </w:r>
          </w:p>
        </w:tc>
      </w:tr>
    </w:tbl>
    <w:p>
      <w:pPr>
        <w:pStyle w:val="Spacerhalf"/>
        <w:rPr/>
      </w:pPr>
      <w:r>
        <w:rPr/>
      </w:r>
    </w:p>
    <w:p>
      <w:pPr>
        <w:pStyle w:val="Textbold"/>
        <w:rPr/>
      </w:pPr>
      <w:r>
        <w:rPr/>
        <w:t>Communication</w:t>
      </w:r>
    </w:p>
    <w:p>
      <w:pPr>
        <w:pStyle w:val="WW-Text"/>
        <w:rPr/>
      </w:pPr>
      <w:r>
        <w:rPr/>
        <w:t xml:space="preserve">Société Générale has been retained to represent Enron for the transaction.  All inquiries and communications should be made through Société Générale.  Prospective Purchasers are </w:t>
      </w:r>
      <w:r>
        <w:rPr>
          <w:u w:val="single"/>
        </w:rPr>
        <w:t>prohibited</w:t>
      </w:r>
      <w:r>
        <w:rPr/>
        <w:t xml:space="preserve"> from directly contacting the management or employees of Enron or any of its affiliates or contractual counterparties (including, without limitation, the Capacity Users, Pemex, and CFE).  Questions or requests for additional information should be directed to one of the following representatives:</w:t>
      </w:r>
    </w:p>
    <w:p>
      <w:pPr>
        <w:pStyle w:val="Spacer"/>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pPr>
            <w:r>
              <w:rPr/>
              <w:t>Roberto Simon</w:t>
            </w:r>
          </w:p>
        </w:tc>
        <w:tc>
          <w:tcPr>
            <w:tcW w:w="4788" w:type="dxa"/>
            <w:tcBorders/>
          </w:tcPr>
          <w:p>
            <w:pPr>
              <w:pStyle w:val="Normal"/>
              <w:jc w:val="center"/>
              <w:rPr/>
            </w:pPr>
            <w:r>
              <w:rPr/>
              <w:t>Leon Valera</w:t>
            </w:r>
          </w:p>
        </w:tc>
      </w:tr>
      <w:tr>
        <w:trPr/>
        <w:tc>
          <w:tcPr>
            <w:tcW w:w="4788" w:type="dxa"/>
            <w:tcBorders/>
          </w:tcPr>
          <w:p>
            <w:pPr>
              <w:pStyle w:val="Normal"/>
              <w:jc w:val="center"/>
              <w:rPr/>
            </w:pPr>
            <w:r>
              <w:rPr/>
              <w:t>Managing Director</w:t>
            </w:r>
          </w:p>
        </w:tc>
        <w:tc>
          <w:tcPr>
            <w:tcW w:w="4788" w:type="dxa"/>
            <w:tcBorders/>
          </w:tcPr>
          <w:p>
            <w:pPr>
              <w:pStyle w:val="Normal"/>
              <w:jc w:val="center"/>
              <w:rPr/>
            </w:pPr>
            <w:r>
              <w:rPr/>
              <w:t>Vice President</w:t>
            </w:r>
          </w:p>
        </w:tc>
      </w:tr>
      <w:tr>
        <w:trPr/>
        <w:tc>
          <w:tcPr>
            <w:tcW w:w="4788" w:type="dxa"/>
            <w:tcBorders/>
          </w:tcPr>
          <w:p>
            <w:pPr>
              <w:pStyle w:val="Normal"/>
              <w:jc w:val="center"/>
              <w:rPr/>
            </w:pPr>
            <w:r>
              <w:rPr/>
              <w:t>Société Générale</w:t>
            </w:r>
          </w:p>
        </w:tc>
        <w:tc>
          <w:tcPr>
            <w:tcW w:w="4788" w:type="dxa"/>
            <w:tcBorders/>
          </w:tcPr>
          <w:p>
            <w:pPr>
              <w:pStyle w:val="Normal"/>
              <w:jc w:val="center"/>
              <w:rPr/>
            </w:pPr>
            <w:r>
              <w:rPr/>
              <w:t>Société Générale</w:t>
            </w:r>
          </w:p>
        </w:tc>
      </w:tr>
      <w:tr>
        <w:trPr/>
        <w:tc>
          <w:tcPr>
            <w:tcW w:w="4788" w:type="dxa"/>
            <w:tcBorders/>
          </w:tcPr>
          <w:p>
            <w:pPr>
              <w:pStyle w:val="Normal"/>
              <w:jc w:val="center"/>
              <w:rPr/>
            </w:pPr>
            <w:r>
              <w:rPr/>
              <w:t>Tel:  212-278-5357</w:t>
            </w:r>
          </w:p>
        </w:tc>
        <w:tc>
          <w:tcPr>
            <w:tcW w:w="4788" w:type="dxa"/>
            <w:tcBorders/>
          </w:tcPr>
          <w:p>
            <w:pPr>
              <w:pStyle w:val="Normal"/>
              <w:jc w:val="center"/>
              <w:rPr/>
            </w:pPr>
            <w:r>
              <w:rPr/>
              <w:t>Tel:  212-278-5292</w:t>
            </w:r>
          </w:p>
        </w:tc>
      </w:tr>
      <w:tr>
        <w:trPr/>
        <w:tc>
          <w:tcPr>
            <w:tcW w:w="4788" w:type="dxa"/>
            <w:tcBorders/>
          </w:tcPr>
          <w:p>
            <w:pPr>
              <w:pStyle w:val="Normal"/>
              <w:jc w:val="center"/>
              <w:rPr/>
            </w:pPr>
            <w:r>
              <w:rPr/>
              <w:t>Fax:  212-278-6136</w:t>
            </w:r>
          </w:p>
        </w:tc>
        <w:tc>
          <w:tcPr>
            <w:tcW w:w="4788" w:type="dxa"/>
            <w:tcBorders/>
          </w:tcPr>
          <w:p>
            <w:pPr>
              <w:pStyle w:val="Normal"/>
              <w:jc w:val="center"/>
              <w:rPr/>
            </w:pPr>
            <w:r>
              <w:rPr/>
              <w:t>Fax:  212-278-6136</w:t>
            </w:r>
          </w:p>
        </w:tc>
      </w:tr>
    </w:tbl>
    <w:p>
      <w:pPr>
        <w:sectPr>
          <w:headerReference w:type="default" r:id="rId23"/>
          <w:headerReference w:type="first" r:id="rId24"/>
          <w:footerReference w:type="default" r:id="rId25"/>
          <w:footerReference w:type="first" r:id="rId26"/>
          <w:type w:val="nextPage"/>
          <w:pgSz w:w="12240" w:h="15840"/>
          <w:pgMar w:left="1584" w:right="1296" w:gutter="0" w:header="288" w:top="1440" w:footer="504" w:bottom="1440"/>
          <w:pgNumType w:fmt="decimal"/>
          <w:formProt w:val="false"/>
          <w:titlePg/>
          <w:textDirection w:val="lrTb"/>
          <w:docGrid w:type="default" w:linePitch="360" w:charSpace="0"/>
        </w:sectPr>
      </w:pPr>
    </w:p>
    <w:p>
      <w:pPr>
        <w:pStyle w:val="TabPage"/>
        <w:rPr/>
      </w:pPr>
      <w:r>
        <w:rPr/>
        <w:t>project description</w:t>
      </w:r>
      <w:r>
        <w:br w:type="page"/>
      </w:r>
    </w:p>
    <w:p>
      <w:pPr>
        <w:pStyle w:val="Textbold"/>
        <w:rPr/>
      </w:pPr>
      <w:r>
        <w:rPr/>
        <w:t>Plant Description</w:t>
      </w:r>
    </w:p>
    <w:p>
      <w:pPr>
        <w:pStyle w:val="WW-Text"/>
        <w:rPr/>
      </w:pPr>
      <w:r>
        <w:rPr/>
        <w:t>The Project consists of the design, construction, ownership, operation and maintenance of:</w:t>
      </w:r>
    </w:p>
    <w:p>
      <w:pPr>
        <w:pStyle w:val="Bullet1"/>
        <w:numPr>
          <w:ilvl w:val="0"/>
          <w:numId w:val="12"/>
        </w:numPr>
        <w:ind w:hanging="0" w:start="0"/>
        <w:rPr/>
      </w:pPr>
      <w:r>
        <w:rPr/>
        <w:t>a natural gas-fired, cogeneration power station designed to produce, net of internal consumption, 245 MW of electricity and up to 235 MTPH of steam;</w:t>
      </w:r>
    </w:p>
    <w:p>
      <w:pPr>
        <w:pStyle w:val="Bullet1"/>
        <w:numPr>
          <w:ilvl w:val="0"/>
          <w:numId w:val="12"/>
        </w:numPr>
        <w:ind w:hanging="0" w:start="0"/>
        <w:rPr/>
      </w:pPr>
      <w:r>
        <w:rPr/>
        <w:t>a 100 meter pipeline interconnection into two Pemex gas pipelines;</w:t>
      </w:r>
    </w:p>
    <w:p>
      <w:pPr>
        <w:pStyle w:val="Bullet1"/>
        <w:numPr>
          <w:ilvl w:val="0"/>
          <w:numId w:val="12"/>
        </w:numPr>
        <w:ind w:hanging="0" w:start="0"/>
        <w:rPr/>
      </w:pPr>
      <w:r>
        <w:rPr/>
        <w:t>an interconnection system to two of CFE’s substations;</w:t>
      </w:r>
    </w:p>
    <w:p>
      <w:pPr>
        <w:pStyle w:val="Bullet1"/>
        <w:numPr>
          <w:ilvl w:val="0"/>
          <w:numId w:val="12"/>
        </w:numPr>
        <w:ind w:hanging="0" w:start="0"/>
        <w:rPr/>
      </w:pPr>
      <w:r>
        <w:rPr/>
        <w:t xml:space="preserve">a local transmission network to serve some of the Vitro Subsidiaries; and </w:t>
      </w:r>
    </w:p>
    <w:p>
      <w:pPr>
        <w:pStyle w:val="Bullet1"/>
        <w:numPr>
          <w:ilvl w:val="0"/>
          <w:numId w:val="12"/>
        </w:numPr>
        <w:ind w:hanging="0" w:start="0"/>
        <w:rPr/>
      </w:pPr>
      <w:r>
        <w:rPr/>
        <w:t>other auxiliary equipment and systems.</w:t>
      </w:r>
    </w:p>
    <w:p>
      <w:pPr>
        <w:pStyle w:val="WW-Text"/>
        <w:rPr/>
      </w:pPr>
      <w:r>
        <w:rPr/>
        <w:t>The Project Company, Enron Energía Industrial de México, S. de R.L. de C.V. (“Enron Mexico” or the “Project Company”), a special-purpose project company incorporated under the laws of Mexico, was established to build, own and operate the Project.  Enron Energía Industrial de Mexico B.V (“EEIM”) owns 98.88% of the equity of the Project Company.</w:t>
      </w:r>
    </w:p>
    <w:p>
      <w:pPr>
        <w:pStyle w:val="WW-Text"/>
        <w:rPr/>
      </w:pPr>
      <w:r>
        <w:rPr/>
        <w:t>The plant configuration features one General Electric (“GE”) 7FA combustion turbine generator (“CTG”), nominally ISO rated at 171.7 MW.  The Frame 7F technology, introduced by GE in 1987, is considered mature technology, with over 100 units installed, 1.7 million fired hours and over 42,500 fired starts fleet-wide.  The Project will use the 7241FA turbine, which has been more recently introduced and includes upgrades that allow for higher firing temperatures.</w:t>
      </w:r>
    </w:p>
    <w:p>
      <w:pPr>
        <w:pStyle w:val="WW-Text"/>
        <w:rPr/>
      </w:pPr>
      <w:r>
        <w:rPr/>
        <w:t xml:space="preserve">The CTG will exhaust hot flue gas to a dedicated heat recovery steam generator (“HRSG”) producing superheated steam.  The selected manufacturer for the HRSG is Kawasaki Heavy Industries, Ltd (“Kawasaki”).  Steam from the HRSG will be admitted to a steam turbine generator, nominally rated at 100 MW at 60Hz.  The steam turbine, to be supplied by Fuji Electric, will have a single shaft, axial flow exhaust into an air-cooled condenser. </w:t>
      </w:r>
    </w:p>
    <w:p>
      <w:pPr>
        <w:pStyle w:val="WW-Text"/>
        <w:rPr/>
      </w:pPr>
      <w:r>
        <w:rPr/>
        <w:t>As part of the Project, Enron Mexico will install an auxiliary steam generator to provide redundancy and an additional supply of steam to Alcali. The auxiliary steam generator will provide up to 235 MTPH of steam.  The schematic below outlines the Project design:</w:t>
      </w:r>
    </w:p>
    <w:p>
      <w:pPr>
        <w:pStyle w:val="Graphic"/>
        <w:rPr/>
      </w:pPr>
      <w:r>
        <w:rPr/>
        <w:drawing>
          <wp:inline distT="0" distB="0" distL="0" distR="0">
            <wp:extent cx="5302250" cy="246888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27"/>
                    <a:srcRect l="-7" t="-15" r="-7" b="-15"/>
                    <a:stretch>
                      <a:fillRect/>
                    </a:stretch>
                  </pic:blipFill>
                  <pic:spPr bwMode="auto">
                    <a:xfrm>
                      <a:off x="0" y="0"/>
                      <a:ext cx="5302250" cy="2468880"/>
                    </a:xfrm>
                    <a:prstGeom prst="rect">
                      <a:avLst/>
                    </a:prstGeom>
                    <a:noFill/>
                  </pic:spPr>
                </pic:pic>
              </a:graphicData>
            </a:graphic>
          </wp:inline>
        </w:drawing>
      </w:r>
    </w:p>
    <w:p>
      <w:pPr>
        <w:pStyle w:val="Spacerhalf"/>
        <w:rPr/>
      </w:pPr>
      <w:r>
        <w:rPr/>
      </w:r>
    </w:p>
    <w:p>
      <w:pPr>
        <w:pStyle w:val="Textbold"/>
        <w:rPr/>
      </w:pPr>
      <w:r>
        <w:rPr/>
        <w:t>Project Site</w:t>
      </w:r>
    </w:p>
    <w:p>
      <w:pPr>
        <w:pStyle w:val="WW-Text"/>
        <w:rPr/>
      </w:pPr>
      <w:r>
        <w:rPr/>
        <w:t>The Project Site is located adjacent to Alcali’s sodium carbonate plant in the municipality of García, in the State of Nuevo León, approximately 15 kilometers northwest of the city of Monterrey, Mexico.  Nuevo León accounts for approximately 6.8% of Mexico’s GDP.</w:t>
      </w:r>
    </w:p>
    <w:p>
      <w:pPr>
        <w:pStyle w:val="WW-Text"/>
        <w:rPr/>
      </w:pPr>
      <w:r>
        <w:rPr/>
        <w:t>The Project Site consists of a 7.5 hectares lot acquired by the Project Company from Alcali pursuant to the Real Estate Purchase Agreement, which was executed on June 14, 2000.  This lot is located in an area designated for industrial land use. The Project Site is located at kilometer 9.5 of the State Highway 16 García-Monterrey.  A railway station is located at the adjacent Alcali property.  The Project Site also has access to sea transport through a number of ports on the Gulf of Mexico.</w:t>
      </w:r>
    </w:p>
    <w:p>
      <w:pPr>
        <w:pStyle w:val="WW-Text"/>
        <w:rPr/>
      </w:pPr>
      <w:r>
        <w:rPr/>
        <w:t>The following map shows the location of the Project and of each of the Capacity Users that will be an electricity consumer of the Project, and the MWs to be taken by each under the PPAs.</w:t>
      </w:r>
    </w:p>
    <w:p>
      <w:pPr>
        <w:pStyle w:val="Graphic"/>
        <w:rPr/>
      </w:pPr>
      <w:r>
        <w:rPr/>
        <w:drawing>
          <wp:inline distT="0" distB="0" distL="0" distR="0">
            <wp:extent cx="5751830" cy="3773805"/>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28"/>
                    <a:srcRect l="-6" t="-10" r="-6" b="-10"/>
                    <a:stretch>
                      <a:fillRect/>
                    </a:stretch>
                  </pic:blipFill>
                  <pic:spPr bwMode="auto">
                    <a:xfrm>
                      <a:off x="0" y="0"/>
                      <a:ext cx="5751830" cy="3773805"/>
                    </a:xfrm>
                    <a:prstGeom prst="rect">
                      <a:avLst/>
                    </a:prstGeom>
                    <a:noFill/>
                  </pic:spPr>
                </pic:pic>
              </a:graphicData>
            </a:graphic>
          </wp:inline>
        </w:drawing>
      </w:r>
    </w:p>
    <w:p>
      <w:pPr>
        <w:pStyle w:val="Spacerhalf"/>
        <w:rPr/>
      </w:pPr>
      <w:r>
        <w:rPr/>
      </w:r>
    </w:p>
    <w:p>
      <w:pPr>
        <w:pStyle w:val="Textbold"/>
        <w:rPr/>
      </w:pPr>
      <w:r>
        <w:rPr/>
        <w:t>Contractual Structure and Project Ownership</w:t>
      </w:r>
    </w:p>
    <w:p>
      <w:pPr>
        <w:pStyle w:val="Textital"/>
        <w:rPr>
          <w:lang w:val="en-AU"/>
        </w:rPr>
      </w:pPr>
      <w:r>
        <w:rPr/>
        <w:t>Contractual Structure</w:t>
      </w:r>
    </w:p>
    <w:p>
      <w:pPr>
        <w:pStyle w:val="WW-Text"/>
        <w:keepNext w:val="true"/>
        <w:keepLines/>
        <w:spacing w:before="200" w:after="0"/>
        <w:rPr/>
      </w:pPr>
      <w:r>
        <w:rPr/>
        <w:t>The following diagrams provide an overview of the Project’s contractual structure:</w:t>
      </w:r>
    </w:p>
    <w:p>
      <w:pPr>
        <w:pStyle w:val="Spacerhalf"/>
        <w:keepNext w:val="true"/>
        <w:rPr>
          <w:lang w:val="en-AU"/>
        </w:rPr>
      </w:pPr>
      <w:r>
        <w:rPr>
          <w:lang w:val="en-AU"/>
        </w:rPr>
      </w:r>
    </w:p>
    <w:p>
      <w:pPr>
        <w:pStyle w:val="Hidden"/>
        <w:rPr>
          <w:lang w:val="en-AU"/>
        </w:rPr>
      </w:pPr>
      <w:r>
        <w:rPr>
          <w:lang w:val="en-AU"/>
        </w:rPr>
        <w:t>\\CFINNY03\wp\PC\Docs\E\0110260d  .ppt, Slide "1"</w:t>
      </w:r>
    </w:p>
    <w:p>
      <w:pPr>
        <w:pStyle w:val="WW-Text"/>
        <w:keepNext w:val="true"/>
        <w:keepLines/>
        <w:spacing w:before="200" w:after="0"/>
        <w:jc w:val="center"/>
        <w:rPr>
          <w:lang w:val="en-AU"/>
        </w:rPr>
      </w:pPr>
      <w:r>
        <w:rPr>
          <w:lang w:val="en-AU"/>
        </w:rPr>
        <w:drawing>
          <wp:inline distT="0" distB="0" distL="0" distR="0">
            <wp:extent cx="5162550" cy="377126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29"/>
                    <a:srcRect l="-8" t="-10" r="-8" b="-10"/>
                    <a:stretch>
                      <a:fillRect/>
                    </a:stretch>
                  </pic:blipFill>
                  <pic:spPr bwMode="auto">
                    <a:xfrm>
                      <a:off x="0" y="0"/>
                      <a:ext cx="5162550" cy="3771265"/>
                    </a:xfrm>
                    <a:prstGeom prst="rect">
                      <a:avLst/>
                    </a:prstGeom>
                    <a:noFill/>
                  </pic:spPr>
                </pic:pic>
              </a:graphicData>
            </a:graphic>
          </wp:inline>
        </w:drawing>
      </w:r>
    </w:p>
    <w:p>
      <w:pPr>
        <w:pStyle w:val="Spacerhalf"/>
        <w:rPr>
          <w:lang w:val="en-AU"/>
        </w:rPr>
      </w:pPr>
      <w:r>
        <w:rPr>
          <w:lang w:val="en-AU"/>
        </w:rPr>
      </w:r>
    </w:p>
    <w:p>
      <w:pPr>
        <w:pStyle w:val="Graphic"/>
        <w:numPr>
          <w:ilvl w:val="0"/>
          <w:numId w:val="7"/>
        </w:numPr>
        <w:jc w:val="both"/>
        <w:rPr>
          <w:rFonts w:ascii="Times New Roman" w:hAnsi="Times New Roman" w:cs="Times New Roman"/>
          <w:sz w:val="15"/>
          <w:lang w:val="en-AU"/>
        </w:rPr>
      </w:pPr>
      <w:r>
        <w:rPr>
          <w:rFonts w:cs="Times New Roman" w:ascii="Times New Roman" w:hAnsi="Times New Roman"/>
          <w:sz w:val="15"/>
          <w:lang w:val="en-AU"/>
        </w:rPr>
        <w:t>Indirect, wholly-owned subsidiaries of Enron.</w:t>
      </w:r>
    </w:p>
    <w:p>
      <w:pPr>
        <w:pStyle w:val="Spacerhalf"/>
        <w:rPr>
          <w:rFonts w:ascii="Times New Roman" w:hAnsi="Times New Roman" w:cs="Times New Roman"/>
          <w:sz w:val="15"/>
          <w:lang w:val="en-AU"/>
        </w:rPr>
      </w:pPr>
      <w:r>
        <w:rPr>
          <w:rFonts w:cs="Times New Roman" w:ascii="Times New Roman" w:hAnsi="Times New Roman"/>
          <w:sz w:val="15"/>
          <w:lang w:val="en-AU"/>
        </w:rPr>
      </w:r>
    </w:p>
    <w:p>
      <w:pPr>
        <w:pStyle w:val="Textital"/>
        <w:rPr/>
      </w:pPr>
      <w:r>
        <w:rPr/>
        <w:t>Ownership Structure</w:t>
      </w:r>
    </w:p>
    <w:p>
      <w:pPr>
        <w:pStyle w:val="WW-Text"/>
        <w:keepNext w:val="true"/>
        <w:keepLines/>
        <w:spacing w:before="200" w:after="0"/>
        <w:rPr/>
      </w:pPr>
      <w:r>
        <w:rPr/>
        <w:t>The following diagrams provide an overview of the Project’s ownership structure:</w:t>
      </w:r>
    </w:p>
    <w:p>
      <w:pPr>
        <w:pStyle w:val="Spacerhalf"/>
        <w:keepNext w:val="true"/>
        <w:rPr/>
      </w:pPr>
      <w:r>
        <w:rPr/>
      </w:r>
    </w:p>
    <w:p>
      <w:pPr>
        <w:pStyle w:val="Hidden"/>
        <w:rPr>
          <w:lang w:val="en-AU"/>
        </w:rPr>
      </w:pPr>
      <w:r>
        <w:rPr>
          <w:lang w:val="en-AU"/>
        </w:rPr>
        <w:t>\\CFINNY03\wp\PC\Docs\E\0110260b.ppt, Slide "1"</w:t>
      </w:r>
    </w:p>
    <w:p>
      <w:pPr>
        <w:pStyle w:val="Graphic"/>
        <w:rPr>
          <w:lang w:val="en-AU"/>
        </w:rPr>
      </w:pPr>
      <w:r>
        <w:rPr>
          <w:lang w:val="en-AU"/>
        </w:rPr>
        <w:drawing>
          <wp:inline distT="0" distB="0" distL="0" distR="0">
            <wp:extent cx="5065395" cy="3865880"/>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30"/>
                    <a:srcRect l="-7" t="-9" r="-7" b="-9"/>
                    <a:stretch>
                      <a:fillRect/>
                    </a:stretch>
                  </pic:blipFill>
                  <pic:spPr bwMode="auto">
                    <a:xfrm>
                      <a:off x="0" y="0"/>
                      <a:ext cx="5065395" cy="3865880"/>
                    </a:xfrm>
                    <a:prstGeom prst="rect">
                      <a:avLst/>
                    </a:prstGeom>
                    <a:noFill/>
                  </pic:spPr>
                </pic:pic>
              </a:graphicData>
            </a:graphic>
          </wp:inline>
        </w:drawing>
      </w:r>
    </w:p>
    <w:p>
      <w:pPr>
        <w:pStyle w:val="Spacerhalf"/>
        <w:rPr>
          <w:lang w:val="en-AU"/>
        </w:rPr>
      </w:pPr>
      <w:r>
        <w:rPr>
          <w:lang w:val="en-AU"/>
        </w:rPr>
      </w:r>
    </w:p>
    <w:p>
      <w:pPr>
        <w:pStyle w:val="Textbold"/>
        <w:rPr/>
      </w:pPr>
      <w:r>
        <w:rPr/>
        <w:t>Construction Arrangements</w:t>
      </w:r>
    </w:p>
    <w:p>
      <w:pPr>
        <w:pStyle w:val="WW-Text"/>
        <w:rPr/>
      </w:pPr>
      <w:r>
        <w:rPr/>
        <w:t xml:space="preserve">The Project will be designed, engineered and constructed by Mitsui pursuant to an approximate US$134.3 million fixed-price, date certain, engineering, procurement and construction contract (the “EPC Contract”).  The EPC Contract contains liquidated damage provisions securing timely completion as well as certain performance and output specifications.  Aggregate liquidated damages are limited to 50% of the EPC Contract price for failure to achieve provisional acceptance.  Upon achieving provisional acceptance, the liability for liquidated damages is reduced to 30% of the EPC Contract price.  The notice to proceed is expected to be given to Mitsui in November 2000.  </w:t>
      </w:r>
    </w:p>
    <w:p>
      <w:pPr>
        <w:pStyle w:val="WW-Text"/>
        <w:rPr/>
      </w:pPr>
      <w:r>
        <w:rPr/>
        <w:t>The table below outlines some of the guaranties and associated liquidated damages contemplated under the EPC Contract:</w:t>
      </w:r>
    </w:p>
    <w:p>
      <w:pPr>
        <w:pStyle w:val="Spacer"/>
        <w:rPr/>
      </w:pPr>
      <w:r>
        <w:rPr/>
      </w:r>
      <w:r>
        <w:br w:type="page"/>
      </w:r>
    </w:p>
    <w:tbl>
      <w:tblPr>
        <w:tblW w:w="9360" w:type="dxa"/>
        <w:jc w:val="start"/>
        <w:tblInd w:w="0" w:type="dxa"/>
        <w:tblLayout w:type="fixed"/>
        <w:tblCellMar>
          <w:top w:w="0" w:type="dxa"/>
          <w:start w:w="0" w:type="dxa"/>
          <w:bottom w:w="0" w:type="dxa"/>
          <w:end w:w="0" w:type="dxa"/>
        </w:tblCellMar>
      </w:tblPr>
      <w:tblGrid>
        <w:gridCol w:w="3330"/>
        <w:gridCol w:w="6030"/>
      </w:tblGrid>
      <w:tr>
        <w:trPr/>
        <w:tc>
          <w:tcPr>
            <w:tcW w:w="3330" w:type="dxa"/>
            <w:tcBorders>
              <w:bottom w:val="single" w:sz="6" w:space="0" w:color="000000"/>
            </w:tcBorders>
          </w:tcPr>
          <w:p>
            <w:pPr>
              <w:pStyle w:val="Normal"/>
              <w:pageBreakBefore/>
              <w:numPr>
                <w:ilvl w:val="0"/>
                <w:numId w:val="0"/>
              </w:numPr>
              <w:spacing w:before="60" w:after="60"/>
              <w:ind w:hanging="0" w:start="0"/>
              <w:rPr>
                <w:b/>
                <w:sz w:val="20"/>
              </w:rPr>
            </w:pPr>
            <w:r>
              <w:rPr>
                <w:b/>
                <w:sz w:val="20"/>
              </w:rPr>
              <w:t xml:space="preserve"> </w:t>
            </w:r>
          </w:p>
        </w:tc>
        <w:tc>
          <w:tcPr>
            <w:tcW w:w="6030" w:type="dxa"/>
            <w:tcBorders>
              <w:bottom w:val="single" w:sz="6" w:space="0" w:color="000000"/>
            </w:tcBorders>
          </w:tcPr>
          <w:p>
            <w:pPr>
              <w:pStyle w:val="Normal"/>
              <w:numPr>
                <w:ilvl w:val="0"/>
                <w:numId w:val="0"/>
              </w:numPr>
              <w:spacing w:before="60" w:after="60"/>
              <w:ind w:hanging="0" w:start="0"/>
              <w:rPr>
                <w:b/>
                <w:sz w:val="19"/>
              </w:rPr>
            </w:pPr>
            <w:r>
              <w:rPr>
                <w:b/>
                <w:sz w:val="19"/>
              </w:rPr>
              <w:t>Guaranties</w:t>
            </w:r>
          </w:p>
        </w:tc>
      </w:tr>
      <w:tr>
        <w:trPr/>
        <w:tc>
          <w:tcPr>
            <w:tcW w:w="3330" w:type="dxa"/>
            <w:tcBorders/>
          </w:tcPr>
          <w:p>
            <w:pPr>
              <w:pStyle w:val="Normal"/>
              <w:numPr>
                <w:ilvl w:val="0"/>
                <w:numId w:val="0"/>
              </w:numPr>
              <w:spacing w:before="120" w:after="0"/>
              <w:ind w:hanging="0" w:start="0"/>
              <w:rPr>
                <w:sz w:val="20"/>
              </w:rPr>
            </w:pPr>
            <w:r>
              <w:rPr>
                <w:sz w:val="20"/>
              </w:rPr>
              <w:t>Completion Date</w:t>
            </w:r>
          </w:p>
        </w:tc>
        <w:tc>
          <w:tcPr>
            <w:tcW w:w="6030" w:type="dxa"/>
            <w:tcBorders/>
          </w:tcPr>
          <w:p>
            <w:pPr>
              <w:pStyle w:val="Header"/>
              <w:numPr>
                <w:ilvl w:val="0"/>
                <w:numId w:val="0"/>
              </w:numPr>
              <w:tabs>
                <w:tab w:val="clear" w:pos="4320"/>
                <w:tab w:val="clear" w:pos="8640"/>
              </w:tabs>
              <w:spacing w:before="120" w:after="0"/>
              <w:ind w:hanging="0" w:start="0"/>
              <w:rPr>
                <w:sz w:val="20"/>
              </w:rPr>
            </w:pPr>
            <w:r>
              <w:rPr>
                <w:sz w:val="20"/>
              </w:rPr>
              <w:t>660 days after the Notice to Proceed Date, expected to be November, 2000</w:t>
            </w:r>
          </w:p>
        </w:tc>
      </w:tr>
      <w:tr>
        <w:trPr/>
        <w:tc>
          <w:tcPr>
            <w:tcW w:w="3330" w:type="dxa"/>
            <w:tcBorders/>
          </w:tcPr>
          <w:p>
            <w:pPr>
              <w:pStyle w:val="Normal"/>
              <w:numPr>
                <w:ilvl w:val="0"/>
                <w:numId w:val="0"/>
              </w:numPr>
              <w:ind w:hanging="0" w:start="0"/>
              <w:rPr>
                <w:sz w:val="20"/>
              </w:rPr>
            </w:pPr>
            <w:r>
              <w:rPr>
                <w:sz w:val="20"/>
              </w:rPr>
              <w:t>Net Electrical Output</w:t>
            </w:r>
          </w:p>
        </w:tc>
        <w:tc>
          <w:tcPr>
            <w:tcW w:w="6030" w:type="dxa"/>
            <w:tcBorders/>
          </w:tcPr>
          <w:p>
            <w:pPr>
              <w:pStyle w:val="Normal"/>
              <w:numPr>
                <w:ilvl w:val="0"/>
                <w:numId w:val="0"/>
              </w:numPr>
              <w:ind w:hanging="0" w:start="0"/>
              <w:rPr>
                <w:sz w:val="20"/>
              </w:rPr>
            </w:pPr>
            <w:r>
              <w:rPr>
                <w:sz w:val="20"/>
              </w:rPr>
              <w:t>252,500 kW</w:t>
            </w:r>
          </w:p>
        </w:tc>
      </w:tr>
      <w:tr>
        <w:trPr/>
        <w:tc>
          <w:tcPr>
            <w:tcW w:w="3330" w:type="dxa"/>
            <w:tcBorders/>
          </w:tcPr>
          <w:p>
            <w:pPr>
              <w:pStyle w:val="Normal"/>
              <w:numPr>
                <w:ilvl w:val="0"/>
                <w:numId w:val="0"/>
              </w:numPr>
              <w:ind w:hanging="0" w:start="0"/>
              <w:rPr>
                <w:sz w:val="20"/>
              </w:rPr>
            </w:pPr>
            <w:r>
              <w:rPr>
                <w:sz w:val="20"/>
              </w:rPr>
              <w:t>Heat Rate (Summer Ambient HHV)</w:t>
            </w:r>
          </w:p>
        </w:tc>
        <w:tc>
          <w:tcPr>
            <w:tcW w:w="6030" w:type="dxa"/>
            <w:tcBorders/>
          </w:tcPr>
          <w:p>
            <w:pPr>
              <w:pStyle w:val="Normal"/>
              <w:numPr>
                <w:ilvl w:val="0"/>
                <w:numId w:val="0"/>
              </w:numPr>
              <w:ind w:hanging="0" w:start="0"/>
              <w:rPr>
                <w:sz w:val="20"/>
              </w:rPr>
            </w:pPr>
            <w:r>
              <w:rPr>
                <w:sz w:val="20"/>
              </w:rPr>
              <w:t>8,964 BTU/kWh</w:t>
            </w:r>
          </w:p>
        </w:tc>
      </w:tr>
      <w:tr>
        <w:trPr/>
        <w:tc>
          <w:tcPr>
            <w:tcW w:w="3330" w:type="dxa"/>
            <w:tcBorders/>
          </w:tcPr>
          <w:p>
            <w:pPr>
              <w:pStyle w:val="Normal"/>
              <w:numPr>
                <w:ilvl w:val="0"/>
                <w:numId w:val="0"/>
              </w:numPr>
              <w:ind w:hanging="0" w:start="0"/>
              <w:rPr>
                <w:sz w:val="20"/>
              </w:rPr>
            </w:pPr>
            <w:r>
              <w:rPr>
                <w:sz w:val="20"/>
              </w:rPr>
              <w:t>Plant Steam Output</w:t>
            </w:r>
          </w:p>
        </w:tc>
        <w:tc>
          <w:tcPr>
            <w:tcW w:w="6030" w:type="dxa"/>
            <w:tcBorders/>
          </w:tcPr>
          <w:p>
            <w:pPr>
              <w:pStyle w:val="Normal"/>
              <w:numPr>
                <w:ilvl w:val="0"/>
                <w:numId w:val="0"/>
              </w:numPr>
              <w:ind w:hanging="0" w:start="0"/>
              <w:rPr>
                <w:sz w:val="20"/>
              </w:rPr>
            </w:pPr>
            <w:r>
              <w:rPr>
                <w:sz w:val="20"/>
              </w:rPr>
              <w:t>180 MTPH</w:t>
            </w:r>
          </w:p>
        </w:tc>
      </w:tr>
      <w:tr>
        <w:trPr/>
        <w:tc>
          <w:tcPr>
            <w:tcW w:w="3330" w:type="dxa"/>
            <w:tcBorders>
              <w:bottom w:val="single" w:sz="4" w:space="0" w:color="000000"/>
            </w:tcBorders>
          </w:tcPr>
          <w:p>
            <w:pPr>
              <w:pStyle w:val="Normal"/>
              <w:numPr>
                <w:ilvl w:val="0"/>
                <w:numId w:val="0"/>
              </w:numPr>
              <w:ind w:hanging="0" w:start="0"/>
              <w:rPr>
                <w:sz w:val="20"/>
              </w:rPr>
            </w:pPr>
            <w:r>
              <w:rPr>
                <w:sz w:val="20"/>
              </w:rPr>
              <w:t>Auxiliary Boiler Steam Output</w:t>
            </w:r>
          </w:p>
        </w:tc>
        <w:tc>
          <w:tcPr>
            <w:tcW w:w="6030" w:type="dxa"/>
            <w:tcBorders>
              <w:bottom w:val="single" w:sz="4" w:space="0" w:color="000000"/>
            </w:tcBorders>
          </w:tcPr>
          <w:p>
            <w:pPr>
              <w:pStyle w:val="Normal"/>
              <w:numPr>
                <w:ilvl w:val="0"/>
                <w:numId w:val="0"/>
              </w:numPr>
              <w:ind w:hanging="0" w:start="0"/>
              <w:rPr>
                <w:sz w:val="20"/>
              </w:rPr>
            </w:pPr>
            <w:r>
              <w:rPr>
                <w:sz w:val="20"/>
              </w:rPr>
              <w:t>235 MTPH</w:t>
            </w:r>
          </w:p>
        </w:tc>
      </w:tr>
    </w:tbl>
    <w:p>
      <w:pPr>
        <w:pStyle w:val="Spacerhalf"/>
        <w:rPr/>
      </w:pPr>
      <w:r>
        <w:rPr/>
      </w:r>
    </w:p>
    <w:p>
      <w:pPr>
        <w:pStyle w:val="WW-Text"/>
        <w:rPr/>
      </w:pPr>
      <w:r>
        <w:rPr/>
        <w:t>It is expected that Mitsui will subcontract the design and engineering to Sargent &amp; Lundy, some of the equipment sourcing (including the HRSG and the air-cooled condenser) to Kawasaki, and the civil works to Constructora Keppler, S.A. de C.V. (“Keppler”).</w:t>
      </w:r>
    </w:p>
    <w:p>
      <w:pPr>
        <w:pStyle w:val="Textbold"/>
        <w:rPr/>
      </w:pPr>
      <w:r>
        <w:rPr/>
        <w:t>Operation Arrangements</w:t>
      </w:r>
    </w:p>
    <w:p>
      <w:pPr>
        <w:pStyle w:val="WW-Text"/>
        <w:rPr/>
      </w:pPr>
      <w:r>
        <w:rPr/>
        <w:t xml:space="preserve">OEC and OEC Mexico (together the “Operators”), wholly-owned subsidiaries of Enron Engineering &amp; Construction Company, have entered into a 15-year offshore technical assistance agreement (the “Technical Agreement”) and a 15-year onshore operation and maintenance supervision agreement (the “O&amp;M Supervision Agreement”) respectively, to manage, operate and maintain the Project.  </w:t>
      </w:r>
    </w:p>
    <w:p>
      <w:pPr>
        <w:pStyle w:val="WW-Text"/>
        <w:rPr/>
      </w:pPr>
      <w:r>
        <w:rPr/>
        <w:t>The scope of the Operators’ work is summarized as follows:</w:t>
      </w:r>
    </w:p>
    <w:p>
      <w:pPr>
        <w:pStyle w:val="WW-Text"/>
        <w:rPr/>
      </w:pPr>
      <w:r>
        <w:rPr/>
        <w:t>Pre-mobilization and mobilization periods services will include:</w:t>
      </w:r>
    </w:p>
    <w:p>
      <w:pPr>
        <w:pStyle w:val="Bullet1"/>
        <w:numPr>
          <w:ilvl w:val="0"/>
          <w:numId w:val="12"/>
        </w:numPr>
        <w:ind w:hanging="0" w:start="0"/>
        <w:rPr/>
      </w:pPr>
      <w:r>
        <w:rPr/>
        <w:t>preparing a budget and plan for the pre-mobilization and the mobilization periods</w:t>
      </w:r>
    </w:p>
    <w:p>
      <w:pPr>
        <w:pStyle w:val="Bullet1"/>
        <w:numPr>
          <w:ilvl w:val="0"/>
          <w:numId w:val="12"/>
        </w:numPr>
        <w:ind w:hanging="0" w:start="0"/>
        <w:rPr/>
      </w:pPr>
      <w:r>
        <w:rPr/>
        <w:t>reviewing the list of all spare parts</w:t>
      </w:r>
    </w:p>
    <w:p>
      <w:pPr>
        <w:pStyle w:val="Bullet1"/>
        <w:numPr>
          <w:ilvl w:val="0"/>
          <w:numId w:val="12"/>
        </w:numPr>
        <w:ind w:hanging="0" w:start="0"/>
        <w:rPr/>
      </w:pPr>
      <w:r>
        <w:rPr/>
        <w:t>preparing operation and maintenance manuals</w:t>
      </w:r>
    </w:p>
    <w:p>
      <w:pPr>
        <w:pStyle w:val="Bullet1"/>
        <w:numPr>
          <w:ilvl w:val="0"/>
          <w:numId w:val="12"/>
        </w:numPr>
        <w:ind w:hanging="0" w:start="0"/>
        <w:rPr/>
      </w:pPr>
      <w:r>
        <w:rPr/>
        <w:t>hiring and training qualified personnel</w:t>
      </w:r>
    </w:p>
    <w:p>
      <w:pPr>
        <w:pStyle w:val="Bullet1"/>
        <w:numPr>
          <w:ilvl w:val="0"/>
          <w:numId w:val="12"/>
        </w:numPr>
        <w:ind w:hanging="0" w:start="0"/>
        <w:rPr/>
      </w:pPr>
      <w:r>
        <w:rPr/>
        <w:t>preparing environmental, health and safety plans</w:t>
      </w:r>
    </w:p>
    <w:p>
      <w:pPr>
        <w:pStyle w:val="WW-Text"/>
        <w:rPr/>
      </w:pPr>
      <w:r>
        <w:rPr/>
        <w:t>Operating period will include:</w:t>
      </w:r>
    </w:p>
    <w:p>
      <w:pPr>
        <w:pStyle w:val="Bullet1"/>
        <w:numPr>
          <w:ilvl w:val="0"/>
          <w:numId w:val="12"/>
        </w:numPr>
        <w:ind w:hanging="0" w:start="0"/>
        <w:rPr/>
      </w:pPr>
      <w:r>
        <w:rPr/>
        <w:t>preparing a budget and an operating plan, each year</w:t>
      </w:r>
    </w:p>
    <w:p>
      <w:pPr>
        <w:pStyle w:val="Bullet1"/>
        <w:numPr>
          <w:ilvl w:val="0"/>
          <w:numId w:val="12"/>
        </w:numPr>
        <w:ind w:hanging="0" w:start="0"/>
        <w:rPr/>
      </w:pPr>
      <w:r>
        <w:rPr/>
        <w:t>performing day-to-day operations, performing or contracting and overseeing the performance of scheduled and unscheduled maintenance</w:t>
      </w:r>
    </w:p>
    <w:p>
      <w:pPr>
        <w:pStyle w:val="Bullet1"/>
        <w:numPr>
          <w:ilvl w:val="0"/>
          <w:numId w:val="12"/>
        </w:numPr>
        <w:ind w:hanging="0" w:start="0"/>
        <w:rPr/>
      </w:pPr>
      <w:r>
        <w:rPr/>
        <w:t>procuring of fuel</w:t>
      </w:r>
    </w:p>
    <w:p>
      <w:pPr>
        <w:pStyle w:val="Bullet1"/>
        <w:numPr>
          <w:ilvl w:val="0"/>
          <w:numId w:val="12"/>
        </w:numPr>
        <w:ind w:hanging="0" w:start="0"/>
        <w:rPr/>
      </w:pPr>
      <w:r>
        <w:rPr/>
        <w:t>maintaining buildings, roads and utilities on the site</w:t>
      </w:r>
    </w:p>
    <w:p>
      <w:pPr>
        <w:pStyle w:val="Bullet1"/>
        <w:keepNext w:val="true"/>
        <w:numPr>
          <w:ilvl w:val="0"/>
          <w:numId w:val="12"/>
        </w:numPr>
        <w:ind w:hanging="0" w:start="0"/>
        <w:rPr/>
      </w:pPr>
      <w:r>
        <w:rPr/>
        <w:t>maintaining sufficient numbers of qualified personnel</w:t>
      </w:r>
    </w:p>
    <w:p>
      <w:pPr>
        <w:pStyle w:val="Bullet1"/>
        <w:numPr>
          <w:ilvl w:val="0"/>
          <w:numId w:val="12"/>
        </w:numPr>
        <w:ind w:hanging="0" w:start="0"/>
        <w:rPr/>
      </w:pPr>
      <w:r>
        <w:rPr/>
        <w:t>coordinating dispatch procedures</w:t>
      </w:r>
    </w:p>
    <w:p>
      <w:pPr>
        <w:pStyle w:val="WW-Text"/>
        <w:rPr/>
      </w:pPr>
      <w:r>
        <w:rPr/>
        <w:t>The Technical Agreement establishes bonuses and penalties for plant efficiency and availability based upon the guaranteed values of efficiency and availability set forth in the PPAs.  Both bonuses and penalties are capped at US$250,000 per year (subject to escalation).  All OEC’s and OEC Mexico’s payment obligations are backed by a US$5 million Enron guaranty.</w:t>
      </w:r>
      <w:r>
        <w:br w:type="page"/>
      </w:r>
    </w:p>
    <w:p>
      <w:pPr>
        <w:pStyle w:val="Textbold"/>
        <w:rPr/>
      </w:pPr>
      <w:r>
        <w:rPr/>
        <w:t>Off-take Agreements</w:t>
      </w:r>
    </w:p>
    <w:p>
      <w:pPr>
        <w:pStyle w:val="WW-Text"/>
        <w:rPr/>
      </w:pPr>
      <w:r>
        <w:rPr/>
        <w:t>Enron Mexico expects to sell electricity from the Project to the Capacity Users as follows:</w:t>
      </w:r>
    </w:p>
    <w:p>
      <w:pPr>
        <w:pStyle w:val="Spacer"/>
        <w:rPr/>
      </w:pPr>
      <w:r>
        <w:rPr/>
      </w:r>
    </w:p>
    <w:tbl>
      <w:tblPr>
        <w:tblW w:w="9540" w:type="dxa"/>
        <w:jc w:val="start"/>
        <w:tblInd w:w="0" w:type="dxa"/>
        <w:tblLayout w:type="fixed"/>
        <w:tblCellMar>
          <w:top w:w="0" w:type="dxa"/>
          <w:start w:w="0" w:type="dxa"/>
          <w:bottom w:w="0" w:type="dxa"/>
          <w:end w:w="0" w:type="dxa"/>
        </w:tblCellMar>
      </w:tblPr>
      <w:tblGrid>
        <w:gridCol w:w="4590"/>
        <w:gridCol w:w="2700"/>
        <w:gridCol w:w="2250"/>
      </w:tblGrid>
      <w:tr>
        <w:trPr/>
        <w:tc>
          <w:tcPr>
            <w:tcW w:w="4590" w:type="dxa"/>
            <w:tcBorders>
              <w:bottom w:val="single" w:sz="6" w:space="0" w:color="000000"/>
            </w:tcBorders>
          </w:tcPr>
          <w:p>
            <w:pPr>
              <w:pStyle w:val="Normal"/>
              <w:spacing w:before="60" w:after="60"/>
              <w:jc w:val="both"/>
              <w:rPr>
                <w:b/>
                <w:sz w:val="21"/>
              </w:rPr>
            </w:pPr>
            <w:r>
              <w:rPr>
                <w:b/>
                <w:sz w:val="21"/>
              </w:rPr>
              <w:t xml:space="preserve">Entity (joint venture partner) </w:t>
            </w:r>
          </w:p>
        </w:tc>
        <w:tc>
          <w:tcPr>
            <w:tcW w:w="2700" w:type="dxa"/>
            <w:tcBorders>
              <w:bottom w:val="single" w:sz="6" w:space="0" w:color="000000"/>
            </w:tcBorders>
          </w:tcPr>
          <w:p>
            <w:pPr>
              <w:pStyle w:val="Normal"/>
              <w:spacing w:before="60" w:after="60"/>
              <w:jc w:val="center"/>
              <w:rPr>
                <w:b/>
                <w:sz w:val="21"/>
              </w:rPr>
            </w:pPr>
            <w:r>
              <w:rPr>
                <w:b/>
                <w:sz w:val="21"/>
              </w:rPr>
              <w:t xml:space="preserve">Amount of Power (MWs) </w:t>
            </w:r>
          </w:p>
        </w:tc>
        <w:tc>
          <w:tcPr>
            <w:tcW w:w="2250" w:type="dxa"/>
            <w:tcBorders>
              <w:bottom w:val="single" w:sz="6" w:space="0" w:color="000000"/>
            </w:tcBorders>
          </w:tcPr>
          <w:p>
            <w:pPr>
              <w:pStyle w:val="Normal"/>
              <w:spacing w:before="60" w:after="60"/>
              <w:jc w:val="center"/>
              <w:rPr>
                <w:b/>
                <w:sz w:val="21"/>
              </w:rPr>
            </w:pPr>
            <w:r>
              <w:rPr>
                <w:b/>
                <w:sz w:val="21"/>
              </w:rPr>
              <w:t>% of Power</w:t>
            </w:r>
          </w:p>
        </w:tc>
      </w:tr>
      <w:tr>
        <w:trPr/>
        <w:tc>
          <w:tcPr>
            <w:tcW w:w="4590" w:type="dxa"/>
            <w:tcBorders/>
          </w:tcPr>
          <w:p>
            <w:pPr>
              <w:pStyle w:val="Normal"/>
              <w:spacing w:before="120" w:after="0"/>
              <w:rPr/>
            </w:pPr>
            <w:r>
              <w:rPr/>
              <w:t>Apasco Subsidiaries</w:t>
            </w:r>
          </w:p>
        </w:tc>
        <w:tc>
          <w:tcPr>
            <w:tcW w:w="2700" w:type="dxa"/>
            <w:tcBorders/>
          </w:tcPr>
          <w:p>
            <w:pPr>
              <w:pStyle w:val="Normal"/>
              <w:tabs>
                <w:tab w:val="clear" w:pos="720"/>
                <w:tab w:val="decimal" w:pos="1450" w:leader="none"/>
              </w:tabs>
              <w:spacing w:before="120" w:after="0"/>
              <w:ind w:start="1030" w:end="1030"/>
              <w:rPr/>
            </w:pPr>
            <w:r>
              <w:rPr/>
              <w:t>40.0</w:t>
            </w:r>
          </w:p>
        </w:tc>
        <w:tc>
          <w:tcPr>
            <w:tcW w:w="2250" w:type="dxa"/>
            <w:tcBorders/>
          </w:tcPr>
          <w:p>
            <w:pPr>
              <w:pStyle w:val="Normal"/>
              <w:tabs>
                <w:tab w:val="clear" w:pos="720"/>
                <w:tab w:val="decimal" w:pos="1225" w:leader="none"/>
              </w:tabs>
              <w:spacing w:before="120" w:after="0"/>
              <w:ind w:start="695" w:end="695"/>
              <w:rPr/>
            </w:pPr>
            <w:r>
              <w:rPr/>
              <w:t>16.3%</w:t>
            </w:r>
          </w:p>
        </w:tc>
      </w:tr>
      <w:tr>
        <w:trPr/>
        <w:tc>
          <w:tcPr>
            <w:tcW w:w="4590" w:type="dxa"/>
            <w:tcBorders/>
          </w:tcPr>
          <w:p>
            <w:pPr>
              <w:pStyle w:val="Normal"/>
              <w:rPr/>
            </w:pPr>
            <w:r>
              <w:rPr/>
              <w:t>IMSA Subsidiaries</w:t>
            </w:r>
          </w:p>
        </w:tc>
        <w:tc>
          <w:tcPr>
            <w:tcW w:w="2700" w:type="dxa"/>
            <w:tcBorders/>
          </w:tcPr>
          <w:p>
            <w:pPr>
              <w:pStyle w:val="Normal"/>
              <w:tabs>
                <w:tab w:val="clear" w:pos="720"/>
                <w:tab w:val="decimal" w:pos="1450" w:leader="none"/>
              </w:tabs>
              <w:ind w:start="1030" w:end="1030"/>
              <w:rPr/>
            </w:pPr>
            <w:r>
              <w:rPr/>
              <w:t>90.0</w:t>
            </w:r>
          </w:p>
        </w:tc>
        <w:tc>
          <w:tcPr>
            <w:tcW w:w="2250" w:type="dxa"/>
            <w:tcBorders/>
          </w:tcPr>
          <w:p>
            <w:pPr>
              <w:pStyle w:val="Normal"/>
              <w:tabs>
                <w:tab w:val="clear" w:pos="720"/>
                <w:tab w:val="decimal" w:pos="1225" w:leader="none"/>
              </w:tabs>
              <w:ind w:start="695" w:end="695"/>
              <w:rPr/>
            </w:pPr>
            <w:r>
              <w:rPr/>
              <w:t>36.7</w:t>
            </w:r>
          </w:p>
        </w:tc>
      </w:tr>
      <w:tr>
        <w:trPr/>
        <w:tc>
          <w:tcPr>
            <w:tcW w:w="4590" w:type="dxa"/>
            <w:tcBorders/>
          </w:tcPr>
          <w:p>
            <w:pPr>
              <w:pStyle w:val="Normal"/>
              <w:rPr/>
            </w:pPr>
            <w:r>
              <w:rPr/>
              <w:t>Vitro Subsidiaries</w:t>
            </w:r>
          </w:p>
        </w:tc>
        <w:tc>
          <w:tcPr>
            <w:tcW w:w="2700" w:type="dxa"/>
            <w:tcBorders/>
          </w:tcPr>
          <w:p>
            <w:pPr>
              <w:pStyle w:val="Normal"/>
              <w:tabs>
                <w:tab w:val="clear" w:pos="720"/>
                <w:tab w:val="decimal" w:pos="1450" w:leader="none"/>
              </w:tabs>
              <w:ind w:start="1030" w:end="1030"/>
              <w:rPr/>
            </w:pPr>
            <w:r>
              <w:rPr/>
              <w:t>81.0</w:t>
            </w:r>
          </w:p>
        </w:tc>
        <w:tc>
          <w:tcPr>
            <w:tcW w:w="2250" w:type="dxa"/>
            <w:tcBorders/>
          </w:tcPr>
          <w:p>
            <w:pPr>
              <w:pStyle w:val="Normal"/>
              <w:tabs>
                <w:tab w:val="clear" w:pos="720"/>
                <w:tab w:val="decimal" w:pos="1225" w:leader="none"/>
              </w:tabs>
              <w:ind w:start="695" w:end="695"/>
              <w:rPr/>
            </w:pPr>
            <w:r>
              <w:rPr/>
              <w:t>33.1</w:t>
            </w:r>
          </w:p>
        </w:tc>
      </w:tr>
      <w:tr>
        <w:trPr/>
        <w:tc>
          <w:tcPr>
            <w:tcW w:w="4590" w:type="dxa"/>
            <w:tcBorders/>
          </w:tcPr>
          <w:p>
            <w:pPr>
              <w:pStyle w:val="Normal"/>
              <w:rPr/>
            </w:pPr>
            <w:r>
              <w:rPr/>
              <w:t>Vitro JVs:</w:t>
            </w:r>
          </w:p>
        </w:tc>
        <w:tc>
          <w:tcPr>
            <w:tcW w:w="2700" w:type="dxa"/>
            <w:tcBorders/>
          </w:tcPr>
          <w:p>
            <w:pPr>
              <w:pStyle w:val="Normal"/>
              <w:tabs>
                <w:tab w:val="clear" w:pos="720"/>
                <w:tab w:val="decimal" w:pos="1610" w:leader="none"/>
              </w:tabs>
              <w:snapToGrid w:val="false"/>
              <w:ind w:start="1030" w:end="1030"/>
              <w:rPr/>
            </w:pPr>
            <w:r>
              <w:rPr/>
            </w:r>
          </w:p>
        </w:tc>
        <w:tc>
          <w:tcPr>
            <w:tcW w:w="2250" w:type="dxa"/>
            <w:tcBorders/>
          </w:tcPr>
          <w:p>
            <w:pPr>
              <w:pStyle w:val="Normal"/>
              <w:tabs>
                <w:tab w:val="clear" w:pos="720"/>
                <w:tab w:val="decimal" w:pos="1385" w:leader="none"/>
              </w:tabs>
              <w:snapToGrid w:val="false"/>
              <w:ind w:start="695" w:end="695"/>
              <w:rPr/>
            </w:pPr>
            <w:r>
              <w:rPr/>
            </w:r>
          </w:p>
        </w:tc>
      </w:tr>
      <w:tr>
        <w:trPr/>
        <w:tc>
          <w:tcPr>
            <w:tcW w:w="4590" w:type="dxa"/>
            <w:tcBorders/>
          </w:tcPr>
          <w:p>
            <w:pPr>
              <w:pStyle w:val="Normal"/>
              <w:ind w:start="270" w:end="0"/>
              <w:rPr>
                <w:i/>
                <w:i/>
                <w:sz w:val="20"/>
              </w:rPr>
            </w:pPr>
            <w:r>
              <w:rPr>
                <w:i/>
                <w:sz w:val="20"/>
              </w:rPr>
              <w:t>Vitro Flex (Ford)</w:t>
            </w:r>
          </w:p>
        </w:tc>
        <w:tc>
          <w:tcPr>
            <w:tcW w:w="2700" w:type="dxa"/>
            <w:tcBorders/>
          </w:tcPr>
          <w:p>
            <w:pPr>
              <w:pStyle w:val="Normal"/>
              <w:tabs>
                <w:tab w:val="clear" w:pos="720"/>
                <w:tab w:val="decimal" w:pos="1450" w:leader="none"/>
              </w:tabs>
              <w:ind w:start="1030" w:end="1030"/>
              <w:rPr>
                <w:i/>
                <w:i/>
              </w:rPr>
            </w:pPr>
            <w:r>
              <w:rPr>
                <w:i/>
              </w:rPr>
              <w:t>7.4</w:t>
            </w:r>
          </w:p>
        </w:tc>
        <w:tc>
          <w:tcPr>
            <w:tcW w:w="2250" w:type="dxa"/>
            <w:tcBorders/>
          </w:tcPr>
          <w:p>
            <w:pPr>
              <w:pStyle w:val="Normal"/>
              <w:tabs>
                <w:tab w:val="clear" w:pos="720"/>
                <w:tab w:val="decimal" w:pos="1385" w:leader="none"/>
              </w:tabs>
              <w:ind w:start="695" w:end="695"/>
              <w:rPr/>
            </w:pPr>
            <w:r>
              <w:rPr/>
              <w:t>--</w:t>
            </w:r>
          </w:p>
        </w:tc>
      </w:tr>
      <w:tr>
        <w:trPr/>
        <w:tc>
          <w:tcPr>
            <w:tcW w:w="4590" w:type="dxa"/>
            <w:tcBorders/>
          </w:tcPr>
          <w:p>
            <w:pPr>
              <w:pStyle w:val="Normal"/>
              <w:ind w:start="270" w:end="0"/>
              <w:rPr>
                <w:i/>
                <w:i/>
                <w:sz w:val="20"/>
              </w:rPr>
            </w:pPr>
            <w:r>
              <w:rPr>
                <w:i/>
                <w:sz w:val="20"/>
              </w:rPr>
              <w:t>Vitro Fibras (Owens Corning)</w:t>
            </w:r>
          </w:p>
        </w:tc>
        <w:tc>
          <w:tcPr>
            <w:tcW w:w="2700" w:type="dxa"/>
            <w:tcBorders/>
          </w:tcPr>
          <w:p>
            <w:pPr>
              <w:pStyle w:val="Normal"/>
              <w:tabs>
                <w:tab w:val="clear" w:pos="720"/>
                <w:tab w:val="decimal" w:pos="1450" w:leader="none"/>
              </w:tabs>
              <w:ind w:start="1030" w:end="1030"/>
              <w:rPr>
                <w:i/>
                <w:i/>
              </w:rPr>
            </w:pPr>
            <w:r>
              <w:rPr>
                <w:i/>
              </w:rPr>
              <w:t>3.8</w:t>
            </w:r>
          </w:p>
        </w:tc>
        <w:tc>
          <w:tcPr>
            <w:tcW w:w="2250" w:type="dxa"/>
            <w:tcBorders/>
          </w:tcPr>
          <w:p>
            <w:pPr>
              <w:pStyle w:val="Normal"/>
              <w:tabs>
                <w:tab w:val="clear" w:pos="720"/>
                <w:tab w:val="decimal" w:pos="1385" w:leader="none"/>
              </w:tabs>
              <w:ind w:start="695" w:end="695"/>
              <w:rPr/>
            </w:pPr>
            <w:r>
              <w:rPr/>
              <w:t>--</w:t>
            </w:r>
          </w:p>
        </w:tc>
      </w:tr>
      <w:tr>
        <w:trPr/>
        <w:tc>
          <w:tcPr>
            <w:tcW w:w="4590" w:type="dxa"/>
            <w:tcBorders/>
          </w:tcPr>
          <w:p>
            <w:pPr>
              <w:pStyle w:val="Normal"/>
              <w:ind w:start="270" w:end="0"/>
              <w:rPr>
                <w:i/>
                <w:i/>
                <w:sz w:val="20"/>
              </w:rPr>
            </w:pPr>
            <w:r>
              <w:rPr>
                <w:i/>
                <w:sz w:val="20"/>
              </w:rPr>
              <w:t>Vitro Crisa (Libbey)</w:t>
            </w:r>
          </w:p>
        </w:tc>
        <w:tc>
          <w:tcPr>
            <w:tcW w:w="2700" w:type="dxa"/>
            <w:tcBorders/>
          </w:tcPr>
          <w:p>
            <w:pPr>
              <w:pStyle w:val="Normal"/>
              <w:tabs>
                <w:tab w:val="clear" w:pos="720"/>
                <w:tab w:val="decimal" w:pos="1450" w:leader="none"/>
              </w:tabs>
              <w:ind w:start="1030" w:end="1030"/>
              <w:rPr>
                <w:i/>
                <w:i/>
              </w:rPr>
            </w:pPr>
            <w:r>
              <w:rPr>
                <w:i/>
              </w:rPr>
              <w:t>12.6</w:t>
            </w:r>
          </w:p>
        </w:tc>
        <w:tc>
          <w:tcPr>
            <w:tcW w:w="2250" w:type="dxa"/>
            <w:tcBorders/>
          </w:tcPr>
          <w:p>
            <w:pPr>
              <w:pStyle w:val="Normal"/>
              <w:tabs>
                <w:tab w:val="clear" w:pos="720"/>
                <w:tab w:val="decimal" w:pos="1385" w:leader="none"/>
              </w:tabs>
              <w:ind w:start="695" w:end="695"/>
              <w:rPr/>
            </w:pPr>
            <w:r>
              <w:rPr/>
              <w:t>--</w:t>
            </w:r>
          </w:p>
        </w:tc>
      </w:tr>
      <w:tr>
        <w:trPr/>
        <w:tc>
          <w:tcPr>
            <w:tcW w:w="4590" w:type="dxa"/>
            <w:tcBorders/>
          </w:tcPr>
          <w:p>
            <w:pPr>
              <w:pStyle w:val="Normal"/>
              <w:ind w:start="270" w:end="0"/>
              <w:rPr>
                <w:i/>
                <w:i/>
                <w:sz w:val="20"/>
              </w:rPr>
            </w:pPr>
            <w:r>
              <w:rPr>
                <w:i/>
                <w:sz w:val="20"/>
              </w:rPr>
              <w:t>Industrias Acros Whirlpool (Whirlpool)</w:t>
            </w:r>
          </w:p>
        </w:tc>
        <w:tc>
          <w:tcPr>
            <w:tcW w:w="2700" w:type="dxa"/>
            <w:tcBorders/>
          </w:tcPr>
          <w:p>
            <w:pPr>
              <w:pStyle w:val="Normal"/>
              <w:tabs>
                <w:tab w:val="clear" w:pos="720"/>
                <w:tab w:val="decimal" w:pos="1450" w:leader="none"/>
              </w:tabs>
              <w:ind w:start="1030" w:end="1030"/>
              <w:rPr>
                <w:i/>
                <w:i/>
              </w:rPr>
            </w:pPr>
            <w:r>
              <w:rPr>
                <w:i/>
              </w:rPr>
              <w:t>5.2</w:t>
            </w:r>
          </w:p>
        </w:tc>
        <w:tc>
          <w:tcPr>
            <w:tcW w:w="2250" w:type="dxa"/>
            <w:tcBorders/>
          </w:tcPr>
          <w:p>
            <w:pPr>
              <w:pStyle w:val="Normal"/>
              <w:tabs>
                <w:tab w:val="clear" w:pos="720"/>
                <w:tab w:val="decimal" w:pos="1385" w:leader="none"/>
              </w:tabs>
              <w:ind w:start="695" w:end="695"/>
              <w:rPr/>
            </w:pPr>
            <w:r>
              <w:rPr/>
              <w:t>--</w:t>
            </w:r>
          </w:p>
        </w:tc>
      </w:tr>
      <w:tr>
        <w:trPr/>
        <w:tc>
          <w:tcPr>
            <w:tcW w:w="4590" w:type="dxa"/>
            <w:tcBorders/>
          </w:tcPr>
          <w:p>
            <w:pPr>
              <w:pStyle w:val="Normal"/>
              <w:rPr/>
            </w:pPr>
            <w:r>
              <w:rPr/>
              <w:t>Vitro JVs Total</w:t>
            </w:r>
          </w:p>
        </w:tc>
        <w:tc>
          <w:tcPr>
            <w:tcW w:w="2700" w:type="dxa"/>
            <w:tcBorders/>
          </w:tcPr>
          <w:p>
            <w:pPr>
              <w:pStyle w:val="Normal"/>
              <w:tabs>
                <w:tab w:val="clear" w:pos="720"/>
                <w:tab w:val="decimal" w:pos="1450" w:leader="none"/>
              </w:tabs>
              <w:ind w:start="1030" w:end="1030"/>
              <w:rPr/>
            </w:pPr>
            <w:r>
              <w:rPr/>
              <w:t>29.0</w:t>
            </w:r>
          </w:p>
        </w:tc>
        <w:tc>
          <w:tcPr>
            <w:tcW w:w="2250" w:type="dxa"/>
            <w:tcBorders/>
          </w:tcPr>
          <w:p>
            <w:pPr>
              <w:pStyle w:val="Normal"/>
              <w:tabs>
                <w:tab w:val="clear" w:pos="720"/>
                <w:tab w:val="decimal" w:pos="1225" w:leader="none"/>
              </w:tabs>
              <w:ind w:start="695" w:end="695"/>
              <w:rPr/>
            </w:pPr>
            <w:r>
              <w:rPr/>
              <w:t>11.8</w:t>
            </w:r>
          </w:p>
        </w:tc>
      </w:tr>
      <w:tr>
        <w:trPr/>
        <w:tc>
          <w:tcPr>
            <w:tcW w:w="4590" w:type="dxa"/>
            <w:tcBorders/>
          </w:tcPr>
          <w:p>
            <w:pPr>
              <w:pStyle w:val="Normal"/>
              <w:rPr/>
            </w:pPr>
            <w:r>
              <w:rPr/>
              <w:t>Excess Capacity to IMSA Subsidiaries or CFE</w:t>
            </w:r>
          </w:p>
        </w:tc>
        <w:tc>
          <w:tcPr>
            <w:tcW w:w="2700" w:type="dxa"/>
            <w:tcBorders/>
          </w:tcPr>
          <w:p>
            <w:pPr>
              <w:pStyle w:val="Normal"/>
              <w:pBdr>
                <w:bottom w:val="single" w:sz="6" w:space="0" w:color="000000"/>
              </w:pBdr>
              <w:tabs>
                <w:tab w:val="clear" w:pos="720"/>
                <w:tab w:val="decimal" w:pos="1450" w:leader="none"/>
              </w:tabs>
              <w:ind w:start="1030" w:end="1030"/>
              <w:rPr/>
            </w:pPr>
            <w:r>
              <w:rPr/>
              <w:t>5.0</w:t>
            </w:r>
          </w:p>
        </w:tc>
        <w:tc>
          <w:tcPr>
            <w:tcW w:w="2250" w:type="dxa"/>
            <w:tcBorders/>
          </w:tcPr>
          <w:p>
            <w:pPr>
              <w:pStyle w:val="Normal"/>
              <w:pBdr>
                <w:bottom w:val="single" w:sz="6" w:space="0" w:color="000000"/>
              </w:pBdr>
              <w:tabs>
                <w:tab w:val="clear" w:pos="720"/>
                <w:tab w:val="decimal" w:pos="1225" w:leader="none"/>
              </w:tabs>
              <w:ind w:start="695" w:end="695"/>
              <w:rPr/>
            </w:pPr>
            <w:r>
              <w:rPr/>
              <w:t>2.0</w:t>
            </w:r>
          </w:p>
        </w:tc>
      </w:tr>
      <w:tr>
        <w:trPr/>
        <w:tc>
          <w:tcPr>
            <w:tcW w:w="4590" w:type="dxa"/>
            <w:tcBorders>
              <w:bottom w:val="single" w:sz="4" w:space="0" w:color="000000"/>
            </w:tcBorders>
          </w:tcPr>
          <w:p>
            <w:pPr>
              <w:pStyle w:val="Normal"/>
              <w:ind w:start="270" w:end="0"/>
              <w:rPr>
                <w:b/>
                <w:sz w:val="21"/>
              </w:rPr>
            </w:pPr>
            <w:r>
              <w:rPr>
                <w:b/>
                <w:sz w:val="21"/>
              </w:rPr>
              <w:t>Total Sales</w:t>
            </w:r>
          </w:p>
        </w:tc>
        <w:tc>
          <w:tcPr>
            <w:tcW w:w="2700" w:type="dxa"/>
            <w:tcBorders>
              <w:bottom w:val="single" w:sz="4" w:space="0" w:color="000000"/>
            </w:tcBorders>
          </w:tcPr>
          <w:p>
            <w:pPr>
              <w:pStyle w:val="Normal"/>
              <w:tabs>
                <w:tab w:val="clear" w:pos="720"/>
                <w:tab w:val="decimal" w:pos="1450" w:leader="none"/>
              </w:tabs>
              <w:ind w:start="1030" w:end="1030"/>
              <w:rPr>
                <w:b/>
                <w:sz w:val="21"/>
              </w:rPr>
            </w:pPr>
            <w:r>
              <w:rPr>
                <w:b/>
                <w:sz w:val="21"/>
              </w:rPr>
              <w:t>245.0</w:t>
            </w:r>
          </w:p>
        </w:tc>
        <w:tc>
          <w:tcPr>
            <w:tcW w:w="2250" w:type="dxa"/>
            <w:tcBorders>
              <w:bottom w:val="single" w:sz="4" w:space="0" w:color="000000"/>
            </w:tcBorders>
          </w:tcPr>
          <w:p>
            <w:pPr>
              <w:pStyle w:val="Normal"/>
              <w:tabs>
                <w:tab w:val="clear" w:pos="720"/>
                <w:tab w:val="decimal" w:pos="1225" w:leader="none"/>
              </w:tabs>
              <w:ind w:start="695" w:end="695"/>
              <w:rPr>
                <w:b/>
                <w:sz w:val="21"/>
              </w:rPr>
            </w:pPr>
            <w:r>
              <w:rPr>
                <w:b/>
                <w:sz w:val="21"/>
              </w:rPr>
              <w:t>100.0%</w:t>
            </w:r>
          </w:p>
        </w:tc>
      </w:tr>
    </w:tbl>
    <w:p>
      <w:pPr>
        <w:pStyle w:val="WW-Text"/>
        <w:spacing w:before="240" w:after="0"/>
        <w:rPr/>
      </w:pPr>
      <w:r>
        <w:rPr/>
        <w:t xml:space="preserve">Tariff payments under the PPAs are denominated both in U.S. dollars and in Mexican pesos and obligate the Capacity Users to provide Enron Mexico a) monthly fixed capacity payments, b) monthly variable energy payments payable in Mexican pesos, and c) monthly fixed O&amp;M and gas transportation payments payable in U.S. dollars and Mexican pesos.  The Capacity Users will assume fuel price risk as well as wheeling, back-up power and start-up charges, as they represent pass-through expenditures.  </w:t>
      </w:r>
    </w:p>
    <w:p>
      <w:pPr>
        <w:pStyle w:val="WW-Text"/>
        <w:rPr/>
      </w:pPr>
      <w:r>
        <w:rPr/>
        <w:t xml:space="preserve">The obligation of the Capacity Users to pay the capacity charges and the energy charges for energy delivered shall not be suspended in the event the Project cannot comply with the PPAs as a result of Force Majeure, as defined in the PPAs, or in the event any Capacity User is incapable of receiving electrical energy (in which case, such Capacity User may deduct its ratable share of any insurance proceeds received by the Project) by reason of Force Majeure or otherwise, and which includes (1) inability of the fuel supplier to deliver fuel, (2) inability by CFE to render contracted services and (3) inability by Alcali to provide water. The following table describes which charges are payable in U.S. dollars and which charges are payable in Mexican pesos.  </w:t>
      </w:r>
    </w:p>
    <w:p>
      <w:pPr>
        <w:pStyle w:val="Spacer"/>
        <w:rPr/>
      </w:pPr>
      <w:r>
        <w:rPr/>
      </w:r>
    </w:p>
    <w:tbl>
      <w:tblPr>
        <w:tblW w:w="9360" w:type="dxa"/>
        <w:jc w:val="start"/>
        <w:tblInd w:w="0" w:type="dxa"/>
        <w:tblLayout w:type="fixed"/>
        <w:tblCellMar>
          <w:top w:w="0" w:type="dxa"/>
          <w:start w:w="0" w:type="dxa"/>
          <w:bottom w:w="0" w:type="dxa"/>
          <w:end w:w="0" w:type="dxa"/>
        </w:tblCellMar>
      </w:tblPr>
      <w:tblGrid>
        <w:gridCol w:w="2448"/>
        <w:gridCol w:w="1152"/>
        <w:gridCol w:w="1152"/>
        <w:gridCol w:w="4608"/>
      </w:tblGrid>
      <w:tr>
        <w:trPr/>
        <w:tc>
          <w:tcPr>
            <w:tcW w:w="2448" w:type="dxa"/>
            <w:tcBorders>
              <w:bottom w:val="single" w:sz="6" w:space="0" w:color="000000"/>
            </w:tcBorders>
          </w:tcPr>
          <w:p>
            <w:pPr>
              <w:pStyle w:val="Normal"/>
              <w:keepNext w:val="true"/>
              <w:keepLines/>
              <w:numPr>
                <w:ilvl w:val="0"/>
                <w:numId w:val="0"/>
              </w:numPr>
              <w:spacing w:before="60" w:after="60"/>
              <w:ind w:hanging="0" w:start="0"/>
              <w:rPr>
                <w:b/>
                <w:sz w:val="21"/>
              </w:rPr>
            </w:pPr>
            <w:r>
              <w:rPr>
                <w:b/>
                <w:sz w:val="21"/>
              </w:rPr>
              <w:t>Charge</w:t>
            </w:r>
          </w:p>
        </w:tc>
        <w:tc>
          <w:tcPr>
            <w:tcW w:w="1152" w:type="dxa"/>
            <w:tcBorders>
              <w:bottom w:val="single" w:sz="6" w:space="0" w:color="000000"/>
            </w:tcBorders>
          </w:tcPr>
          <w:p>
            <w:pPr>
              <w:pStyle w:val="Normal"/>
              <w:keepNext w:val="true"/>
              <w:keepLines/>
              <w:numPr>
                <w:ilvl w:val="0"/>
                <w:numId w:val="0"/>
              </w:numPr>
              <w:spacing w:before="60" w:after="60"/>
              <w:ind w:hanging="0" w:start="0"/>
              <w:jc w:val="center"/>
              <w:rPr>
                <w:b/>
                <w:sz w:val="21"/>
              </w:rPr>
            </w:pPr>
            <w:r>
              <w:rPr>
                <w:b/>
                <w:sz w:val="21"/>
              </w:rPr>
              <w:t>US$</w:t>
            </w:r>
          </w:p>
        </w:tc>
        <w:tc>
          <w:tcPr>
            <w:tcW w:w="1152" w:type="dxa"/>
            <w:tcBorders>
              <w:bottom w:val="single" w:sz="6" w:space="0" w:color="000000"/>
            </w:tcBorders>
          </w:tcPr>
          <w:p>
            <w:pPr>
              <w:pStyle w:val="Normal"/>
              <w:keepNext w:val="true"/>
              <w:keepLines/>
              <w:numPr>
                <w:ilvl w:val="0"/>
                <w:numId w:val="0"/>
              </w:numPr>
              <w:spacing w:before="60" w:after="60"/>
              <w:ind w:hanging="0" w:start="0"/>
              <w:jc w:val="center"/>
              <w:rPr>
                <w:b/>
                <w:sz w:val="21"/>
              </w:rPr>
            </w:pPr>
            <w:r>
              <w:rPr>
                <w:b/>
                <w:sz w:val="21"/>
              </w:rPr>
              <w:t>Ps</w:t>
            </w:r>
          </w:p>
        </w:tc>
        <w:tc>
          <w:tcPr>
            <w:tcW w:w="4608" w:type="dxa"/>
            <w:tcBorders>
              <w:bottom w:val="single" w:sz="6" w:space="0" w:color="000000"/>
            </w:tcBorders>
          </w:tcPr>
          <w:p>
            <w:pPr>
              <w:pStyle w:val="Normal"/>
              <w:keepNext w:val="true"/>
              <w:keepLines/>
              <w:numPr>
                <w:ilvl w:val="0"/>
                <w:numId w:val="0"/>
              </w:numPr>
              <w:spacing w:before="60" w:after="60"/>
              <w:ind w:hanging="0" w:start="0"/>
              <w:rPr>
                <w:b/>
                <w:sz w:val="21"/>
              </w:rPr>
            </w:pPr>
            <w:r>
              <w:rPr>
                <w:b/>
                <w:sz w:val="21"/>
              </w:rPr>
              <w:t>Observations</w:t>
            </w:r>
          </w:p>
        </w:tc>
      </w:tr>
      <w:tr>
        <w:trPr/>
        <w:tc>
          <w:tcPr>
            <w:tcW w:w="2448" w:type="dxa"/>
            <w:tcBorders/>
          </w:tcPr>
          <w:p>
            <w:pPr>
              <w:pStyle w:val="Normal"/>
              <w:keepNext w:val="true"/>
              <w:keepLines/>
              <w:numPr>
                <w:ilvl w:val="0"/>
                <w:numId w:val="0"/>
              </w:numPr>
              <w:spacing w:before="120" w:after="0"/>
              <w:ind w:hanging="0" w:start="0"/>
              <w:rPr/>
            </w:pPr>
            <w:r>
              <w:rPr/>
              <w:t xml:space="preserve">Fixed capacity payments </w:t>
            </w:r>
          </w:p>
        </w:tc>
        <w:tc>
          <w:tcPr>
            <w:tcW w:w="1152" w:type="dxa"/>
            <w:tcBorders/>
          </w:tcPr>
          <w:p>
            <w:pPr>
              <w:pStyle w:val="Normal"/>
              <w:keepNext w:val="true"/>
              <w:keepLines/>
              <w:numPr>
                <w:ilvl w:val="0"/>
                <w:numId w:val="0"/>
              </w:numPr>
              <w:spacing w:before="120" w:after="0"/>
              <w:ind w:hanging="0" w:start="0"/>
              <w:jc w:val="center"/>
              <w:rPr/>
            </w:pPr>
            <w:r>
              <w:rPr/>
              <w:t>X</w:t>
            </w:r>
          </w:p>
        </w:tc>
        <w:tc>
          <w:tcPr>
            <w:tcW w:w="1152" w:type="dxa"/>
            <w:tcBorders/>
          </w:tcPr>
          <w:p>
            <w:pPr>
              <w:pStyle w:val="Normal"/>
              <w:keepNext w:val="true"/>
              <w:keepLines/>
              <w:numPr>
                <w:ilvl w:val="0"/>
                <w:numId w:val="0"/>
              </w:numPr>
              <w:snapToGrid w:val="false"/>
              <w:spacing w:before="120" w:after="0"/>
              <w:ind w:hanging="0" w:start="0"/>
              <w:jc w:val="center"/>
              <w:rPr/>
            </w:pPr>
            <w:r>
              <w:rPr/>
            </w:r>
          </w:p>
        </w:tc>
        <w:tc>
          <w:tcPr>
            <w:tcW w:w="4608" w:type="dxa"/>
            <w:tcBorders/>
          </w:tcPr>
          <w:p>
            <w:pPr>
              <w:pStyle w:val="Normal"/>
              <w:keepNext w:val="true"/>
              <w:keepLines/>
              <w:numPr>
                <w:ilvl w:val="0"/>
                <w:numId w:val="0"/>
              </w:numPr>
              <w:spacing w:before="120" w:after="0"/>
              <w:ind w:hanging="0" w:start="0"/>
              <w:rPr/>
            </w:pPr>
            <w:r>
              <w:rPr/>
              <w:t xml:space="preserve">Designed to provide an equity return and to cover debt service and income taxes </w:t>
            </w:r>
          </w:p>
        </w:tc>
      </w:tr>
      <w:tr>
        <w:trPr/>
        <w:tc>
          <w:tcPr>
            <w:tcW w:w="2448" w:type="dxa"/>
            <w:tcBorders/>
          </w:tcPr>
          <w:p>
            <w:pPr>
              <w:pStyle w:val="Normal"/>
              <w:keepNext w:val="true"/>
              <w:keepLines/>
              <w:numPr>
                <w:ilvl w:val="0"/>
                <w:numId w:val="0"/>
              </w:numPr>
              <w:spacing w:before="120" w:after="0"/>
              <w:ind w:hanging="0" w:start="0"/>
              <w:rPr/>
            </w:pPr>
            <w:r>
              <w:rPr/>
              <w:t>Fixed O&amp;M payments</w:t>
            </w:r>
          </w:p>
        </w:tc>
        <w:tc>
          <w:tcPr>
            <w:tcW w:w="1152" w:type="dxa"/>
            <w:tcBorders/>
          </w:tcPr>
          <w:p>
            <w:pPr>
              <w:pStyle w:val="Normal"/>
              <w:keepNext w:val="true"/>
              <w:keepLines/>
              <w:numPr>
                <w:ilvl w:val="0"/>
                <w:numId w:val="0"/>
              </w:numPr>
              <w:spacing w:before="120" w:after="0"/>
              <w:ind w:hanging="0" w:start="0"/>
              <w:jc w:val="center"/>
              <w:rPr/>
            </w:pPr>
            <w:r>
              <w:rPr/>
              <w:t>X</w:t>
            </w:r>
          </w:p>
        </w:tc>
        <w:tc>
          <w:tcPr>
            <w:tcW w:w="1152" w:type="dxa"/>
            <w:tcBorders/>
          </w:tcPr>
          <w:p>
            <w:pPr>
              <w:pStyle w:val="Normal"/>
              <w:keepNext w:val="true"/>
              <w:keepLines/>
              <w:numPr>
                <w:ilvl w:val="0"/>
                <w:numId w:val="0"/>
              </w:numPr>
              <w:spacing w:before="120" w:after="0"/>
              <w:ind w:hanging="0" w:start="0"/>
              <w:jc w:val="center"/>
              <w:rPr/>
            </w:pPr>
            <w:r>
              <w:rPr/>
              <w:t>X</w:t>
            </w:r>
          </w:p>
        </w:tc>
        <w:tc>
          <w:tcPr>
            <w:tcW w:w="4608" w:type="dxa"/>
            <w:tcBorders/>
          </w:tcPr>
          <w:p>
            <w:pPr>
              <w:pStyle w:val="Normal"/>
              <w:keepNext w:val="true"/>
              <w:keepLines/>
              <w:numPr>
                <w:ilvl w:val="0"/>
                <w:numId w:val="0"/>
              </w:numPr>
              <w:spacing w:before="120" w:after="0"/>
              <w:ind w:hanging="0" w:start="0"/>
              <w:rPr/>
            </w:pPr>
            <w:r>
              <w:rPr/>
              <w:t>Mostly labor and spare parts expenditures. Adjusted by Mexican and U.S. inflation indices</w:t>
            </w:r>
          </w:p>
        </w:tc>
      </w:tr>
      <w:tr>
        <w:trPr/>
        <w:tc>
          <w:tcPr>
            <w:tcW w:w="2448" w:type="dxa"/>
            <w:tcBorders/>
          </w:tcPr>
          <w:p>
            <w:pPr>
              <w:pStyle w:val="Normal"/>
              <w:keepNext w:val="true"/>
              <w:keepLines/>
              <w:numPr>
                <w:ilvl w:val="0"/>
                <w:numId w:val="0"/>
              </w:numPr>
              <w:spacing w:before="120" w:after="0"/>
              <w:ind w:hanging="0" w:start="0"/>
              <w:rPr/>
            </w:pPr>
            <w:r>
              <w:rPr/>
              <w:t>Fixed gas transportation payments</w:t>
            </w:r>
          </w:p>
        </w:tc>
        <w:tc>
          <w:tcPr>
            <w:tcW w:w="1152" w:type="dxa"/>
            <w:tcBorders/>
          </w:tcPr>
          <w:p>
            <w:pPr>
              <w:pStyle w:val="Normal"/>
              <w:keepNext w:val="true"/>
              <w:keepLines/>
              <w:numPr>
                <w:ilvl w:val="0"/>
                <w:numId w:val="0"/>
              </w:numPr>
              <w:snapToGrid w:val="false"/>
              <w:spacing w:before="120" w:after="0"/>
              <w:ind w:hanging="0" w:start="0"/>
              <w:jc w:val="center"/>
              <w:rPr/>
            </w:pPr>
            <w:r>
              <w:rPr/>
            </w:r>
          </w:p>
        </w:tc>
        <w:tc>
          <w:tcPr>
            <w:tcW w:w="1152" w:type="dxa"/>
            <w:tcBorders/>
          </w:tcPr>
          <w:p>
            <w:pPr>
              <w:pStyle w:val="Normal"/>
              <w:keepNext w:val="true"/>
              <w:keepLines/>
              <w:numPr>
                <w:ilvl w:val="0"/>
                <w:numId w:val="0"/>
              </w:numPr>
              <w:spacing w:before="120" w:after="0"/>
              <w:ind w:hanging="0" w:start="0"/>
              <w:jc w:val="center"/>
              <w:rPr/>
            </w:pPr>
            <w:r>
              <w:rPr/>
              <w:t>X</w:t>
            </w:r>
          </w:p>
        </w:tc>
        <w:tc>
          <w:tcPr>
            <w:tcW w:w="4608" w:type="dxa"/>
            <w:tcBorders/>
          </w:tcPr>
          <w:p>
            <w:pPr>
              <w:pStyle w:val="Normal"/>
              <w:keepNext w:val="true"/>
              <w:keepLines/>
              <w:numPr>
                <w:ilvl w:val="0"/>
                <w:numId w:val="0"/>
              </w:numPr>
              <w:spacing w:before="120" w:after="0"/>
              <w:ind w:hanging="0" w:start="0"/>
              <w:rPr/>
            </w:pPr>
            <w:r>
              <w:rPr/>
              <w:t xml:space="preserve">Entire payment passed-through to Capacity Users </w:t>
            </w:r>
          </w:p>
        </w:tc>
      </w:tr>
      <w:tr>
        <w:trPr/>
        <w:tc>
          <w:tcPr>
            <w:tcW w:w="2448" w:type="dxa"/>
            <w:tcBorders/>
          </w:tcPr>
          <w:p>
            <w:pPr>
              <w:pStyle w:val="Normal"/>
              <w:keepNext w:val="true"/>
              <w:keepLines/>
              <w:numPr>
                <w:ilvl w:val="0"/>
                <w:numId w:val="0"/>
              </w:numPr>
              <w:spacing w:before="120" w:after="0"/>
              <w:ind w:hanging="0" w:start="0"/>
              <w:rPr/>
            </w:pPr>
            <w:r>
              <w:rPr/>
              <w:t xml:space="preserve">Variable O&amp;M payments </w:t>
            </w:r>
          </w:p>
        </w:tc>
        <w:tc>
          <w:tcPr>
            <w:tcW w:w="1152" w:type="dxa"/>
            <w:tcBorders/>
          </w:tcPr>
          <w:p>
            <w:pPr>
              <w:pStyle w:val="Normal"/>
              <w:keepNext w:val="true"/>
              <w:keepLines/>
              <w:numPr>
                <w:ilvl w:val="0"/>
                <w:numId w:val="0"/>
              </w:numPr>
              <w:snapToGrid w:val="false"/>
              <w:spacing w:before="120" w:after="0"/>
              <w:ind w:hanging="0" w:start="0"/>
              <w:jc w:val="center"/>
              <w:rPr/>
            </w:pPr>
            <w:r>
              <w:rPr/>
            </w:r>
          </w:p>
        </w:tc>
        <w:tc>
          <w:tcPr>
            <w:tcW w:w="1152" w:type="dxa"/>
            <w:tcBorders/>
          </w:tcPr>
          <w:p>
            <w:pPr>
              <w:pStyle w:val="Normal"/>
              <w:keepNext w:val="true"/>
              <w:keepLines/>
              <w:numPr>
                <w:ilvl w:val="0"/>
                <w:numId w:val="0"/>
              </w:numPr>
              <w:spacing w:before="120" w:after="0"/>
              <w:ind w:hanging="0" w:start="0"/>
              <w:jc w:val="center"/>
              <w:rPr/>
            </w:pPr>
            <w:r>
              <w:rPr/>
              <w:t>X</w:t>
            </w:r>
          </w:p>
        </w:tc>
        <w:tc>
          <w:tcPr>
            <w:tcW w:w="4608" w:type="dxa"/>
            <w:tcBorders/>
          </w:tcPr>
          <w:p>
            <w:pPr>
              <w:pStyle w:val="Normal"/>
              <w:keepNext w:val="true"/>
              <w:keepLines/>
              <w:numPr>
                <w:ilvl w:val="0"/>
                <w:numId w:val="0"/>
              </w:numPr>
              <w:spacing w:before="120" w:after="0"/>
              <w:ind w:hanging="0" w:start="0"/>
              <w:rPr/>
            </w:pPr>
            <w:r>
              <w:rPr/>
              <w:t xml:space="preserve">Variable O&amp;M subject to adjustments for Mexican and U.S. inflation indices  </w:t>
            </w:r>
          </w:p>
        </w:tc>
      </w:tr>
      <w:tr>
        <w:trPr/>
        <w:tc>
          <w:tcPr>
            <w:tcW w:w="2448" w:type="dxa"/>
            <w:tcBorders/>
          </w:tcPr>
          <w:p>
            <w:pPr>
              <w:pStyle w:val="Normal"/>
              <w:keepNext w:val="true"/>
              <w:keepLines/>
              <w:numPr>
                <w:ilvl w:val="0"/>
                <w:numId w:val="0"/>
              </w:numPr>
              <w:spacing w:before="120" w:after="0"/>
              <w:ind w:hanging="0" w:start="0"/>
              <w:rPr/>
            </w:pPr>
            <w:r>
              <w:rPr/>
              <w:t>Fuel payments</w:t>
            </w:r>
          </w:p>
        </w:tc>
        <w:tc>
          <w:tcPr>
            <w:tcW w:w="1152" w:type="dxa"/>
            <w:tcBorders/>
          </w:tcPr>
          <w:p>
            <w:pPr>
              <w:pStyle w:val="Normal"/>
              <w:keepNext w:val="true"/>
              <w:keepLines/>
              <w:numPr>
                <w:ilvl w:val="0"/>
                <w:numId w:val="0"/>
              </w:numPr>
              <w:snapToGrid w:val="false"/>
              <w:spacing w:before="120" w:after="0"/>
              <w:ind w:hanging="0" w:start="0"/>
              <w:jc w:val="center"/>
              <w:rPr/>
            </w:pPr>
            <w:r>
              <w:rPr/>
            </w:r>
          </w:p>
        </w:tc>
        <w:tc>
          <w:tcPr>
            <w:tcW w:w="1152" w:type="dxa"/>
            <w:tcBorders/>
          </w:tcPr>
          <w:p>
            <w:pPr>
              <w:pStyle w:val="Normal"/>
              <w:keepNext w:val="true"/>
              <w:keepLines/>
              <w:numPr>
                <w:ilvl w:val="0"/>
                <w:numId w:val="0"/>
              </w:numPr>
              <w:spacing w:before="120" w:after="0"/>
              <w:ind w:hanging="0" w:start="0"/>
              <w:jc w:val="center"/>
              <w:rPr/>
            </w:pPr>
            <w:r>
              <w:rPr/>
              <w:t>X</w:t>
            </w:r>
          </w:p>
        </w:tc>
        <w:tc>
          <w:tcPr>
            <w:tcW w:w="4608" w:type="dxa"/>
            <w:tcBorders/>
          </w:tcPr>
          <w:p>
            <w:pPr>
              <w:pStyle w:val="Normal"/>
              <w:keepNext w:val="true"/>
              <w:keepLines/>
              <w:numPr>
                <w:ilvl w:val="0"/>
                <w:numId w:val="0"/>
              </w:numPr>
              <w:spacing w:before="120" w:after="0"/>
              <w:ind w:hanging="0" w:start="0"/>
              <w:rPr/>
            </w:pPr>
            <w:r>
              <w:rPr/>
              <w:t>Fuel expenses are passed-through to the Capacity Users on the basis of the guaranteed heat rate</w:t>
            </w:r>
          </w:p>
        </w:tc>
      </w:tr>
      <w:tr>
        <w:trPr/>
        <w:tc>
          <w:tcPr>
            <w:tcW w:w="2448" w:type="dxa"/>
            <w:tcBorders>
              <w:bottom w:val="single" w:sz="4" w:space="0" w:color="000000"/>
            </w:tcBorders>
          </w:tcPr>
          <w:p>
            <w:pPr>
              <w:pStyle w:val="Normal"/>
              <w:keepNext w:val="true"/>
              <w:keepLines/>
              <w:numPr>
                <w:ilvl w:val="0"/>
                <w:numId w:val="0"/>
              </w:numPr>
              <w:spacing w:before="120" w:after="0"/>
              <w:ind w:hanging="0" w:start="0"/>
              <w:rPr/>
            </w:pPr>
            <w:r>
              <w:rPr/>
              <w:t>Wheeling and back-up power payments</w:t>
            </w:r>
          </w:p>
        </w:tc>
        <w:tc>
          <w:tcPr>
            <w:tcW w:w="1152" w:type="dxa"/>
            <w:tcBorders>
              <w:bottom w:val="single" w:sz="4" w:space="0" w:color="000000"/>
            </w:tcBorders>
          </w:tcPr>
          <w:p>
            <w:pPr>
              <w:pStyle w:val="Normal"/>
              <w:keepNext w:val="true"/>
              <w:keepLines/>
              <w:numPr>
                <w:ilvl w:val="0"/>
                <w:numId w:val="0"/>
              </w:numPr>
              <w:snapToGrid w:val="false"/>
              <w:spacing w:before="120" w:after="0"/>
              <w:ind w:hanging="0" w:start="0"/>
              <w:jc w:val="center"/>
              <w:rPr/>
            </w:pPr>
            <w:r>
              <w:rPr/>
            </w:r>
          </w:p>
        </w:tc>
        <w:tc>
          <w:tcPr>
            <w:tcW w:w="1152" w:type="dxa"/>
            <w:tcBorders>
              <w:bottom w:val="single" w:sz="4" w:space="0" w:color="000000"/>
            </w:tcBorders>
          </w:tcPr>
          <w:p>
            <w:pPr>
              <w:pStyle w:val="Normal"/>
              <w:keepNext w:val="true"/>
              <w:keepLines/>
              <w:numPr>
                <w:ilvl w:val="0"/>
                <w:numId w:val="0"/>
              </w:numPr>
              <w:spacing w:before="120" w:after="0"/>
              <w:ind w:hanging="0" w:start="0"/>
              <w:jc w:val="center"/>
              <w:rPr/>
            </w:pPr>
            <w:r>
              <w:rPr/>
              <w:t>X</w:t>
            </w:r>
          </w:p>
        </w:tc>
        <w:tc>
          <w:tcPr>
            <w:tcW w:w="4608" w:type="dxa"/>
            <w:tcBorders>
              <w:bottom w:val="single" w:sz="4" w:space="0" w:color="000000"/>
            </w:tcBorders>
          </w:tcPr>
          <w:p>
            <w:pPr>
              <w:pStyle w:val="Normal"/>
              <w:keepNext w:val="true"/>
              <w:keepLines/>
              <w:numPr>
                <w:ilvl w:val="0"/>
                <w:numId w:val="0"/>
              </w:numPr>
              <w:spacing w:before="120" w:after="0"/>
              <w:ind w:hanging="0" w:start="0"/>
              <w:rPr/>
            </w:pPr>
            <w:r>
              <w:rPr/>
              <w:t>Back-up power expenses are passed-through to the Capacity Users up to a guaranteed number of hours of scheduled and forced outages</w:t>
            </w:r>
          </w:p>
        </w:tc>
      </w:tr>
    </w:tbl>
    <w:p>
      <w:pPr>
        <w:pStyle w:val="Spacerhalf"/>
        <w:rPr/>
      </w:pPr>
      <w:r>
        <w:rPr/>
      </w:r>
    </w:p>
    <w:p>
      <w:pPr>
        <w:pStyle w:val="Textbold"/>
        <w:rPr/>
      </w:pPr>
      <w:r>
        <w:rPr/>
        <w:t>Steam Purchase Agreement with Alcali</w:t>
      </w:r>
    </w:p>
    <w:p>
      <w:pPr>
        <w:pStyle w:val="WW-Text"/>
        <w:rPr/>
      </w:pPr>
      <w:r>
        <w:rPr/>
        <w:t>Alcali executed a 15-year steam purchase agreement with Enron Mexico.  The Project will provide a minimum of 150 MTPH of steam and up to 235 MTPH of steam, with payments guaranteed by Vitro.  Under the SPA, Alcali will provide the Project with its make-up water supply, including condensate return.  In addition, Alcali will handle all of the Project’s waste water treatment requirements.</w:t>
      </w:r>
    </w:p>
    <w:p>
      <w:pPr>
        <w:pStyle w:val="Textbold"/>
        <w:rPr/>
      </w:pPr>
      <w:r>
        <w:rPr/>
        <w:t>Fuel Supply</w:t>
      </w:r>
    </w:p>
    <w:p>
      <w:pPr>
        <w:pStyle w:val="WW-Text"/>
        <w:rPr/>
      </w:pPr>
      <w:r>
        <w:rPr/>
        <w:t>Natural gas will be provided pursuant to a long-term Fuel Supply Agreement with PGPB (an affiliate of Pemex).  Pursuant to the PPAs, the Capacity Users are the parties economically at risk for substantially all fuel-related matters including delivery failures and fuel price fluctuations.</w:t>
      </w:r>
    </w:p>
    <w:p>
      <w:pPr>
        <w:pStyle w:val="WW-Text"/>
        <w:rPr/>
      </w:pPr>
      <w:r>
        <w:rPr/>
        <w:t>The Project is expected to use an average of 53,000 MMBtu/day of natural gas, assuming a Project dispatch of 100% for power generation and an average of 210 MTPH steam production.</w:t>
      </w:r>
    </w:p>
    <w:p>
      <w:pPr>
        <w:pStyle w:val="Textbold"/>
        <w:rPr/>
      </w:pPr>
      <w:r>
        <w:rPr/>
        <w:t>Natural Gas Reserves</w:t>
      </w:r>
    </w:p>
    <w:p>
      <w:pPr>
        <w:pStyle w:val="WW-Text"/>
        <w:rPr/>
      </w:pPr>
      <w:r>
        <w:rPr/>
        <w:t>Although Mexico is the world’s eighth-largest producer of natural gas, Mexico has not given high priority to the development and use of its significant natural gas reserves until recently.  A major constraint has been the lack of investment in (1) developing the country’s non-associated gas reserves essentially located in the northeast region and (2) expanding the pipeline infrastructure for transporting associated gas over long distances.  The Mexican associated gas production is primarily located in the offshore and southern onshore regions, while the consumption needs are more concentrated in the north and northeast areas of the country.</w:t>
      </w:r>
    </w:p>
    <w:p>
      <w:pPr>
        <w:pStyle w:val="WW-Text"/>
        <w:rPr/>
      </w:pPr>
      <w:r>
        <w:rPr/>
        <w:t>Currently, 75% of Mexico’s natural gas is still produced as associated gas in the southeastern part of the country, both from onshore (primarily in the southern Chiapas and Tabasco regions) and offshore oil fields.  However, natural gas has also been produced since 1945 in the northeastern part of the country in the Burgos non-associated natural gas basin, which ranks among Mexico’s largest dry gas reserves.  Pemex has developed an ambitious plan to increase production in the Burgos basin from 500 million cubic feet/day in late 1997 to 1,400 million cubic feet/day in 2001, by spending US$2 billion from 1998 through 2000, and US$5.5 billion over 15 years.</w:t>
      </w:r>
    </w:p>
    <w:p>
      <w:pPr>
        <w:pStyle w:val="WW-Text"/>
        <w:rPr/>
      </w:pPr>
      <w:r>
        <w:rPr/>
        <w:t xml:space="preserve">By increasing non-associated gas production at Burgos, Pemex plans to supply the northeastern Mexican market, pushed by rapid industrial growth, as well as construction of several new gas-fired power plants (including the Project) and conversion of existing plants to natural gas.  The </w:t>
      </w:r>
      <w:r>
        <w:rPr>
          <w:i/>
        </w:rPr>
        <w:t>Secretaría de Energía</w:t>
      </w:r>
      <w:r>
        <w:rPr/>
        <w:t xml:space="preserve"> estimates that national demand for natural gas will rise at an average annual rate of approximately 12% during the next decade, and the planned annual growth of Mexican natural gas production will be 10% over the same period.  By the end of the next decade, power plants could account for as much as half of all natural gas consumption, with a significant percentage of Mexico’s thermal plants being converted to gas in response to cost and environmental factors.</w:t>
      </w:r>
    </w:p>
    <w:p>
      <w:pPr>
        <w:pStyle w:val="OperatorNotes"/>
        <w:rPr/>
      </w:pPr>
      <w:r>
        <w:rPr/>
        <w:t>No orginal graphic refernce. Picture pasted into ppt so additional label could be added.</w:t>
      </w:r>
    </w:p>
    <w:p>
      <w:pPr>
        <w:pStyle w:val="GraphicHead"/>
        <w:rPr/>
      </w:pPr>
      <w:r>
        <w:rPr/>
        <w:t>Mexico’s Main Oil and Gas Reserve Locations</w:t>
      </w:r>
    </w:p>
    <w:p>
      <w:pPr>
        <w:pStyle w:val="Hidden"/>
        <w:rPr/>
      </w:pPr>
      <w:r>
        <w:rPr/>
        <w:t>\\CFINNY03\wp\PC\Docs\E\0110260b.cdr</w:t>
      </w:r>
    </w:p>
    <w:p>
      <w:pPr>
        <w:pStyle w:val="Graphic"/>
        <w:rPr/>
      </w:pPr>
      <w:r>
        <w:rPr/>
        <w:drawing>
          <wp:inline distT="0" distB="0" distL="0" distR="0">
            <wp:extent cx="3802380" cy="2286635"/>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31"/>
                    <a:srcRect l="-8" t="-13" r="-8" b="-13"/>
                    <a:stretch>
                      <a:fillRect/>
                    </a:stretch>
                  </pic:blipFill>
                  <pic:spPr bwMode="auto">
                    <a:xfrm>
                      <a:off x="0" y="0"/>
                      <a:ext cx="3802380" cy="2286635"/>
                    </a:xfrm>
                    <a:prstGeom prst="rect">
                      <a:avLst/>
                    </a:prstGeom>
                    <a:noFill/>
                  </pic:spPr>
                </pic:pic>
              </a:graphicData>
            </a:graphic>
          </wp:inline>
        </w:drawing>
      </w:r>
    </w:p>
    <w:p>
      <w:pPr>
        <w:pStyle w:val="Source"/>
        <w:rPr/>
      </w:pPr>
      <w:r>
        <w:rPr/>
        <w:t>Source: PEMEX, 1999</w:t>
      </w:r>
    </w:p>
    <w:p>
      <w:pPr>
        <w:pStyle w:val="Spacerhalf"/>
        <w:rPr/>
      </w:pPr>
      <w:r>
        <w:rPr/>
      </w:r>
    </w:p>
    <w:p>
      <w:pPr>
        <w:pStyle w:val="Textbold"/>
        <w:rPr/>
      </w:pPr>
      <w:r>
        <w:rPr/>
        <w:t>Project Inputs and Infrastructure</w:t>
      </w:r>
    </w:p>
    <w:p>
      <w:pPr>
        <w:pStyle w:val="WW-Text"/>
        <w:rPr/>
      </w:pPr>
      <w:r>
        <w:rPr/>
        <w:t xml:space="preserve">Recognizing the need for substantial investment in the Mexican gas transmission and distribution system formerly under the monopoly of Pemex, legislation enacted in 1995 opened the gas transportation, storage and distribution system to private (including foreign) investors and allowed private companies to export and import natural gas. </w:t>
      </w:r>
    </w:p>
    <w:p>
      <w:pPr>
        <w:pStyle w:val="WW-Text"/>
        <w:rPr/>
      </w:pPr>
      <w:r>
        <w:rPr/>
        <w:t>A number of foreign companies are already involved in pipeline construction, gas distribution and sales, including Gas Natural, El Paso Energy, TransCanada Pipelines, Sempra, Tractebel, and Gaz de France.</w:t>
      </w:r>
    </w:p>
    <w:p>
      <w:pPr>
        <w:pStyle w:val="WW-Text"/>
        <w:rPr/>
      </w:pPr>
      <w:r>
        <w:rPr/>
        <w:t xml:space="preserve">There are currently seven existing interconnections with the U.S. gas transmission system (Naco, Ciudad Juárez, Samalayuca, Piedras Negras, Arguëlles and Reynosa).  Although current gas pipeline interconnections between Mexico and the U.S. are limited in size and flow, new pipelines are being built to increase connection with major U.S. natural gas fields such as the San Juan, Anadarko and Permian basins. </w:t>
      </w:r>
      <w:r>
        <w:br w:type="page"/>
      </w:r>
    </w:p>
    <w:p>
      <w:pPr>
        <w:pStyle w:val="WW-Text"/>
        <w:rPr/>
      </w:pPr>
      <w:r>
        <w:rPr/>
        <w:t>The Mexican gas transmission system is shown on the map below.</w:t>
      </w:r>
    </w:p>
    <w:p>
      <w:pPr>
        <w:pStyle w:val="GraphicHead"/>
        <w:rPr/>
      </w:pPr>
      <w:r>
        <w:rPr/>
        <w:t>Mexico’s Gas Transmission System</w:t>
      </w:r>
    </w:p>
    <w:p>
      <w:pPr>
        <w:pStyle w:val="Hidden"/>
        <w:rPr/>
      </w:pPr>
      <w:r>
        <w:rPr/>
        <w:t>\\CFINNY03\wp\PC\Docs\E\0110260c.cdr</w:t>
      </w:r>
    </w:p>
    <w:p>
      <w:pPr>
        <w:pStyle w:val="Graphic"/>
        <w:rPr/>
      </w:pPr>
      <w:r>
        <w:rPr/>
        <w:drawing>
          <wp:inline distT="0" distB="0" distL="0" distR="0">
            <wp:extent cx="3769995" cy="2540635"/>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32"/>
                    <a:srcRect l="-10" t="-14" r="-10" b="-14"/>
                    <a:stretch>
                      <a:fillRect/>
                    </a:stretch>
                  </pic:blipFill>
                  <pic:spPr bwMode="auto">
                    <a:xfrm>
                      <a:off x="0" y="0"/>
                      <a:ext cx="3769995" cy="2540635"/>
                    </a:xfrm>
                    <a:prstGeom prst="rect">
                      <a:avLst/>
                    </a:prstGeom>
                    <a:noFill/>
                  </pic:spPr>
                </pic:pic>
              </a:graphicData>
            </a:graphic>
          </wp:inline>
        </w:drawing>
      </w:r>
    </w:p>
    <w:p>
      <w:pPr>
        <w:pStyle w:val="Source"/>
        <w:rPr/>
      </w:pPr>
      <w:r>
        <w:rPr/>
        <w:t>Source:  PEMEX, 1999</w:t>
      </w:r>
    </w:p>
    <w:p>
      <w:pPr>
        <w:pStyle w:val="Spacerhalf"/>
        <w:rPr/>
      </w:pPr>
      <w:r>
        <w:rPr/>
      </w:r>
    </w:p>
    <w:p>
      <w:pPr>
        <w:pStyle w:val="WW-Text"/>
        <w:rPr/>
      </w:pPr>
      <w:r>
        <w:rPr/>
        <w:t xml:space="preserve">In accordance with the FSA, PGPB will be responsible for the procurement, transportation and delivery of the fuel up to the delivery point, which is located at the 240-kilometer marker on the Reynosa-Monterrey-Chihuahua pipeline system owned and operated by PGPB. </w:t>
      </w:r>
    </w:p>
    <w:p>
      <w:pPr>
        <w:pStyle w:val="Textbold"/>
        <w:rPr/>
      </w:pPr>
      <w:r>
        <w:rPr/>
        <w:t>Fuel Price</w:t>
      </w:r>
    </w:p>
    <w:p>
      <w:pPr>
        <w:pStyle w:val="WW-Text"/>
        <w:rPr/>
      </w:pPr>
      <w:r>
        <w:rPr/>
        <w:t>Mexican natural gas is internationally priced.  As demand for gas is likely to increase in the northeast region, the natural gas trade between Mexico and the U.S. is likely to continue increasing, reinforcing competition. The map below outlines the country’s natural gas tariff zones, as well as the main flows.</w:t>
      </w:r>
    </w:p>
    <w:p>
      <w:pPr>
        <w:pStyle w:val="GraphicHead"/>
        <w:rPr/>
      </w:pPr>
      <w:r>
        <w:rPr/>
        <w:t>Mexico’s Tariff Zones</w:t>
      </w:r>
    </w:p>
    <w:p>
      <w:pPr>
        <w:pStyle w:val="Hidden"/>
        <w:keepLines/>
        <w:rPr/>
      </w:pPr>
      <w:r>
        <w:rPr/>
        <w:t>\\CFINNY03\wp\PC\Docs\E\0110260c.ppt, Slide "1"</w:t>
      </w:r>
    </w:p>
    <w:p>
      <w:pPr>
        <w:pStyle w:val="Graphic"/>
        <w:keepNext w:val="true"/>
        <w:keepLines/>
        <w:rPr/>
      </w:pPr>
      <w:r>
        <w:rPr/>
        <w:drawing>
          <wp:inline distT="0" distB="0" distL="0" distR="0">
            <wp:extent cx="3312160" cy="2019300"/>
            <wp:effectExtent l="0" t="0" r="0" b="0"/>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33"/>
                    <a:srcRect l="-8" t="-13" r="-8" b="-13"/>
                    <a:stretch>
                      <a:fillRect/>
                    </a:stretch>
                  </pic:blipFill>
                  <pic:spPr bwMode="auto">
                    <a:xfrm>
                      <a:off x="0" y="0"/>
                      <a:ext cx="3312160" cy="2019300"/>
                    </a:xfrm>
                    <a:prstGeom prst="rect">
                      <a:avLst/>
                    </a:prstGeom>
                    <a:noFill/>
                  </pic:spPr>
                </pic:pic>
              </a:graphicData>
            </a:graphic>
          </wp:inline>
        </w:drawing>
      </w:r>
    </w:p>
    <w:p>
      <w:pPr>
        <w:pStyle w:val="Source"/>
        <w:keepLines/>
        <w:rPr/>
      </w:pPr>
      <w:r>
        <w:rPr/>
        <w:t>Source:  Cambridge Energy Research Associates, August 1999</w:t>
      </w:r>
    </w:p>
    <w:p>
      <w:pPr>
        <w:pStyle w:val="Spacerhalf"/>
        <w:rPr/>
      </w:pPr>
      <w:r>
        <w:rPr/>
      </w:r>
    </w:p>
    <w:p>
      <w:pPr>
        <w:pStyle w:val="Textbold"/>
        <w:rPr/>
      </w:pPr>
      <w:r>
        <w:rPr/>
        <w:t>The Connecting Pipeline</w:t>
      </w:r>
    </w:p>
    <w:p>
      <w:pPr>
        <w:pStyle w:val="WW-Text"/>
        <w:rPr/>
      </w:pPr>
      <w:r>
        <w:rPr/>
        <w:t>In order to bring the fuel from the Delivery Point to the Project Site, the Project Company will build interconnections to two PGPB pipelines.  One of the pipelines will be used as back-up during maintenance procedures.</w:t>
      </w:r>
    </w:p>
    <w:p>
      <w:pPr>
        <w:pStyle w:val="WW-Text"/>
        <w:rPr/>
      </w:pPr>
      <w:r>
        <w:rPr/>
        <w:t>The pipeline interconnections will be approximately 100 meters in length and over 20 inches in diameter designed to operate at up to 75</w:t>
      </w:r>
      <w:r>
        <w:rPr>
          <w:b/>
        </w:rPr>
        <w:t xml:space="preserve"> </w:t>
      </w:r>
      <w:r>
        <w:rPr/>
        <w:t xml:space="preserve">bars.  The construction of the pipeline interconnections is included in the EPC Contract. </w:t>
      </w:r>
    </w:p>
    <w:p>
      <w:pPr>
        <w:pStyle w:val="WW-Text"/>
        <w:rPr/>
      </w:pPr>
      <w:r>
        <w:rPr/>
        <w:t xml:space="preserve">The operation and maintenance will be undertaken by OEC as part of its operating and maintenance activities. </w:t>
      </w:r>
    </w:p>
    <w:p>
      <w:pPr>
        <w:pStyle w:val="Textbold"/>
        <w:rPr/>
      </w:pPr>
      <w:r>
        <w:rPr/>
        <w:t>Fuel price</w:t>
      </w:r>
    </w:p>
    <w:p>
      <w:pPr>
        <w:pStyle w:val="WW-Text"/>
        <w:rPr/>
      </w:pPr>
      <w:r>
        <w:rPr/>
        <w:t>The fuel price used in the calculation of the fuel charge payable by the Capacity Users to the Project Company under the PPAs mirrors the price charged by PGPB to the Project Company under the FSA.</w:t>
      </w:r>
    </w:p>
    <w:p>
      <w:pPr>
        <w:pStyle w:val="Textbold"/>
        <w:rPr/>
      </w:pPr>
      <w:r>
        <w:rPr/>
        <w:t>Water Supply and Disposal</w:t>
      </w:r>
    </w:p>
    <w:p>
      <w:pPr>
        <w:pStyle w:val="WW-Text"/>
        <w:rPr/>
      </w:pPr>
      <w:r>
        <w:rPr/>
        <w:t>In accordance with the SPA, Alcali will provide the Project with its make-up water supply, including condensate return.  In addition, Alcali will handle all of the Project’s waste water treatment requirements.</w:t>
      </w:r>
    </w:p>
    <w:p>
      <w:pPr>
        <w:pStyle w:val="WW-Text"/>
        <w:rPr/>
      </w:pPr>
      <w:r>
        <w:rPr/>
        <w:t xml:space="preserve">Alcali will deliver to the Project up to 572 gallons per minute of water at the Project’s request, plus such additional quantities required to cover shortfalls in the delivery of condensate and low pressure waste steam as required under the SPA.  The water supplied by Alcali will be purified by reverse osmosis procedures.  </w:t>
      </w:r>
    </w:p>
    <w:p>
      <w:pPr>
        <w:pStyle w:val="WW-Text"/>
        <w:rPr/>
      </w:pPr>
      <w:r>
        <w:rPr/>
        <w:t>The water provided by Alcali comes from several wells with capacity of 2,240 gallons per minute.</w:t>
      </w:r>
    </w:p>
    <w:p>
      <w:pPr>
        <w:pStyle w:val="WW-Text"/>
        <w:rPr/>
      </w:pPr>
      <w:r>
        <w:rPr/>
        <w:t>The waste water will be delivered by the Project to Alcali at the point of delivery for waste water for volumes of up to 50.1 gallons per minute.</w:t>
      </w:r>
    </w:p>
    <w:p>
      <w:pPr>
        <w:pStyle w:val="WW-Text"/>
        <w:rPr/>
      </w:pPr>
      <w:r>
        <w:rPr/>
        <w:t>The Project will include a pipe rack with four dedicated pipelines, which will interconnect the Project with the Alcali plant.  The four dedicated pipelines will provide (1) condensate return, (2) low pressure waste steam return and water from Alcali to the Project, (3) steam from the Producer and (4) waste water from the producer to Alcali.</w:t>
      </w:r>
    </w:p>
    <w:p>
      <w:pPr>
        <w:pStyle w:val="WW-Text"/>
        <w:rPr/>
      </w:pPr>
      <w:r>
        <w:rPr/>
        <w:t>In addition, raw water and potable water shall be delivered to the site by truck.  Raw water shall be stored in a raw water storage tank with a 300,000 gallon capacity of which 240,000 gallons will be dedicated to fire fighting and 60,000 gallons to the Project’s service water.</w:t>
      </w:r>
    </w:p>
    <w:p>
      <w:pPr>
        <w:pStyle w:val="Textbold"/>
        <w:rPr/>
      </w:pPr>
      <w:r>
        <w:rPr/>
        <w:t xml:space="preserve">Transmission Interconnection </w:t>
      </w:r>
    </w:p>
    <w:p>
      <w:pPr>
        <w:pStyle w:val="WW-Text"/>
        <w:rPr/>
      </w:pPr>
      <w:r>
        <w:rPr/>
        <w:t>The Project includes two interconnection points.  The first one will involve the construction and operation of 115 kV transmission facility required to deliver the power generated by the Project to two existing CFE substations, Villa de García and Arco Vial, located at approximately 6.7 kilometers and 5.0 kilometers from the Project, respectively.  Power generated by the Project will be wheeled over CFE transmission lines to the Vitro, IMSA and Apasco plants excluding the ones connected to the second interconnection point.  The second interconnection will involve the construction and operation of a 3.1-kilometer, 115 kV electric power transmission network for delivery to four substations of Vitro that feed the plants (1) Vitro Flotado, S.A. de C.V., (2) the facilities of Vitro Flex, S.A. de C.V., (3) the facilities of Autotemplex, S.A. de C.V., and (4) Alcali.  The substations and lines that feed the Vitro plants are located in the vicinity of the Project.</w:t>
      </w:r>
    </w:p>
    <w:p>
      <w:pPr>
        <w:pStyle w:val="WW-Text"/>
        <w:rPr/>
      </w:pPr>
      <w:r>
        <w:rPr/>
        <w:t>The connection to CFE’s substation at Villa de García and Arco Vial will provide added grid stability in the Villa de García area and improve the flow of electricity along the transmission corridor from the city of Saltillo to the city of Torreón.  All transmission work required for the Project is part of the EPC Scope of Work.  CFE will not be required to make any improvements to accommodate the additional capacity.</w:t>
      </w:r>
    </w:p>
    <w:p>
      <w:pPr>
        <w:pStyle w:val="WW-Text"/>
        <w:rPr/>
      </w:pPr>
      <w:r>
        <w:rPr/>
        <w:t>The CFE Agreements consist of the following documents:</w:t>
      </w:r>
    </w:p>
    <w:p>
      <w:pPr>
        <w:pStyle w:val="Textbulletsmall"/>
        <w:numPr>
          <w:ilvl w:val="0"/>
          <w:numId w:val="4"/>
        </w:numPr>
        <w:rPr/>
      </w:pPr>
      <w:r>
        <w:rPr/>
        <w:t>Interconnection Agreement with Annexes;</w:t>
      </w:r>
    </w:p>
    <w:p>
      <w:pPr>
        <w:pStyle w:val="Textbulletsmall"/>
        <w:numPr>
          <w:ilvl w:val="0"/>
          <w:numId w:val="4"/>
        </w:numPr>
        <w:rPr/>
      </w:pPr>
      <w:r>
        <w:rPr/>
        <w:t>Back Up Supply Contract for Forced Outages;</w:t>
      </w:r>
    </w:p>
    <w:p>
      <w:pPr>
        <w:pStyle w:val="Textbulletsmall"/>
        <w:numPr>
          <w:ilvl w:val="0"/>
          <w:numId w:val="4"/>
        </w:numPr>
        <w:rPr/>
      </w:pPr>
      <w:r>
        <w:rPr/>
        <w:t>Back Up Supply Contract for Scheduled Outages;</w:t>
      </w:r>
    </w:p>
    <w:p>
      <w:pPr>
        <w:pStyle w:val="Textbulletsmall"/>
        <w:numPr>
          <w:ilvl w:val="0"/>
          <w:numId w:val="4"/>
        </w:numPr>
        <w:rPr/>
      </w:pPr>
      <w:r>
        <w:rPr/>
        <w:t>Sale of Excess Economic Energy Agreement; and</w:t>
      </w:r>
    </w:p>
    <w:p>
      <w:pPr>
        <w:pStyle w:val="Textbulletsmall"/>
        <w:numPr>
          <w:ilvl w:val="0"/>
          <w:numId w:val="4"/>
        </w:numPr>
        <w:rPr/>
      </w:pPr>
      <w:r>
        <w:rPr/>
        <w:t>Transmission Services Agreement with Annexes.</w:t>
      </w:r>
    </w:p>
    <w:p>
      <w:pPr>
        <w:pStyle w:val="WW-Text"/>
        <w:rPr/>
      </w:pPr>
      <w:r>
        <w:rPr/>
        <w:t xml:space="preserve">The documents are all interrelated to create a cohesive package of agreements to address interconnection, transmission, back-up power and excess energy sales for the Project.  The primary agreement is the Interconnection Agreement.  This agreement provides for the Project to deliver 245 MW of energy to the interconnection point between the Project and the CFE grid system (the “Interconnection Point”).  28.609 MW of the energy delivered to the Interconnection Point will be delivered to several Capacity Users under the Vitro PPA via the local grid being constructed under the EPC Contract.  The balance of the energy will be delivered by CFE to the remaining Capacity Users using a predetermined delivery schedule outlined in Annex F and Table 1A of the Interconnection Agreement.  </w:t>
      </w:r>
    </w:p>
    <w:p>
      <w:pPr>
        <w:pStyle w:val="WW-Text"/>
        <w:rPr/>
      </w:pPr>
      <w:r>
        <w:rPr/>
        <w:t xml:space="preserve">The allocations under Annex F of the Interconnection Agreement are made in accordance with a three step process.  The first step allocates energy to the various Capacity Users in accordance with a predetermined priority.  If after the first round of allocations, there is excess energy, CFE again allocates in accordance with a second predetermined priority until each Capacity User is allocated up to its Maximum Wheeling Demand.  The Maximum Wheeling Demand for each Capacity User is equivalent to its contracted capacity, with the exception of </w:t>
      </w:r>
      <w:r>
        <w:rPr>
          <w:caps/>
        </w:rPr>
        <w:t>Imsa.  Imsa</w:t>
      </w:r>
      <w:r>
        <w:rPr/>
        <w:t xml:space="preserve">’s Maximum Wheeling Demand is 16.436 MW greater than its contracted capacity to allow for transmission of its purchases of Available Excess Energy.  </w:t>
      </w:r>
    </w:p>
    <w:p>
      <w:pPr>
        <w:pStyle w:val="WW-Text"/>
        <w:rPr/>
      </w:pPr>
      <w:r>
        <w:rPr/>
        <w:t>If after the second round allocations, there is still excess energy available, then under the Sale of Excess Economic Energy Agreement, CFE may, subject to the dispatch rules established by CENACE, purchase such excess energy.  The price at which CFE will buy the excess energy shall be either: (1) a price negotiated between the Project Company and CFE at the time of the sale; (2) 90% of CFE’s marginal cost of production in the region if the Project Company notified CFE of the excess energy in advance; and (3) 85% of CFE’s marginal cost of production in the region if the Project Company did not notify the CFE of the excess energy in advance.  The nature of these contractual arrangements will allow the Project Company to operate the plant at a 100% load factor and be assured that all of the energy produced will be purchased and utilized.</w:t>
      </w:r>
    </w:p>
    <w:p>
      <w:pPr>
        <w:pStyle w:val="WW-Text"/>
        <w:rPr/>
      </w:pPr>
      <w:r>
        <w:rPr/>
        <w:t xml:space="preserve">The Project Company has also contracted for 245 MW of back-up power under two separate contracts; one for forced outages and one for scheduled outages.  The back-up supply contracts obligate CFE to deliver back-up power to the Interconnection Point whenever the plant is down.  The cost of the back-up power is tariff-based and is designed as a pass-through under the PPAs subject to the guaranteed availability of the plant. </w:t>
      </w:r>
    </w:p>
    <w:p>
      <w:pPr>
        <w:pStyle w:val="WW-Text"/>
        <w:rPr/>
      </w:pPr>
      <w:r>
        <w:rPr/>
        <w:t>The Transmission Services Agreement provides for the cost and terms of the transmission of energy by CFE to the Capacity Users.  This agreement outlines the fixed costs of transmission as well as the variable costs, which include all line losses.  The costs are split out between transmission (higher than 85 kV) and distribution (lower than 85 kV).  Annex 1 of the PPAs states that all transmission costs and associated cost will be a direct pass-through to the Capacity Users.</w:t>
      </w:r>
    </w:p>
    <w:p>
      <w:pPr>
        <w:pStyle w:val="WW-Text"/>
        <w:rPr/>
      </w:pPr>
      <w:r>
        <w:rPr/>
        <w:t xml:space="preserve">In essence, the CFE agreements work as a netting system to account for the generation and sale of energy.  Metering will take place at the Interconnection Point and each Delivery Point.  On a real-time basis the Project Company and CFE will know exactly how much energy was delivered to the Interconnection Point by the plant and how much energy was received by each Capacity User.  If in any hourly period, the energy produced by the Project Company is greater than the energy taken by the Capacity Users, the difference is energy sold to CFE under the Sale of Excess Economic Energy Agreement.  Similarly, if the Project Company produces less than the net dependable capacity and the Capacity Users have taken more than the Project Company has produced, the difference (up to the net dependable capacity) is energy sold by CFE under either of the two back-up supply agreements. </w:t>
      </w:r>
    </w:p>
    <w:p>
      <w:pPr>
        <w:pStyle w:val="Textbold"/>
        <w:rPr/>
      </w:pPr>
      <w:r>
        <w:rPr/>
        <w:t>Insurance</w:t>
      </w:r>
    </w:p>
    <w:p>
      <w:pPr>
        <w:pStyle w:val="WW-Text"/>
        <w:rPr/>
      </w:pPr>
      <w:r>
        <w:rPr/>
        <w:t xml:space="preserve">The Project Company has designed an insurance program that is intended to meet the insurance requirements of the Project agreements including the PPA and the insurance requirements under the financial documentation.  </w:t>
      </w:r>
    </w:p>
    <w:p>
      <w:pPr>
        <w:pStyle w:val="Textbold"/>
        <w:rPr/>
      </w:pPr>
      <w:r>
        <w:rPr/>
        <w:t>Environmental</w:t>
      </w:r>
    </w:p>
    <w:p>
      <w:pPr>
        <w:pStyle w:val="WW-Text"/>
        <w:rPr>
          <w:lang w:eastAsia="en-US"/>
        </w:rPr>
      </w:pPr>
      <w:r>
        <w:rPr>
          <w:lang w:eastAsia="en-US"/>
        </w:rPr>
        <w:t>An Environmental and Social Management Plan (ESMP) was established for both the construction and the operation phases which will include a contingency plan for identified risks.</w:t>
      </w:r>
    </w:p>
    <w:p>
      <w:pPr>
        <w:pStyle w:val="WW-Text"/>
        <w:rPr>
          <w:lang w:eastAsia="en-US"/>
        </w:rPr>
      </w:pPr>
      <w:r>
        <w:rPr>
          <w:lang w:eastAsia="en-US"/>
        </w:rPr>
        <w:t xml:space="preserve">The main environmental concerns regard impacts on air quality, noise and groundwater. Additional environmental issues assessed include impacts of wastewater discharges, soil contamination, waste disposal, impacts on flora and fauna, and socio-economic impacts. Current environmental management practices at Grupo Vitro in general, and existing liabilities at Alcali, in particular, were also assessed.  A risk identification matrix was submitted as part of the Risk Study.  It focused on risk to personnel and facilities with some mention of potential for contamination.  The main positive impact of the project will result from replacing the Alcali boilers by with the Project’s modern low-NOx burner.  Another positive impact is that natural gas results in minimum greenhouse gas emissions.  When considering the climate change impact of a project, the emission effect falls into one of three categories: emissions can be avoided, offset or reduced.  The Project will be used to satisfy an energy demand that otherwise would not be supplied.  By installing a cogeneration plant instead of any other conventional power system, greenhouse gas emissions are being avoided compared to other hydrocarbon fuels.  Carbon emissions will be significantly less than from conventional systems because of the higher efficiencies of cogeneration systems.  </w:t>
      </w:r>
    </w:p>
    <w:p>
      <w:pPr>
        <w:pStyle w:val="Textbold"/>
        <w:rPr/>
      </w:pPr>
      <w:r>
        <w:rPr/>
        <w:t>Financing Plan</w:t>
      </w:r>
    </w:p>
    <w:p>
      <w:pPr>
        <w:pStyle w:val="WW-Text"/>
        <w:rPr/>
      </w:pPr>
      <w:r>
        <w:rPr/>
        <w:t>The total Project cost is expected to equal approximately US$185 million and to be financed with the Senior Debt and Sponsor equity. Senior Debt will be provided to the Project in the form of a US$136.5 million A/B loan with a total tenor of construction plus 14 years.</w:t>
      </w:r>
      <w:r>
        <w:br w:type="page"/>
      </w:r>
    </w:p>
    <w:p>
      <w:pPr>
        <w:pStyle w:val="WW-Text"/>
        <w:rPr/>
      </w:pPr>
      <w:r>
        <w:rPr/>
        <w:t>The table below presents the expected sources and uses of funds for the Project.</w:t>
      </w:r>
    </w:p>
    <w:p>
      <w:pPr>
        <w:pStyle w:val="Spacer"/>
        <w:rPr/>
      </w:pPr>
      <w:r>
        <w:rPr/>
      </w:r>
    </w:p>
    <w:tbl>
      <w:tblPr>
        <w:tblW w:w="9407" w:type="dxa"/>
        <w:jc w:val="start"/>
        <w:tblInd w:w="0" w:type="dxa"/>
        <w:tblLayout w:type="fixed"/>
        <w:tblCellMar>
          <w:top w:w="0" w:type="dxa"/>
          <w:start w:w="0" w:type="dxa"/>
          <w:bottom w:w="0" w:type="dxa"/>
          <w:end w:w="0" w:type="dxa"/>
        </w:tblCellMar>
      </w:tblPr>
      <w:tblGrid>
        <w:gridCol w:w="1890"/>
        <w:gridCol w:w="1350"/>
        <w:gridCol w:w="1217"/>
        <w:gridCol w:w="2592"/>
        <w:gridCol w:w="1102"/>
        <w:gridCol w:w="1256"/>
      </w:tblGrid>
      <w:tr>
        <w:trPr/>
        <w:tc>
          <w:tcPr>
            <w:tcW w:w="1890" w:type="dxa"/>
            <w:tcBorders>
              <w:bottom w:val="single" w:sz="6" w:space="0" w:color="000000"/>
            </w:tcBorders>
            <w:vAlign w:val="center"/>
          </w:tcPr>
          <w:p>
            <w:pPr>
              <w:pStyle w:val="Normal"/>
              <w:keepNext w:val="true"/>
              <w:keepLines/>
              <w:spacing w:before="60" w:after="60"/>
              <w:rPr>
                <w:b/>
                <w:sz w:val="21"/>
              </w:rPr>
            </w:pPr>
            <w:r>
              <w:rPr>
                <w:b/>
                <w:sz w:val="21"/>
              </w:rPr>
              <w:t xml:space="preserve">SOURCES </w:t>
            </w:r>
          </w:p>
        </w:tc>
        <w:tc>
          <w:tcPr>
            <w:tcW w:w="1350" w:type="dxa"/>
            <w:tcBorders>
              <w:bottom w:val="single" w:sz="6" w:space="0" w:color="000000"/>
            </w:tcBorders>
            <w:vAlign w:val="center"/>
          </w:tcPr>
          <w:p>
            <w:pPr>
              <w:pStyle w:val="Normal"/>
              <w:keepNext w:val="true"/>
              <w:keepLines/>
              <w:spacing w:before="60" w:after="60"/>
              <w:jc w:val="center"/>
              <w:rPr>
                <w:b/>
                <w:sz w:val="21"/>
              </w:rPr>
            </w:pPr>
            <w:r>
              <w:rPr>
                <w:b/>
                <w:sz w:val="21"/>
              </w:rPr>
              <w:t>US$ millions</w:t>
            </w:r>
          </w:p>
        </w:tc>
        <w:tc>
          <w:tcPr>
            <w:tcW w:w="1217" w:type="dxa"/>
            <w:tcBorders>
              <w:bottom w:val="single" w:sz="6" w:space="0" w:color="000000"/>
            </w:tcBorders>
            <w:vAlign w:val="center"/>
          </w:tcPr>
          <w:p>
            <w:pPr>
              <w:pStyle w:val="Normal"/>
              <w:keepNext w:val="true"/>
              <w:keepLines/>
              <w:spacing w:before="60" w:after="60"/>
              <w:jc w:val="center"/>
              <w:rPr>
                <w:b/>
                <w:sz w:val="21"/>
              </w:rPr>
            </w:pPr>
            <w:r>
              <w:rPr>
                <w:b/>
                <w:sz w:val="21"/>
              </w:rPr>
              <w:t>% of total</w:t>
            </w:r>
          </w:p>
        </w:tc>
        <w:tc>
          <w:tcPr>
            <w:tcW w:w="2592" w:type="dxa"/>
            <w:tcBorders>
              <w:bottom w:val="single" w:sz="6" w:space="0" w:color="000000"/>
            </w:tcBorders>
            <w:vAlign w:val="center"/>
          </w:tcPr>
          <w:p>
            <w:pPr>
              <w:pStyle w:val="Normal"/>
              <w:keepNext w:val="true"/>
              <w:keepLines/>
              <w:spacing w:before="60" w:after="60"/>
              <w:rPr>
                <w:b/>
                <w:sz w:val="21"/>
              </w:rPr>
            </w:pPr>
            <w:r>
              <w:rPr>
                <w:b/>
                <w:sz w:val="21"/>
              </w:rPr>
              <w:t>USES</w:t>
            </w:r>
          </w:p>
        </w:tc>
        <w:tc>
          <w:tcPr>
            <w:tcW w:w="1102" w:type="dxa"/>
            <w:tcBorders>
              <w:bottom w:val="single" w:sz="6" w:space="0" w:color="000000"/>
            </w:tcBorders>
            <w:vAlign w:val="center"/>
          </w:tcPr>
          <w:p>
            <w:pPr>
              <w:pStyle w:val="Normal"/>
              <w:keepNext w:val="true"/>
              <w:keepLines/>
              <w:spacing w:before="60" w:after="60"/>
              <w:jc w:val="center"/>
              <w:rPr>
                <w:b/>
                <w:sz w:val="21"/>
              </w:rPr>
            </w:pPr>
            <w:r>
              <w:rPr>
                <w:b/>
                <w:sz w:val="21"/>
              </w:rPr>
              <w:t>US$ millions</w:t>
            </w:r>
          </w:p>
        </w:tc>
        <w:tc>
          <w:tcPr>
            <w:tcW w:w="1256" w:type="dxa"/>
            <w:tcBorders>
              <w:bottom w:val="single" w:sz="6" w:space="0" w:color="000000"/>
            </w:tcBorders>
            <w:vAlign w:val="center"/>
          </w:tcPr>
          <w:p>
            <w:pPr>
              <w:pStyle w:val="Normal"/>
              <w:keepNext w:val="true"/>
              <w:keepLines/>
              <w:spacing w:before="60" w:after="60"/>
              <w:jc w:val="center"/>
              <w:rPr>
                <w:b/>
                <w:sz w:val="21"/>
              </w:rPr>
            </w:pPr>
            <w:r>
              <w:rPr>
                <w:b/>
                <w:sz w:val="21"/>
              </w:rPr>
              <w:t>% of total</w:t>
            </w:r>
          </w:p>
        </w:tc>
      </w:tr>
      <w:tr>
        <w:trPr/>
        <w:tc>
          <w:tcPr>
            <w:tcW w:w="1890" w:type="dxa"/>
            <w:tcBorders/>
          </w:tcPr>
          <w:p>
            <w:pPr>
              <w:pStyle w:val="Normal"/>
              <w:keepNext w:val="true"/>
              <w:keepLines/>
              <w:spacing w:before="120" w:after="0"/>
              <w:rPr/>
            </w:pPr>
            <w:r>
              <w:rPr/>
              <w:t>IDB A &amp; B Loans</w:t>
            </w:r>
          </w:p>
        </w:tc>
        <w:tc>
          <w:tcPr>
            <w:tcW w:w="1350" w:type="dxa"/>
            <w:tcBorders/>
          </w:tcPr>
          <w:p>
            <w:pPr>
              <w:pStyle w:val="Normal"/>
              <w:keepNext w:val="true"/>
              <w:keepLines/>
              <w:tabs>
                <w:tab w:val="clear" w:pos="720"/>
                <w:tab w:val="left" w:pos="365" w:leader="none"/>
                <w:tab w:val="decimal" w:pos="825" w:leader="none"/>
              </w:tabs>
              <w:spacing w:before="120" w:after="0"/>
              <w:ind w:start="305" w:end="305"/>
              <w:rPr/>
            </w:pPr>
            <w:r>
              <w:rPr/>
              <w:tab/>
              <w:t>$</w:t>
              <w:tab/>
              <w:t>136.5</w:t>
            </w:r>
          </w:p>
        </w:tc>
        <w:tc>
          <w:tcPr>
            <w:tcW w:w="1217" w:type="dxa"/>
            <w:tcBorders/>
          </w:tcPr>
          <w:p>
            <w:pPr>
              <w:pStyle w:val="Normal"/>
              <w:keepNext w:val="true"/>
              <w:keepLines/>
              <w:tabs>
                <w:tab w:val="clear" w:pos="720"/>
                <w:tab w:val="decimal" w:pos="708" w:leader="none"/>
              </w:tabs>
              <w:spacing w:before="120" w:after="0"/>
              <w:ind w:start="178" w:end="178"/>
              <w:rPr/>
            </w:pPr>
            <w:r>
              <w:rPr/>
              <w:t>72.6%</w:t>
            </w:r>
          </w:p>
        </w:tc>
        <w:tc>
          <w:tcPr>
            <w:tcW w:w="2592" w:type="dxa"/>
            <w:tcBorders/>
          </w:tcPr>
          <w:p>
            <w:pPr>
              <w:pStyle w:val="Normal"/>
              <w:keepNext w:val="true"/>
              <w:keepLines/>
              <w:spacing w:before="120" w:after="0"/>
              <w:rPr/>
            </w:pPr>
            <w:r>
              <w:rPr/>
              <w:t>EPC Contract</w:t>
            </w:r>
          </w:p>
        </w:tc>
        <w:tc>
          <w:tcPr>
            <w:tcW w:w="1102" w:type="dxa"/>
            <w:tcBorders/>
          </w:tcPr>
          <w:p>
            <w:pPr>
              <w:pStyle w:val="Normal"/>
              <w:keepNext w:val="true"/>
              <w:keepLines/>
              <w:tabs>
                <w:tab w:val="clear" w:pos="720"/>
                <w:tab w:val="left" w:pos="241" w:leader="none"/>
                <w:tab w:val="decimal" w:pos="701" w:leader="none"/>
              </w:tabs>
              <w:spacing w:before="120" w:after="0"/>
              <w:ind w:start="181" w:end="181"/>
              <w:rPr/>
            </w:pPr>
            <w:r>
              <w:rPr/>
              <w:tab/>
              <w:t>$</w:t>
              <w:tab/>
              <w:t>134.3</w:t>
            </w:r>
          </w:p>
        </w:tc>
        <w:tc>
          <w:tcPr>
            <w:tcW w:w="1256" w:type="dxa"/>
            <w:tcBorders/>
          </w:tcPr>
          <w:p>
            <w:pPr>
              <w:pStyle w:val="Normal"/>
              <w:keepNext w:val="true"/>
              <w:keepLines/>
              <w:tabs>
                <w:tab w:val="clear" w:pos="720"/>
                <w:tab w:val="decimal" w:pos="728" w:leader="none"/>
              </w:tabs>
              <w:spacing w:before="120" w:after="0"/>
              <w:ind w:start="198" w:end="198"/>
              <w:rPr/>
            </w:pPr>
            <w:r>
              <w:rPr/>
              <w:t>71.5%</w:t>
            </w:r>
          </w:p>
        </w:tc>
      </w:tr>
      <w:tr>
        <w:trPr/>
        <w:tc>
          <w:tcPr>
            <w:tcW w:w="1890" w:type="dxa"/>
            <w:tcBorders/>
          </w:tcPr>
          <w:p>
            <w:pPr>
              <w:pStyle w:val="Normal"/>
              <w:keepNext w:val="true"/>
              <w:keepLines/>
              <w:rPr/>
            </w:pPr>
            <w:r>
              <w:rPr/>
              <w:t>Equity</w:t>
            </w:r>
          </w:p>
        </w:tc>
        <w:tc>
          <w:tcPr>
            <w:tcW w:w="1350" w:type="dxa"/>
            <w:tcBorders/>
          </w:tcPr>
          <w:p>
            <w:pPr>
              <w:pStyle w:val="Normal"/>
              <w:keepNext w:val="true"/>
              <w:keepLines/>
              <w:tabs>
                <w:tab w:val="clear" w:pos="720"/>
                <w:tab w:val="decimal" w:pos="825" w:leader="none"/>
              </w:tabs>
              <w:ind w:start="305" w:end="305"/>
              <w:rPr/>
            </w:pPr>
            <w:r>
              <w:rPr/>
              <w:t>51.5</w:t>
            </w:r>
          </w:p>
        </w:tc>
        <w:tc>
          <w:tcPr>
            <w:tcW w:w="1217" w:type="dxa"/>
            <w:tcBorders/>
          </w:tcPr>
          <w:p>
            <w:pPr>
              <w:pStyle w:val="Normal"/>
              <w:keepNext w:val="true"/>
              <w:keepLines/>
              <w:tabs>
                <w:tab w:val="clear" w:pos="720"/>
                <w:tab w:val="decimal" w:pos="708" w:leader="none"/>
              </w:tabs>
              <w:ind w:start="178" w:end="178"/>
              <w:rPr/>
            </w:pPr>
            <w:r>
              <w:rPr/>
              <w:t>27.4%</w:t>
            </w:r>
          </w:p>
        </w:tc>
        <w:tc>
          <w:tcPr>
            <w:tcW w:w="2592" w:type="dxa"/>
            <w:tcBorders/>
          </w:tcPr>
          <w:p>
            <w:pPr>
              <w:pStyle w:val="Normal"/>
              <w:keepNext w:val="true"/>
              <w:keepLines/>
              <w:rPr/>
            </w:pPr>
            <w:r>
              <w:rPr/>
              <w:t>Other Hard Costs</w:t>
            </w:r>
          </w:p>
        </w:tc>
        <w:tc>
          <w:tcPr>
            <w:tcW w:w="1102" w:type="dxa"/>
            <w:tcBorders/>
          </w:tcPr>
          <w:p>
            <w:pPr>
              <w:pStyle w:val="Normal"/>
              <w:keepNext w:val="true"/>
              <w:keepLines/>
              <w:tabs>
                <w:tab w:val="clear" w:pos="720"/>
                <w:tab w:val="decimal" w:pos="701" w:leader="none"/>
              </w:tabs>
              <w:ind w:start="181" w:end="181"/>
              <w:rPr/>
            </w:pPr>
            <w:r>
              <w:rPr/>
              <w:t>10.9</w:t>
            </w:r>
          </w:p>
        </w:tc>
        <w:tc>
          <w:tcPr>
            <w:tcW w:w="1256" w:type="dxa"/>
            <w:tcBorders/>
          </w:tcPr>
          <w:p>
            <w:pPr>
              <w:pStyle w:val="Normal"/>
              <w:keepNext w:val="true"/>
              <w:keepLines/>
              <w:tabs>
                <w:tab w:val="clear" w:pos="720"/>
                <w:tab w:val="decimal" w:pos="728" w:leader="none"/>
              </w:tabs>
              <w:ind w:start="198" w:end="198"/>
              <w:rPr/>
            </w:pPr>
            <w:r>
              <w:rPr/>
              <w:t>5.8</w:t>
            </w:r>
          </w:p>
        </w:tc>
      </w:tr>
      <w:tr>
        <w:trPr/>
        <w:tc>
          <w:tcPr>
            <w:tcW w:w="1890" w:type="dxa"/>
            <w:tcBorders/>
          </w:tcPr>
          <w:p>
            <w:pPr>
              <w:pStyle w:val="Normal"/>
              <w:keepNext w:val="true"/>
              <w:keepLines/>
              <w:snapToGrid w:val="false"/>
              <w:rPr/>
            </w:pPr>
            <w:r>
              <w:rPr/>
            </w:r>
          </w:p>
        </w:tc>
        <w:tc>
          <w:tcPr>
            <w:tcW w:w="1350" w:type="dxa"/>
            <w:tcBorders/>
          </w:tcPr>
          <w:p>
            <w:pPr>
              <w:pStyle w:val="Normal"/>
              <w:keepNext w:val="true"/>
              <w:keepLines/>
              <w:tabs>
                <w:tab w:val="clear" w:pos="720"/>
                <w:tab w:val="decimal" w:pos="985" w:leader="none"/>
              </w:tabs>
              <w:snapToGrid w:val="false"/>
              <w:ind w:start="305" w:end="305"/>
              <w:rPr/>
            </w:pPr>
            <w:r>
              <w:rPr/>
            </w:r>
          </w:p>
        </w:tc>
        <w:tc>
          <w:tcPr>
            <w:tcW w:w="1217" w:type="dxa"/>
            <w:tcBorders/>
          </w:tcPr>
          <w:p>
            <w:pPr>
              <w:pStyle w:val="Normal"/>
              <w:keepNext w:val="true"/>
              <w:keepLines/>
              <w:tabs>
                <w:tab w:val="clear" w:pos="720"/>
                <w:tab w:val="decimal" w:pos="868" w:leader="none"/>
              </w:tabs>
              <w:snapToGrid w:val="false"/>
              <w:ind w:start="178" w:end="178"/>
              <w:rPr/>
            </w:pPr>
            <w:r>
              <w:rPr/>
            </w:r>
          </w:p>
        </w:tc>
        <w:tc>
          <w:tcPr>
            <w:tcW w:w="2592" w:type="dxa"/>
            <w:tcBorders/>
          </w:tcPr>
          <w:p>
            <w:pPr>
              <w:pStyle w:val="Header"/>
              <w:keepNext w:val="true"/>
              <w:keepLines/>
              <w:tabs>
                <w:tab w:val="clear" w:pos="4320"/>
                <w:tab w:val="clear" w:pos="8640"/>
              </w:tabs>
              <w:rPr/>
            </w:pPr>
            <w:r>
              <w:rPr/>
              <w:t>Other Costs</w:t>
            </w:r>
          </w:p>
        </w:tc>
        <w:tc>
          <w:tcPr>
            <w:tcW w:w="1102" w:type="dxa"/>
            <w:tcBorders/>
          </w:tcPr>
          <w:p>
            <w:pPr>
              <w:pStyle w:val="Normal"/>
              <w:keepNext w:val="true"/>
              <w:keepLines/>
              <w:tabs>
                <w:tab w:val="clear" w:pos="720"/>
                <w:tab w:val="decimal" w:pos="701" w:leader="none"/>
              </w:tabs>
              <w:ind w:start="181" w:end="181"/>
              <w:rPr/>
            </w:pPr>
            <w:r>
              <w:rPr/>
              <w:t>13.9</w:t>
            </w:r>
          </w:p>
        </w:tc>
        <w:tc>
          <w:tcPr>
            <w:tcW w:w="1256" w:type="dxa"/>
            <w:tcBorders/>
          </w:tcPr>
          <w:p>
            <w:pPr>
              <w:pStyle w:val="Normal"/>
              <w:keepNext w:val="true"/>
              <w:keepLines/>
              <w:tabs>
                <w:tab w:val="clear" w:pos="720"/>
                <w:tab w:val="decimal" w:pos="728" w:leader="none"/>
              </w:tabs>
              <w:ind w:start="198" w:end="198"/>
              <w:rPr/>
            </w:pPr>
            <w:r>
              <w:rPr/>
              <w:t>7.4</w:t>
            </w:r>
          </w:p>
        </w:tc>
      </w:tr>
      <w:tr>
        <w:trPr/>
        <w:tc>
          <w:tcPr>
            <w:tcW w:w="1890" w:type="dxa"/>
            <w:tcBorders/>
          </w:tcPr>
          <w:p>
            <w:pPr>
              <w:pStyle w:val="Normal"/>
              <w:keepNext w:val="true"/>
              <w:keepLines/>
              <w:snapToGrid w:val="false"/>
              <w:rPr/>
            </w:pPr>
            <w:r>
              <w:rPr/>
            </w:r>
          </w:p>
        </w:tc>
        <w:tc>
          <w:tcPr>
            <w:tcW w:w="1350" w:type="dxa"/>
            <w:tcBorders/>
          </w:tcPr>
          <w:p>
            <w:pPr>
              <w:pStyle w:val="Normal"/>
              <w:keepNext w:val="true"/>
              <w:keepLines/>
              <w:tabs>
                <w:tab w:val="clear" w:pos="720"/>
                <w:tab w:val="decimal" w:pos="985" w:leader="none"/>
              </w:tabs>
              <w:snapToGrid w:val="false"/>
              <w:ind w:start="305" w:end="305"/>
              <w:rPr/>
            </w:pPr>
            <w:r>
              <w:rPr/>
            </w:r>
          </w:p>
        </w:tc>
        <w:tc>
          <w:tcPr>
            <w:tcW w:w="1217" w:type="dxa"/>
            <w:tcBorders/>
          </w:tcPr>
          <w:p>
            <w:pPr>
              <w:pStyle w:val="Normal"/>
              <w:keepNext w:val="true"/>
              <w:keepLines/>
              <w:tabs>
                <w:tab w:val="clear" w:pos="720"/>
                <w:tab w:val="decimal" w:pos="868" w:leader="none"/>
              </w:tabs>
              <w:snapToGrid w:val="false"/>
              <w:ind w:start="178" w:end="178"/>
              <w:rPr/>
            </w:pPr>
            <w:r>
              <w:rPr/>
            </w:r>
          </w:p>
        </w:tc>
        <w:tc>
          <w:tcPr>
            <w:tcW w:w="2592" w:type="dxa"/>
            <w:tcBorders/>
          </w:tcPr>
          <w:p>
            <w:pPr>
              <w:pStyle w:val="Header"/>
              <w:keepNext w:val="true"/>
              <w:keepLines/>
              <w:tabs>
                <w:tab w:val="clear" w:pos="4320"/>
                <w:tab w:val="clear" w:pos="8640"/>
              </w:tabs>
              <w:rPr/>
            </w:pPr>
            <w:r>
              <w:rPr/>
              <w:t>IDC &amp; Financing Costs</w:t>
            </w:r>
          </w:p>
        </w:tc>
        <w:tc>
          <w:tcPr>
            <w:tcW w:w="1102" w:type="dxa"/>
            <w:tcBorders/>
          </w:tcPr>
          <w:p>
            <w:pPr>
              <w:pStyle w:val="Normal"/>
              <w:keepNext w:val="true"/>
              <w:keepLines/>
              <w:tabs>
                <w:tab w:val="clear" w:pos="720"/>
                <w:tab w:val="decimal" w:pos="701" w:leader="none"/>
              </w:tabs>
              <w:ind w:start="181" w:end="181"/>
              <w:rPr/>
            </w:pPr>
            <w:r>
              <w:rPr/>
              <w:t>16.6</w:t>
            </w:r>
          </w:p>
        </w:tc>
        <w:tc>
          <w:tcPr>
            <w:tcW w:w="1256" w:type="dxa"/>
            <w:tcBorders/>
          </w:tcPr>
          <w:p>
            <w:pPr>
              <w:pStyle w:val="Normal"/>
              <w:keepNext w:val="true"/>
              <w:keepLines/>
              <w:tabs>
                <w:tab w:val="clear" w:pos="720"/>
                <w:tab w:val="decimal" w:pos="728" w:leader="none"/>
              </w:tabs>
              <w:ind w:start="198" w:end="198"/>
              <w:rPr/>
            </w:pPr>
            <w:r>
              <w:rPr/>
              <w:t>8.8</w:t>
            </w:r>
          </w:p>
        </w:tc>
      </w:tr>
      <w:tr>
        <w:trPr/>
        <w:tc>
          <w:tcPr>
            <w:tcW w:w="1890" w:type="dxa"/>
            <w:tcBorders/>
          </w:tcPr>
          <w:p>
            <w:pPr>
              <w:pStyle w:val="Normal"/>
              <w:keepNext w:val="true"/>
              <w:keepLines/>
              <w:snapToGrid w:val="false"/>
              <w:rPr/>
            </w:pPr>
            <w:r>
              <w:rPr/>
            </w:r>
          </w:p>
        </w:tc>
        <w:tc>
          <w:tcPr>
            <w:tcW w:w="1350" w:type="dxa"/>
            <w:tcBorders/>
          </w:tcPr>
          <w:p>
            <w:pPr>
              <w:pStyle w:val="Normal"/>
              <w:keepNext w:val="true"/>
              <w:keepLines/>
              <w:tabs>
                <w:tab w:val="clear" w:pos="720"/>
                <w:tab w:val="decimal" w:pos="985" w:leader="none"/>
              </w:tabs>
              <w:snapToGrid w:val="false"/>
              <w:ind w:start="305" w:end="305"/>
              <w:rPr/>
            </w:pPr>
            <w:r>
              <w:rPr/>
            </w:r>
          </w:p>
        </w:tc>
        <w:tc>
          <w:tcPr>
            <w:tcW w:w="1217" w:type="dxa"/>
            <w:tcBorders/>
          </w:tcPr>
          <w:p>
            <w:pPr>
              <w:pStyle w:val="Normal"/>
              <w:keepNext w:val="true"/>
              <w:keepLines/>
              <w:tabs>
                <w:tab w:val="clear" w:pos="720"/>
                <w:tab w:val="decimal" w:pos="868" w:leader="none"/>
              </w:tabs>
              <w:snapToGrid w:val="false"/>
              <w:ind w:start="178" w:end="178"/>
              <w:rPr/>
            </w:pPr>
            <w:r>
              <w:rPr/>
            </w:r>
          </w:p>
        </w:tc>
        <w:tc>
          <w:tcPr>
            <w:tcW w:w="2592" w:type="dxa"/>
            <w:tcBorders/>
          </w:tcPr>
          <w:p>
            <w:pPr>
              <w:pStyle w:val="Normal"/>
              <w:keepNext w:val="true"/>
              <w:keepLines/>
              <w:rPr/>
            </w:pPr>
            <w:r>
              <w:rPr/>
              <w:t>VAT Payment/Recovery</w:t>
            </w:r>
          </w:p>
        </w:tc>
        <w:tc>
          <w:tcPr>
            <w:tcW w:w="1102" w:type="dxa"/>
            <w:tcBorders/>
          </w:tcPr>
          <w:p>
            <w:pPr>
              <w:pStyle w:val="Normal"/>
              <w:keepNext w:val="true"/>
              <w:keepLines/>
              <w:tabs>
                <w:tab w:val="clear" w:pos="720"/>
                <w:tab w:val="decimal" w:pos="701" w:leader="none"/>
              </w:tabs>
              <w:ind w:start="181" w:end="181"/>
              <w:rPr/>
            </w:pPr>
            <w:r>
              <w:rPr/>
              <w:t>5.7</w:t>
            </w:r>
          </w:p>
        </w:tc>
        <w:tc>
          <w:tcPr>
            <w:tcW w:w="1256" w:type="dxa"/>
            <w:tcBorders/>
          </w:tcPr>
          <w:p>
            <w:pPr>
              <w:pStyle w:val="Normal"/>
              <w:keepNext w:val="true"/>
              <w:keepLines/>
              <w:tabs>
                <w:tab w:val="clear" w:pos="720"/>
                <w:tab w:val="decimal" w:pos="728" w:leader="none"/>
              </w:tabs>
              <w:ind w:start="198" w:end="198"/>
              <w:rPr/>
            </w:pPr>
            <w:r>
              <w:rPr/>
              <w:t>3.0</w:t>
            </w:r>
          </w:p>
        </w:tc>
      </w:tr>
      <w:tr>
        <w:trPr/>
        <w:tc>
          <w:tcPr>
            <w:tcW w:w="1890" w:type="dxa"/>
            <w:tcBorders/>
          </w:tcPr>
          <w:p>
            <w:pPr>
              <w:pStyle w:val="Normal"/>
              <w:keepNext w:val="true"/>
              <w:keepLines/>
              <w:snapToGrid w:val="false"/>
              <w:rPr/>
            </w:pPr>
            <w:r>
              <w:rPr/>
            </w:r>
          </w:p>
        </w:tc>
        <w:tc>
          <w:tcPr>
            <w:tcW w:w="1350" w:type="dxa"/>
            <w:tcBorders/>
          </w:tcPr>
          <w:p>
            <w:pPr>
              <w:pStyle w:val="Normal"/>
              <w:keepNext w:val="true"/>
              <w:keepLines/>
              <w:pBdr>
                <w:bottom w:val="single" w:sz="6" w:space="0" w:color="000000"/>
              </w:pBdr>
              <w:tabs>
                <w:tab w:val="clear" w:pos="720"/>
                <w:tab w:val="decimal" w:pos="985" w:leader="none"/>
              </w:tabs>
              <w:snapToGrid w:val="false"/>
              <w:ind w:start="305" w:end="305"/>
              <w:rPr/>
            </w:pPr>
            <w:r>
              <w:rPr/>
            </w:r>
          </w:p>
        </w:tc>
        <w:tc>
          <w:tcPr>
            <w:tcW w:w="1217" w:type="dxa"/>
            <w:tcBorders/>
          </w:tcPr>
          <w:p>
            <w:pPr>
              <w:pStyle w:val="Normal"/>
              <w:keepNext w:val="true"/>
              <w:keepLines/>
              <w:pBdr>
                <w:bottom w:val="single" w:sz="6" w:space="0" w:color="000000"/>
              </w:pBdr>
              <w:tabs>
                <w:tab w:val="clear" w:pos="720"/>
                <w:tab w:val="decimal" w:pos="868" w:leader="none"/>
              </w:tabs>
              <w:snapToGrid w:val="false"/>
              <w:ind w:start="178" w:end="178"/>
              <w:rPr/>
            </w:pPr>
            <w:r>
              <w:rPr/>
            </w:r>
          </w:p>
        </w:tc>
        <w:tc>
          <w:tcPr>
            <w:tcW w:w="2592" w:type="dxa"/>
            <w:tcBorders/>
          </w:tcPr>
          <w:p>
            <w:pPr>
              <w:pStyle w:val="Normal"/>
              <w:keepNext w:val="true"/>
              <w:keepLines/>
              <w:rPr/>
            </w:pPr>
            <w:r>
              <w:rPr/>
              <w:t>Contingency</w:t>
            </w:r>
          </w:p>
        </w:tc>
        <w:tc>
          <w:tcPr>
            <w:tcW w:w="1102" w:type="dxa"/>
            <w:tcBorders/>
          </w:tcPr>
          <w:p>
            <w:pPr>
              <w:pStyle w:val="Normal"/>
              <w:keepNext w:val="true"/>
              <w:keepLines/>
              <w:pBdr>
                <w:bottom w:val="single" w:sz="6" w:space="0" w:color="000000"/>
              </w:pBdr>
              <w:tabs>
                <w:tab w:val="clear" w:pos="720"/>
                <w:tab w:val="decimal" w:pos="701" w:leader="none"/>
              </w:tabs>
              <w:ind w:start="181" w:end="181"/>
              <w:rPr/>
            </w:pPr>
            <w:r>
              <w:rPr/>
              <w:t>6.6</w:t>
            </w:r>
          </w:p>
        </w:tc>
        <w:tc>
          <w:tcPr>
            <w:tcW w:w="1256" w:type="dxa"/>
            <w:tcBorders/>
          </w:tcPr>
          <w:p>
            <w:pPr>
              <w:pStyle w:val="Normal"/>
              <w:keepNext w:val="true"/>
              <w:keepLines/>
              <w:pBdr>
                <w:bottom w:val="single" w:sz="2" w:space="0" w:color="000000"/>
              </w:pBdr>
              <w:tabs>
                <w:tab w:val="clear" w:pos="720"/>
                <w:tab w:val="decimal" w:pos="728" w:leader="none"/>
              </w:tabs>
              <w:ind w:start="198" w:end="198"/>
              <w:rPr/>
            </w:pPr>
            <w:r>
              <w:rPr/>
              <w:t>3.5</w:t>
            </w:r>
          </w:p>
        </w:tc>
      </w:tr>
      <w:tr>
        <w:trPr/>
        <w:tc>
          <w:tcPr>
            <w:tcW w:w="1890" w:type="dxa"/>
            <w:tcBorders>
              <w:bottom w:val="single" w:sz="4" w:space="0" w:color="000000"/>
            </w:tcBorders>
          </w:tcPr>
          <w:p>
            <w:pPr>
              <w:pStyle w:val="Normal"/>
              <w:keepNext w:val="true"/>
              <w:keepLines/>
              <w:rPr>
                <w:b/>
                <w:sz w:val="21"/>
              </w:rPr>
            </w:pPr>
            <w:r>
              <w:rPr>
                <w:b/>
                <w:sz w:val="21"/>
              </w:rPr>
              <w:t xml:space="preserve">  </w:t>
            </w:r>
            <w:r>
              <w:rPr>
                <w:b/>
                <w:sz w:val="21"/>
              </w:rPr>
              <w:t>Total Sources</w:t>
            </w:r>
          </w:p>
        </w:tc>
        <w:tc>
          <w:tcPr>
            <w:tcW w:w="1350" w:type="dxa"/>
            <w:tcBorders>
              <w:bottom w:val="single" w:sz="4" w:space="0" w:color="000000"/>
            </w:tcBorders>
          </w:tcPr>
          <w:p>
            <w:pPr>
              <w:pStyle w:val="Normal"/>
              <w:keepNext w:val="true"/>
              <w:keepLines/>
              <w:tabs>
                <w:tab w:val="clear" w:pos="720"/>
                <w:tab w:val="left" w:pos="365" w:leader="none"/>
                <w:tab w:val="decimal" w:pos="825" w:leader="none"/>
              </w:tabs>
              <w:ind w:start="305" w:end="305"/>
              <w:rPr>
                <w:b/>
                <w:sz w:val="21"/>
              </w:rPr>
            </w:pPr>
            <w:r>
              <w:rPr>
                <w:b/>
                <w:sz w:val="21"/>
              </w:rPr>
              <w:tab/>
              <w:t>$</w:t>
              <w:tab/>
              <w:t>188.0</w:t>
            </w:r>
          </w:p>
        </w:tc>
        <w:tc>
          <w:tcPr>
            <w:tcW w:w="1217" w:type="dxa"/>
            <w:tcBorders>
              <w:bottom w:val="single" w:sz="4" w:space="0" w:color="000000"/>
            </w:tcBorders>
          </w:tcPr>
          <w:p>
            <w:pPr>
              <w:pStyle w:val="Normal"/>
              <w:keepNext w:val="true"/>
              <w:keepLines/>
              <w:tabs>
                <w:tab w:val="clear" w:pos="720"/>
                <w:tab w:val="decimal" w:pos="708" w:leader="none"/>
              </w:tabs>
              <w:ind w:start="178" w:end="178"/>
              <w:rPr>
                <w:b/>
                <w:sz w:val="21"/>
              </w:rPr>
            </w:pPr>
            <w:r>
              <w:rPr>
                <w:b/>
                <w:sz w:val="21"/>
              </w:rPr>
              <w:t>100.0%</w:t>
            </w:r>
          </w:p>
        </w:tc>
        <w:tc>
          <w:tcPr>
            <w:tcW w:w="2592" w:type="dxa"/>
            <w:tcBorders>
              <w:bottom w:val="single" w:sz="4" w:space="0" w:color="000000"/>
            </w:tcBorders>
          </w:tcPr>
          <w:p>
            <w:pPr>
              <w:pStyle w:val="Normal"/>
              <w:keepNext w:val="true"/>
              <w:keepLines/>
              <w:rPr>
                <w:b/>
                <w:sz w:val="21"/>
              </w:rPr>
            </w:pPr>
            <w:r>
              <w:rPr>
                <w:b/>
                <w:sz w:val="21"/>
              </w:rPr>
              <w:t xml:space="preserve">  </w:t>
            </w:r>
            <w:r>
              <w:rPr>
                <w:b/>
                <w:sz w:val="21"/>
              </w:rPr>
              <w:t>Total Uses</w:t>
            </w:r>
          </w:p>
        </w:tc>
        <w:tc>
          <w:tcPr>
            <w:tcW w:w="1102" w:type="dxa"/>
            <w:tcBorders>
              <w:bottom w:val="single" w:sz="4" w:space="0" w:color="000000"/>
            </w:tcBorders>
          </w:tcPr>
          <w:p>
            <w:pPr>
              <w:pStyle w:val="Normal"/>
              <w:keepNext w:val="true"/>
              <w:keepLines/>
              <w:tabs>
                <w:tab w:val="clear" w:pos="720"/>
                <w:tab w:val="left" w:pos="241" w:leader="none"/>
                <w:tab w:val="decimal" w:pos="701" w:leader="none"/>
              </w:tabs>
              <w:ind w:start="181" w:end="181"/>
              <w:rPr>
                <w:b/>
                <w:sz w:val="21"/>
              </w:rPr>
            </w:pPr>
            <w:r>
              <w:rPr>
                <w:b/>
                <w:sz w:val="21"/>
              </w:rPr>
              <w:tab/>
              <w:t>$</w:t>
              <w:tab/>
              <w:t>188.0</w:t>
            </w:r>
          </w:p>
        </w:tc>
        <w:tc>
          <w:tcPr>
            <w:tcW w:w="1256" w:type="dxa"/>
            <w:tcBorders>
              <w:bottom w:val="single" w:sz="4" w:space="0" w:color="000000"/>
            </w:tcBorders>
          </w:tcPr>
          <w:p>
            <w:pPr>
              <w:pStyle w:val="Normal"/>
              <w:keepNext w:val="true"/>
              <w:keepLines/>
              <w:tabs>
                <w:tab w:val="clear" w:pos="720"/>
                <w:tab w:val="decimal" w:pos="728" w:leader="none"/>
              </w:tabs>
              <w:ind w:start="198" w:end="198"/>
              <w:rPr>
                <w:b/>
                <w:sz w:val="21"/>
              </w:rPr>
            </w:pPr>
            <w:r>
              <w:rPr>
                <w:b/>
                <w:sz w:val="21"/>
              </w:rPr>
              <w:t>100.0%</w:t>
            </w:r>
          </w:p>
        </w:tc>
      </w:tr>
    </w:tbl>
    <w:p>
      <w:pPr>
        <w:sectPr>
          <w:headerReference w:type="default" r:id="rId34"/>
          <w:headerReference w:type="first" r:id="rId35"/>
          <w:footerReference w:type="default" r:id="rId36"/>
          <w:footerReference w:type="first" r:id="rId37"/>
          <w:type w:val="nextPage"/>
          <w:pgSz w:w="12240" w:h="15840"/>
          <w:pgMar w:left="1584" w:right="1296" w:gutter="0" w:header="288" w:top="1440" w:footer="504" w:bottom="1440"/>
          <w:pgNumType w:fmt="decimal"/>
          <w:formProt w:val="false"/>
          <w:titlePg/>
          <w:textDirection w:val="lrTb"/>
          <w:docGrid w:type="default" w:linePitch="360" w:charSpace="0"/>
        </w:sectPr>
      </w:pPr>
    </w:p>
    <w:p>
      <w:pPr>
        <w:pStyle w:val="TabPage"/>
        <w:rPr/>
      </w:pPr>
      <w:r>
        <w:rPr/>
        <w:t>CONTRACT SUMMARIES</w:t>
      </w:r>
      <w:r>
        <w:br w:type="page"/>
      </w:r>
    </w:p>
    <w:p>
      <w:pPr>
        <w:pStyle w:val="WW-Text"/>
        <w:rPr/>
      </w:pPr>
      <w:r>
        <w:rPr/>
        <w:t>The following summaries of certain provisions of existing or proposed agreement do not purport to be complete and are qualified in their entirety by reference to the terms of the actual agreements. Existing agreements maybe amended and the terms proposed agreements or amendments are subject to change at any time prior to their execution.</w:t>
      </w:r>
    </w:p>
    <w:p>
      <w:pPr>
        <w:pStyle w:val="Textbold"/>
        <w:rPr/>
      </w:pPr>
      <w:r>
        <w:rPr/>
        <w:t>CONSTRUCTION AND OPERATION AGREEMENTS</w:t>
      </w:r>
    </w:p>
    <w:p>
      <w:pPr>
        <w:pStyle w:val="WW-Text"/>
        <w:rPr/>
      </w:pPr>
      <w:r>
        <w:rPr/>
        <w:t>Except as otherwise noted, capitalized terms used in these summaries are defined as in the relevant document being summarized.</w:t>
      </w:r>
    </w:p>
    <w:p>
      <w:pPr>
        <w:pStyle w:val="Textbold"/>
        <w:rPr/>
      </w:pPr>
      <w:r>
        <w:rPr/>
        <w:t>EPC Contract</w:t>
      </w:r>
    </w:p>
    <w:p>
      <w:pPr>
        <w:pStyle w:val="WW-Text"/>
        <w:rPr/>
      </w:pPr>
      <w:r>
        <w:rPr/>
        <w:t>The Engineering, Procurement, and Construction Contract (the “EPC Contract”) entered into between Enron Mexico (the “Owner”) and Mitsui &amp; Co., Ltd. (“Mitsui” or the “Contractor”) on May 15, 2000, requires the Contractor to procure and supply the equipment and design, engineer, and construct a gas-fired, cogeneration facility (the “Facility”) with a designed electric generating capacity of 247.5 MW and a designed steam generating capacity of up to 235 MTPH (including completion of civil works and start-up, commissioning and testing of the Facility) and to provide all materials and equipment, tools, chemicals required to complete the Facility.</w:t>
      </w:r>
    </w:p>
    <w:p>
      <w:pPr>
        <w:pStyle w:val="WW-Text"/>
        <w:rPr/>
      </w:pPr>
      <w:r>
        <w:rPr/>
        <w:t>The EPC Contract will be split into two separate contracts (in a manner that does not change the underlying responsibilities viewed as a whole).  The first contract will relate to the equipment supply scope for equipment supplied from countries other than Mexico and engineering services (the “Off-shore Contract”), and will be signed by Mitsui; the second contract will relate to the Mexican scope of services (the “On-shore Contract”), and will be signed by Constructora Cogeneración de Monterrey, S.A. de C.V., a special-purpose Mexican company formed by Mitsui.  A consolidation agreement will be entered into among Mitsui, the special purpose Mexican company and the Owner, under which Mitsui will accept responsibility for the entire scope of the construction of the Facility.</w:t>
      </w:r>
    </w:p>
    <w:p>
      <w:pPr>
        <w:pStyle w:val="Textbold"/>
        <w:rPr/>
      </w:pPr>
      <w:r>
        <w:rPr/>
        <w:t>Contractor’s Scope of Work</w:t>
      </w:r>
    </w:p>
    <w:p>
      <w:pPr>
        <w:pStyle w:val="WW-Text"/>
        <w:rPr/>
      </w:pPr>
      <w:r>
        <w:rPr/>
        <w:t>Except for certain specified services and obligations to be provided by the Owner, the Contractor agrees to complete the Facility by performing (or causing to be performed) all works and services required in connection with the design, engineering, procurement, construction, start-up, training, commissioning and testing of the Facility (including the construction of the gas interconnection pipeline and the transmission lines to CFE and to four of the Vitro plants).  The Facility is comprised of one gas turbine generator unit, one heat recovery steam generator, one steam turbine and one auxiliary steam generator.</w:t>
      </w:r>
    </w:p>
    <w:p>
      <w:pPr>
        <w:pStyle w:val="Textbold"/>
        <w:rPr/>
      </w:pPr>
      <w:r>
        <w:rPr/>
        <w:t>Owner’s Responsibilities</w:t>
      </w:r>
    </w:p>
    <w:p>
      <w:pPr>
        <w:pStyle w:val="WW-Text"/>
        <w:rPr/>
      </w:pPr>
      <w:r>
        <w:rPr/>
        <w:t>The Owner will furnish the Project Site and provide access to the Project Site.  In addition, the Owner shall assist the Contractor in obtaining access for construction purposes to utilities and services provided that the Contractor shall pay for such utilities and services consumed during construction.</w:t>
      </w:r>
    </w:p>
    <w:p>
      <w:pPr>
        <w:pStyle w:val="WW-Text"/>
        <w:rPr/>
      </w:pPr>
      <w:r>
        <w:rPr/>
        <w:t>The Owner will provide operators and maintenance personnel for operation of the Facility to assist the Contractor with start-up and testing of the Facility. The Owner also shall furnish all chemicals and lubricants which are required to replenish those consumed during start-up, commissioning and testing of the Facility.  In addition, the Owner shall pay for fuel, water, waste water, and utilities that are needed for the first 48 hours of the Performance Tests (excluding the Reliability Test).  The Contractor shall pay for such items during Performance Tests (excluding the Reliability Test) that occur after such 48 hours (the “Excess Utilities”); provided, that the Contractor’s obligation to pay for Excess Utilities shall be reduced by the amount of revenues received by the Owner for output produced during the Performance Tests that are produced using Excess Utilities.</w:t>
      </w:r>
    </w:p>
    <w:p>
      <w:pPr>
        <w:pStyle w:val="WW-Text"/>
        <w:rPr/>
      </w:pPr>
      <w:r>
        <w:rPr/>
        <w:t>The Owner agrees to arrange for the provision of gas for the purposes of start-up, commissioning and testing of the equipment and the Facility.  The Owner also agrees to coordinate with CFE to provide for the transmission line connection to the grid at least 6 months prior to the Guaranteed Completion Date and to arrange for the export of electrical energy from the Facility when the Contractor desires to conduct start-up, commissioning and testing.</w:t>
      </w:r>
    </w:p>
    <w:p>
      <w:pPr>
        <w:pStyle w:val="Textbold"/>
        <w:rPr/>
      </w:pPr>
      <w:r>
        <w:rPr/>
        <w:t xml:space="preserve">Price and Payment </w:t>
      </w:r>
    </w:p>
    <w:p>
      <w:pPr>
        <w:pStyle w:val="WW-Text"/>
        <w:rPr/>
      </w:pPr>
      <w:r>
        <w:rPr/>
        <w:t>The Owner will pay, and the Contractor will perform the Work for, an amount equal to approximately US$134.3 million (the “Contract Price”), which amount will be paid in installments in accordance with the milestone payment schedule attached to the EPC Contract.  The Contract Price is subject to monthly escalation for inflation. The last 10% of the Contract Price (the “Retainage”) shall be retained by the Owner at Provisional Acceptance.  The Owner shall pay the Contractor such Retainage, less 150% of the estimated cost of completing any Punchlist Items, within 30 days of Contractor having met all requirements of Final Completion (other than completion of Punchlist Items). There is no Retainage held by the Owner during execution of the Work prior to Provisional Acceptance. The Contractor may at any time substitute a Retention Bond for the Retainage held by the Owner.</w:t>
      </w:r>
    </w:p>
    <w:p>
      <w:pPr>
        <w:pStyle w:val="Textbold"/>
        <w:rPr/>
      </w:pPr>
      <w:r>
        <w:rPr/>
        <w:t>Change Order</w:t>
      </w:r>
    </w:p>
    <w:p>
      <w:pPr>
        <w:pStyle w:val="WW-Text"/>
        <w:numPr>
          <w:ilvl w:val="0"/>
          <w:numId w:val="0"/>
        </w:numPr>
        <w:ind w:hanging="0" w:start="0"/>
        <w:rPr/>
      </w:pPr>
      <w:r>
        <w:rPr/>
        <w:t xml:space="preserve">The Contract Price, Guaranteed Completion Date, Project Schedule and other terms and conditions of the EPC Contract may be adjusted for, among others, the following reasons: Owner Directed Change, Contractor Change (that is agreed to by Owner), Owner Delay, Force Majeure, Change in Law and/or Suspension of Work. </w:t>
      </w:r>
    </w:p>
    <w:p>
      <w:pPr>
        <w:pStyle w:val="Textbold"/>
        <w:rPr/>
      </w:pPr>
      <w:r>
        <w:rPr/>
        <w:t>Provisional Acceptance</w:t>
      </w:r>
    </w:p>
    <w:p>
      <w:pPr>
        <w:pStyle w:val="WW-Text"/>
        <w:rPr/>
      </w:pPr>
      <w:r>
        <w:rPr/>
        <w:t>Provisional Acceptance shall be achieved when, among others, the following conditions have been met and the Owner has received and accepted a certificate from the Contractor to that effect:</w:t>
      </w:r>
    </w:p>
    <w:p>
      <w:pPr>
        <w:pStyle w:val="Bullet1"/>
        <w:numPr>
          <w:ilvl w:val="0"/>
          <w:numId w:val="12"/>
        </w:numPr>
        <w:ind w:hanging="0" w:start="0"/>
        <w:rPr/>
      </w:pPr>
      <w:r>
        <w:rPr/>
        <w:t>the Facility is substantially complete in accordance with the Scope of Work, the Specifications, and all applicable Governmental Authorizations and permits, and can be safely operated for its intended purpose;</w:t>
      </w:r>
    </w:p>
    <w:p>
      <w:pPr>
        <w:pStyle w:val="Bullet1"/>
        <w:numPr>
          <w:ilvl w:val="0"/>
          <w:numId w:val="12"/>
        </w:numPr>
        <w:ind w:hanging="0" w:start="0"/>
        <w:rPr/>
      </w:pPr>
      <w:r>
        <w:rPr/>
        <w:t>all Work required to be furnished by the Contractor for the Facility is substantially complete and all equipment has been delivered to the Project Site and properly incorporated into the Facility, except for Punchlist Items shown on a Punchlist that has been received and accepted by the Owner;</w:t>
      </w:r>
    </w:p>
    <w:p>
      <w:pPr>
        <w:pStyle w:val="Bullet1"/>
        <w:numPr>
          <w:ilvl w:val="0"/>
          <w:numId w:val="12"/>
        </w:numPr>
        <w:ind w:hanging="0" w:start="0"/>
        <w:rPr/>
      </w:pPr>
      <w:r>
        <w:rPr/>
        <w:t>the Performance Tests required for Provisional Acceptance have been successfully completed;</w:t>
      </w:r>
    </w:p>
    <w:p>
      <w:pPr>
        <w:pStyle w:val="Bullet1"/>
        <w:numPr>
          <w:ilvl w:val="0"/>
          <w:numId w:val="12"/>
        </w:numPr>
        <w:ind w:hanging="0" w:start="0"/>
        <w:rPr/>
      </w:pPr>
      <w:r>
        <w:rPr/>
        <w:t>the Contractor has sufficiently completed the Facility to allow the Owner to enter into commercial operation;</w:t>
      </w:r>
    </w:p>
    <w:p>
      <w:pPr>
        <w:pStyle w:val="Bullet1"/>
        <w:numPr>
          <w:ilvl w:val="0"/>
          <w:numId w:val="12"/>
        </w:numPr>
        <w:ind w:hanging="0" w:start="0"/>
        <w:rPr/>
      </w:pPr>
      <w:r>
        <w:rPr/>
        <w:t xml:space="preserve">Mechanical Completion has been achieved; and </w:t>
      </w:r>
    </w:p>
    <w:p>
      <w:pPr>
        <w:pStyle w:val="Bullet1"/>
        <w:numPr>
          <w:ilvl w:val="0"/>
          <w:numId w:val="12"/>
        </w:numPr>
        <w:ind w:hanging="0" w:start="0"/>
        <w:rPr/>
      </w:pPr>
      <w:r>
        <w:rPr/>
        <w:t>the Facility has met the Minimum Performance Guaranties.</w:t>
      </w:r>
    </w:p>
    <w:p>
      <w:pPr>
        <w:pStyle w:val="Textbold"/>
        <w:rPr/>
      </w:pPr>
      <w:r>
        <w:rPr/>
        <w:t>Performance Tests</w:t>
      </w:r>
    </w:p>
    <w:p>
      <w:pPr>
        <w:pStyle w:val="WW-Text"/>
        <w:rPr/>
      </w:pPr>
      <w:r>
        <w:rPr/>
        <w:t>The Contractor shall conduct the following tests for Provisional Acceptance:</w:t>
      </w:r>
    </w:p>
    <w:p>
      <w:pPr>
        <w:pStyle w:val="Bullet1"/>
        <w:numPr>
          <w:ilvl w:val="0"/>
          <w:numId w:val="12"/>
        </w:numPr>
        <w:ind w:hanging="0" w:start="0"/>
        <w:rPr/>
      </w:pPr>
      <w:r>
        <w:rPr/>
        <w:t>a 6-hour net electrical output test simultaneously with a six-hour heat rate test;</w:t>
      </w:r>
    </w:p>
    <w:p>
      <w:pPr>
        <w:pStyle w:val="Bullet1"/>
        <w:numPr>
          <w:ilvl w:val="0"/>
          <w:numId w:val="12"/>
        </w:numPr>
        <w:ind w:hanging="0" w:start="0"/>
        <w:rPr/>
      </w:pPr>
      <w:r>
        <w:rPr/>
        <w:t>a 72-hour reliability test;</w:t>
      </w:r>
    </w:p>
    <w:p>
      <w:pPr>
        <w:pStyle w:val="Bullet1"/>
        <w:numPr>
          <w:ilvl w:val="0"/>
          <w:numId w:val="12"/>
        </w:numPr>
        <w:ind w:hanging="0" w:start="0"/>
        <w:rPr/>
      </w:pPr>
      <w:r>
        <w:rPr/>
        <w:t>an emissions test;</w:t>
      </w:r>
    </w:p>
    <w:p>
      <w:pPr>
        <w:pStyle w:val="Bullet1"/>
        <w:numPr>
          <w:ilvl w:val="0"/>
          <w:numId w:val="12"/>
        </w:numPr>
        <w:ind w:hanging="0" w:start="0"/>
        <w:rPr/>
      </w:pPr>
      <w:r>
        <w:rPr/>
        <w:t>a sound level test;</w:t>
      </w:r>
    </w:p>
    <w:p>
      <w:pPr>
        <w:pStyle w:val="Bullet1"/>
        <w:numPr>
          <w:ilvl w:val="0"/>
          <w:numId w:val="12"/>
        </w:numPr>
        <w:ind w:hanging="0" w:start="0"/>
        <w:rPr/>
      </w:pPr>
      <w:r>
        <w:rPr/>
        <w:t xml:space="preserve">a six hour power plant steam output test; and </w:t>
      </w:r>
    </w:p>
    <w:p>
      <w:pPr>
        <w:pStyle w:val="Bullet1"/>
        <w:numPr>
          <w:ilvl w:val="0"/>
          <w:numId w:val="12"/>
        </w:numPr>
        <w:ind w:hanging="0" w:start="0"/>
        <w:rPr/>
      </w:pPr>
      <w:r>
        <w:rPr/>
        <w:t>a 2-hour auxiliary boiler test.</w:t>
      </w:r>
    </w:p>
    <w:p>
      <w:pPr>
        <w:pStyle w:val="WW-Text"/>
        <w:rPr/>
      </w:pPr>
      <w:r>
        <w:rPr/>
        <w:t>An Availability Test is not required to achieve Provisional Acceptance. The Contractor shall conduct an Availability Test after Provisional Acceptance but prior to Final Completion.  The Availability Test will be met whether an Availability equal to or greater than 95% is achieved during a continuous 15 day period.</w:t>
      </w:r>
    </w:p>
    <w:p>
      <w:pPr>
        <w:pStyle w:val="Textbold"/>
        <w:rPr/>
      </w:pPr>
      <w:r>
        <w:rPr/>
        <w:t>Minimum Performance Guaranties</w:t>
      </w:r>
    </w:p>
    <w:p>
      <w:pPr>
        <w:pStyle w:val="WW-Text"/>
        <w:rPr/>
      </w:pPr>
      <w:r>
        <w:rPr/>
        <w:t>The Contractor has guaranteed certain minimum performance (the “Minimum Performance Guaranties”) for the Facility as a condition of Provisional Acceptance, including but not limited to the following:</w:t>
      </w:r>
    </w:p>
    <w:p>
      <w:pPr>
        <w:pStyle w:val="Bullet1"/>
        <w:numPr>
          <w:ilvl w:val="0"/>
          <w:numId w:val="12"/>
        </w:numPr>
        <w:ind w:hanging="0" w:start="0"/>
        <w:rPr/>
      </w:pPr>
      <w:r>
        <w:rPr/>
        <w:t>a Minimum Performance Net Electrical Output Guaranty equal or greater than 242,172 kW;</w:t>
      </w:r>
    </w:p>
    <w:p>
      <w:pPr>
        <w:pStyle w:val="Bullet1"/>
        <w:numPr>
          <w:ilvl w:val="0"/>
          <w:numId w:val="12"/>
        </w:numPr>
        <w:ind w:hanging="0" w:start="0"/>
        <w:rPr/>
      </w:pPr>
      <w:r>
        <w:rPr/>
        <w:t>a Minimum Performance Heat Rate Guaranty at Summer ambient conditions and HHV standard of not more than 9,262 BTU/kWh;</w:t>
      </w:r>
    </w:p>
    <w:p>
      <w:pPr>
        <w:pStyle w:val="Bullet1"/>
        <w:numPr>
          <w:ilvl w:val="0"/>
          <w:numId w:val="12"/>
        </w:numPr>
        <w:ind w:hanging="0" w:start="0"/>
        <w:rPr/>
      </w:pPr>
      <w:r>
        <w:rPr/>
        <w:t>a Minimum Performance Power Plant Steam Output Guaranty equal or greater than 165 MTPH of steam;</w:t>
      </w:r>
    </w:p>
    <w:p>
      <w:pPr>
        <w:pStyle w:val="Bullet1"/>
        <w:numPr>
          <w:ilvl w:val="0"/>
          <w:numId w:val="12"/>
        </w:numPr>
        <w:ind w:hanging="0" w:start="0"/>
        <w:rPr/>
      </w:pPr>
      <w:r>
        <w:rPr/>
        <w:t>a Minimum Performance Auxiliary Boiler Steam Output Guaranty equal or greater than 215 MTPH of steam;</w:t>
      </w:r>
    </w:p>
    <w:p>
      <w:pPr>
        <w:pStyle w:val="Bullet1"/>
        <w:numPr>
          <w:ilvl w:val="0"/>
          <w:numId w:val="12"/>
        </w:numPr>
        <w:ind w:hanging="0" w:start="0"/>
        <w:rPr/>
      </w:pPr>
      <w:r>
        <w:rPr/>
        <w:t>a Minimum Performance Auxiliary Boiler Efficiency Guaranty not more than 3,464,250 BTU/mtph (HHV);</w:t>
      </w:r>
    </w:p>
    <w:p>
      <w:pPr>
        <w:pStyle w:val="Bullet1"/>
        <w:numPr>
          <w:ilvl w:val="0"/>
          <w:numId w:val="12"/>
        </w:numPr>
        <w:ind w:hanging="0" w:start="0"/>
        <w:rPr/>
      </w:pPr>
      <w:r>
        <w:rPr/>
        <w:t>a Reliability Guaranty equal to 100% during the Reliability Test; and</w:t>
      </w:r>
    </w:p>
    <w:p>
      <w:pPr>
        <w:pStyle w:val="Bullet1"/>
        <w:numPr>
          <w:ilvl w:val="0"/>
          <w:numId w:val="12"/>
        </w:numPr>
        <w:ind w:hanging="0" w:start="0"/>
        <w:rPr/>
      </w:pPr>
      <w:r>
        <w:rPr/>
        <w:t>the Sound Level Guaranty and Emissions Guaranty.</w:t>
      </w:r>
    </w:p>
    <w:p>
      <w:pPr>
        <w:pStyle w:val="Textbold"/>
        <w:rPr/>
      </w:pPr>
      <w:r>
        <w:rPr/>
        <w:t>Guaranteed Performance</w:t>
      </w:r>
    </w:p>
    <w:p>
      <w:pPr>
        <w:pStyle w:val="WW-Text"/>
        <w:rPr/>
      </w:pPr>
      <w:r>
        <w:rPr/>
        <w:t>The EPC Contractor may be liable to the Owner for liquidated damages if the Facility does not meet the following Performances Guaranties:</w:t>
      </w:r>
    </w:p>
    <w:p>
      <w:pPr>
        <w:pStyle w:val="Bullet1"/>
        <w:numPr>
          <w:ilvl w:val="0"/>
          <w:numId w:val="12"/>
        </w:numPr>
        <w:ind w:hanging="0" w:start="0"/>
        <w:rPr/>
      </w:pPr>
      <w:r>
        <w:rPr/>
        <w:t>a Net Electrical Output Guaranty equal or greater than 252,500 kW;</w:t>
      </w:r>
    </w:p>
    <w:p>
      <w:pPr>
        <w:pStyle w:val="Bullet1"/>
        <w:numPr>
          <w:ilvl w:val="0"/>
          <w:numId w:val="12"/>
        </w:numPr>
        <w:ind w:hanging="0" w:start="0"/>
        <w:rPr/>
      </w:pPr>
      <w:r>
        <w:rPr/>
        <w:t>a Heat Rate Guaranty at Summer ambient conditions and HHV standard of not more than 9,025 BTU/kWh;</w:t>
      </w:r>
    </w:p>
    <w:p>
      <w:pPr>
        <w:pStyle w:val="Bullet1"/>
        <w:numPr>
          <w:ilvl w:val="0"/>
          <w:numId w:val="12"/>
        </w:numPr>
        <w:ind w:hanging="0" w:start="0"/>
        <w:rPr/>
      </w:pPr>
      <w:r>
        <w:rPr/>
        <w:t>a Power Plant Steam Output Guaranty equal or greater than 180 MTPH of steam;</w:t>
      </w:r>
    </w:p>
    <w:p>
      <w:pPr>
        <w:pStyle w:val="Bullet1"/>
        <w:numPr>
          <w:ilvl w:val="0"/>
          <w:numId w:val="12"/>
        </w:numPr>
        <w:ind w:hanging="0" w:start="0"/>
        <w:rPr/>
      </w:pPr>
      <w:r>
        <w:rPr/>
        <w:t>an Auxiliary Boiler Steam Output Guaranty equal or greater than 235 MTPH of steam;</w:t>
      </w:r>
    </w:p>
    <w:p>
      <w:pPr>
        <w:pStyle w:val="Bullet1"/>
        <w:numPr>
          <w:ilvl w:val="0"/>
          <w:numId w:val="12"/>
        </w:numPr>
        <w:ind w:hanging="0" w:start="0"/>
        <w:rPr/>
      </w:pPr>
      <w:r>
        <w:rPr/>
        <w:t>an Auxiliary Boiler Efficiency Guaranty not more than 3,363,350 BTU/mtph (HHV); and</w:t>
      </w:r>
    </w:p>
    <w:p>
      <w:pPr>
        <w:pStyle w:val="Bullet1"/>
        <w:numPr>
          <w:ilvl w:val="0"/>
          <w:numId w:val="12"/>
        </w:numPr>
        <w:ind w:hanging="0" w:start="0"/>
        <w:rPr/>
      </w:pPr>
      <w:r>
        <w:rPr/>
        <w:t>a Guaranteed Completion Date for Provisional Acceptance which is not more than 660 days after the Notice to Proceed Effective Date.</w:t>
      </w:r>
    </w:p>
    <w:p>
      <w:pPr>
        <w:pStyle w:val="Textbold"/>
        <w:rPr/>
      </w:pPr>
      <w:r>
        <w:rPr/>
        <w:t>Liquidated Damages</w:t>
      </w:r>
    </w:p>
    <w:p>
      <w:pPr>
        <w:pStyle w:val="WW-Text"/>
        <w:numPr>
          <w:ilvl w:val="0"/>
          <w:numId w:val="0"/>
        </w:numPr>
        <w:ind w:hanging="0" w:start="0"/>
        <w:rPr/>
      </w:pPr>
      <w:r>
        <w:rPr/>
        <w:t>The Contractor agrees to pay the Owner for:</w:t>
      </w:r>
    </w:p>
    <w:p>
      <w:pPr>
        <w:pStyle w:val="Bullet1"/>
        <w:numPr>
          <w:ilvl w:val="0"/>
          <w:numId w:val="12"/>
        </w:numPr>
        <w:ind w:hanging="0" w:start="0"/>
        <w:rPr/>
      </w:pPr>
      <w:r>
        <w:rPr/>
        <w:t>Delay Liquidated Damages</w:t>
      </w:r>
    </w:p>
    <w:p>
      <w:pPr>
        <w:pStyle w:val="Bullet1"/>
        <w:numPr>
          <w:ilvl w:val="0"/>
          <w:numId w:val="12"/>
        </w:numPr>
        <w:ind w:hanging="0" w:start="0"/>
        <w:rPr/>
      </w:pPr>
      <w:r>
        <w:rPr/>
        <w:t>Net Electrical Output Liquidated Damages</w:t>
      </w:r>
    </w:p>
    <w:p>
      <w:pPr>
        <w:pStyle w:val="Bullet1"/>
        <w:numPr>
          <w:ilvl w:val="0"/>
          <w:numId w:val="12"/>
        </w:numPr>
        <w:ind w:hanging="0" w:start="0"/>
        <w:rPr/>
      </w:pPr>
      <w:r>
        <w:rPr/>
        <w:t>Heat Rate Liquidated Damages</w:t>
      </w:r>
    </w:p>
    <w:p>
      <w:pPr>
        <w:pStyle w:val="Bullet1"/>
        <w:numPr>
          <w:ilvl w:val="0"/>
          <w:numId w:val="12"/>
        </w:numPr>
        <w:ind w:hanging="0" w:start="0"/>
        <w:rPr/>
      </w:pPr>
      <w:r>
        <w:rPr/>
        <w:t>Power Plant Steam Output Liquidated Damages</w:t>
      </w:r>
    </w:p>
    <w:p>
      <w:pPr>
        <w:pStyle w:val="Bullet1"/>
        <w:numPr>
          <w:ilvl w:val="0"/>
          <w:numId w:val="12"/>
        </w:numPr>
        <w:ind w:hanging="0" w:start="0"/>
        <w:rPr/>
      </w:pPr>
      <w:r>
        <w:rPr/>
        <w:t>Auxiliary Boiler Steam Output Liquidated Damages</w:t>
      </w:r>
    </w:p>
    <w:p>
      <w:pPr>
        <w:pStyle w:val="Bullet1"/>
        <w:numPr>
          <w:ilvl w:val="0"/>
          <w:numId w:val="12"/>
        </w:numPr>
        <w:ind w:hanging="0" w:start="0"/>
        <w:rPr/>
      </w:pPr>
      <w:r>
        <w:rPr/>
        <w:t>Auxiliary Boiler Efficiency Liquidated Damages</w:t>
      </w:r>
    </w:p>
    <w:p>
      <w:pPr>
        <w:pStyle w:val="WW-Text"/>
        <w:rPr/>
      </w:pPr>
      <w:r>
        <w:rPr/>
        <w:t>The aggregate amount of liquidated damages payable by the Contractor shall be limited to 30% of the Contract Price.  No liquidated damages are provided in relation to the Availability Guaranty.</w:t>
      </w:r>
    </w:p>
    <w:p>
      <w:pPr>
        <w:pStyle w:val="Textbold"/>
        <w:rPr/>
      </w:pPr>
      <w:r>
        <w:rPr/>
        <w:t>Final Completion</w:t>
      </w:r>
    </w:p>
    <w:p>
      <w:pPr>
        <w:pStyle w:val="WW-Text"/>
        <w:rPr/>
      </w:pPr>
      <w:r>
        <w:rPr/>
        <w:t>The Contractor guarantees that Final Completion shall occur no later than 120 days after Provisional Acceptance.</w:t>
      </w:r>
    </w:p>
    <w:p>
      <w:pPr>
        <w:pStyle w:val="WW-Text"/>
        <w:rPr/>
      </w:pPr>
      <w:r>
        <w:rPr/>
        <w:t>Final Completion shall have been achieved when, among others, the following conditions shall have been met and the Owner has received and accepted a certificate from the Contractor to that effect:</w:t>
      </w:r>
    </w:p>
    <w:p>
      <w:pPr>
        <w:pStyle w:val="Bullet1"/>
        <w:numPr>
          <w:ilvl w:val="0"/>
          <w:numId w:val="12"/>
        </w:numPr>
        <w:ind w:hanging="0" w:start="0"/>
        <w:rPr/>
      </w:pPr>
      <w:r>
        <w:rPr/>
        <w:t>Provisional Acceptance has occurred and all Punchlist Items have been completed;</w:t>
      </w:r>
    </w:p>
    <w:p>
      <w:pPr>
        <w:pStyle w:val="Bullet1"/>
        <w:numPr>
          <w:ilvl w:val="0"/>
          <w:numId w:val="12"/>
        </w:numPr>
        <w:ind w:hanging="0" w:start="0"/>
        <w:rPr/>
      </w:pPr>
      <w:r>
        <w:rPr/>
        <w:t>the Availability Test has been successfully completed; and</w:t>
      </w:r>
    </w:p>
    <w:p>
      <w:pPr>
        <w:pStyle w:val="Bullet1"/>
        <w:numPr>
          <w:ilvl w:val="0"/>
          <w:numId w:val="12"/>
        </w:numPr>
        <w:ind w:hanging="0" w:start="0"/>
        <w:rPr/>
      </w:pPr>
      <w:r>
        <w:rPr/>
        <w:t>the Facility has met the Performance Guaranties or the Contractor has paid all Performance Liquidated Damages.</w:t>
      </w:r>
    </w:p>
    <w:p>
      <w:pPr>
        <w:pStyle w:val="Textbold"/>
        <w:rPr/>
      </w:pPr>
      <w:r>
        <w:rPr/>
        <w:t>Warranty</w:t>
      </w:r>
    </w:p>
    <w:p>
      <w:pPr>
        <w:pStyle w:val="WW-Text"/>
        <w:rPr/>
      </w:pPr>
      <w:r>
        <w:rPr/>
        <w:t>The Contractor warrants to the Owner, among other things, that all Work, including all machinery and other items furnished under the EPC Contract, will be new and of good quality and free from defects in design and engineering, construction, workmanship and materials.  The Contractor also warrants that the Facility shall be designed, engineered and constructed in accordance with all the requirements of the EPC Contract and that the Work shall conform with all applicable laws and all other requirements of the EPC Contract.</w:t>
      </w:r>
    </w:p>
    <w:p>
      <w:pPr>
        <w:pStyle w:val="WW-Text"/>
        <w:rPr/>
      </w:pPr>
      <w:r>
        <w:rPr/>
        <w:t>The Warranty Period shall extend for a period of twelve months following Provisional Acceptance.  The Warranty Period with respect to any Work that is repaired, replaced, modified, or otherwise altered or corrected after Provisional Acceptance shall extend for twelve months from the date of completion of such repair, replacement, modification, correction, or alteration, provided that in no event shall the Warranty Period extend beyond 24 months from Provisional Acceptance.</w:t>
      </w:r>
    </w:p>
    <w:p>
      <w:pPr>
        <w:pStyle w:val="Textbold"/>
        <w:rPr/>
      </w:pPr>
      <w:r>
        <w:rPr/>
        <w:t>Dispute Resolution</w:t>
      </w:r>
    </w:p>
    <w:p>
      <w:pPr>
        <w:pStyle w:val="WW-Text"/>
        <w:rPr/>
      </w:pPr>
      <w:r>
        <w:rPr/>
        <w:t xml:space="preserve">The EPC Contract provides for resolution of all disputes which cannot be resolved through negotiations by the parties by arbitration in the borough of Manhattan, New York, NY in accordance with the Rules of Conciliation and Arbitration of the International Chamber of Commerce. Certain disputes, however, must, and others may if the parties mutually agree, be submitted to nonbinding fast-track arbitration by an expert in the construction and engineering of power generation facilities. The Onshore EPC Contract will be interpreted and governed by Mexican Law and the Offshore EPC Contract will be interpreted and governed by New York Law. </w:t>
      </w:r>
    </w:p>
    <w:p>
      <w:pPr>
        <w:pStyle w:val="Textboldbreak"/>
        <w:rPr/>
      </w:pPr>
      <w:r>
        <w:rPr/>
        <w:t>Operation and Maintenance Supervision Agreement</w:t>
      </w:r>
    </w:p>
    <w:p>
      <w:pPr>
        <w:pStyle w:val="WW-Text"/>
        <w:rPr/>
      </w:pPr>
      <w:r>
        <w:rPr/>
        <w:t>The onshore Operation and Maintenance Agreement (the “O&amp;M Agreement”) was entered into between OEC Mexico, S. de R.L. de C.V. (“OEC Mexico” or the “Operator”) and Enron Energía Industrial de Mexico S. de R.L. de C.V. (the “Owner”) on March 15, 2000.  The O&amp;M Supervision Agreement requires the Operator to provide O&amp;M employees, manage the operation and maintenance of the Complex and perform the Services in conjunction with the representative pursuant to the Technical Assistance Agreement signed between the Owner and Operational Energy Corp. (“OEC” or the “Advisor”).  The Operator is an indirect wholly-owned subsidiary of Enron.</w:t>
      </w:r>
    </w:p>
    <w:p>
      <w:pPr>
        <w:pStyle w:val="Textbold"/>
        <w:rPr/>
      </w:pPr>
      <w:r>
        <w:rPr/>
        <w:t>Term</w:t>
      </w:r>
    </w:p>
    <w:p>
      <w:pPr>
        <w:pStyle w:val="WW-Text"/>
        <w:rPr/>
      </w:pPr>
      <w:r>
        <w:rPr/>
        <w:t xml:space="preserve">The term of the O&amp;M Supervision Agreement commences upon execution and continues throughout the term of the PPAs and the SPA. </w:t>
      </w:r>
    </w:p>
    <w:p>
      <w:pPr>
        <w:pStyle w:val="Textbold"/>
        <w:rPr/>
      </w:pPr>
      <w:r>
        <w:rPr/>
        <w:t>Scope</w:t>
      </w:r>
    </w:p>
    <w:p>
      <w:pPr>
        <w:pStyle w:val="WW-Text"/>
        <w:rPr/>
      </w:pPr>
      <w:r>
        <w:rPr/>
        <w:t>The scope includes supervising and managing all aspects of day-to-day operation and maintenance of the Complex in such a manner as to (i) maximize the Owner’s economic interests, (ii) minimize the Owner’s liabilities and costs, (iii) minimize fuel consumption, outages, and other Complex downtime, and (iv) optimize the useful life of the Complex.</w:t>
      </w:r>
    </w:p>
    <w:p>
      <w:pPr>
        <w:pStyle w:val="WW-Text"/>
        <w:rPr/>
      </w:pPr>
      <w:r>
        <w:rPr/>
        <w:t>During the pre-mobilization period, the Operator shall perform all tasks reasonably necessary to prepare for the operation and maintenance of the Complex.</w:t>
      </w:r>
    </w:p>
    <w:p>
      <w:pPr>
        <w:pStyle w:val="WW-Text"/>
        <w:rPr/>
      </w:pPr>
      <w:r>
        <w:rPr/>
        <w:t>During the mobilization and start-up period, the Operator shall (i) perform all tasks reasonably necessary to prepare for the operation and maintenance of the Complex and (ii) assist the Owner in an orderly transition from construction through training of O&amp;M Employees, performance testing, commissioning and acceptance of the Complex through Provisional Acceptance in conjunction with the Advisor.</w:t>
      </w:r>
    </w:p>
    <w:p>
      <w:pPr>
        <w:pStyle w:val="WW-Text"/>
        <w:rPr/>
      </w:pPr>
      <w:r>
        <w:rPr/>
        <w:t>During the operating period, the Operator shall be responsible for the operation and maintenance of the complex.</w:t>
      </w:r>
    </w:p>
    <w:p>
      <w:pPr>
        <w:pStyle w:val="Textbold"/>
        <w:rPr/>
      </w:pPr>
      <w:r>
        <w:rPr/>
        <w:t>Obligations of Owner</w:t>
      </w:r>
    </w:p>
    <w:p>
      <w:pPr>
        <w:pStyle w:val="WW-Text"/>
        <w:numPr>
          <w:ilvl w:val="0"/>
          <w:numId w:val="0"/>
        </w:numPr>
        <w:ind w:hanging="0" w:start="0"/>
        <w:rPr/>
      </w:pPr>
      <w:r>
        <w:rPr/>
        <w:t>The Owner’s obligation under the O&amp;M Agreement include, among others, the following:</w:t>
      </w:r>
    </w:p>
    <w:p>
      <w:pPr>
        <w:pStyle w:val="Bullet1"/>
        <w:numPr>
          <w:ilvl w:val="0"/>
          <w:numId w:val="12"/>
        </w:numPr>
        <w:ind w:hanging="0" w:start="0"/>
        <w:rPr/>
      </w:pPr>
      <w:r>
        <w:rPr/>
        <w:t>provide and maintain insurance as specified in the O&amp;M Agreement; and</w:t>
      </w:r>
    </w:p>
    <w:p>
      <w:pPr>
        <w:pStyle w:val="Bullet1"/>
        <w:numPr>
          <w:ilvl w:val="0"/>
          <w:numId w:val="12"/>
        </w:numPr>
        <w:ind w:hanging="0" w:start="0"/>
        <w:rPr/>
      </w:pPr>
      <w:r>
        <w:rPr/>
        <w:t>provide water and purchase fuel.</w:t>
      </w:r>
    </w:p>
    <w:p>
      <w:pPr>
        <w:pStyle w:val="Textbold"/>
        <w:rPr/>
      </w:pPr>
      <w:r>
        <w:rPr/>
        <w:t>Payment</w:t>
      </w:r>
    </w:p>
    <w:p>
      <w:pPr>
        <w:pStyle w:val="WW-Text"/>
        <w:rPr/>
      </w:pPr>
      <w:r>
        <w:rPr/>
        <w:t>During construction and operation, the Operator will receive payments from the Owner for all Operating Expenses.  Operating Expenses include expenditures necessary for the operation, maintenance, management and administration of the Complex or the performance of the obligations of the Operator under the O&amp;M Agreement.</w:t>
      </w:r>
    </w:p>
    <w:p>
      <w:pPr>
        <w:pStyle w:val="Textbold"/>
        <w:rPr/>
      </w:pPr>
      <w:r>
        <w:rPr/>
        <w:t>Fees</w:t>
      </w:r>
    </w:p>
    <w:p>
      <w:pPr>
        <w:pStyle w:val="WW-Text"/>
        <w:rPr/>
      </w:pPr>
      <w:r>
        <w:rPr/>
        <w:t>During the pre-mobilization and mobilization and start-up period, the Owner shall pay to the Operator a fee of US$7,000.</w:t>
      </w:r>
    </w:p>
    <w:p>
      <w:pPr>
        <w:pStyle w:val="WW-Text"/>
        <w:rPr/>
      </w:pPr>
      <w:r>
        <w:rPr/>
        <w:t>During the operating period, the Owner shall pay to the Operator a fee of US$50,000 per year (to be escalated on a yearly basis) to be paid in four equal installments.</w:t>
      </w:r>
    </w:p>
    <w:p>
      <w:pPr>
        <w:pStyle w:val="Textbold"/>
        <w:rPr/>
      </w:pPr>
      <w:r>
        <w:rPr/>
        <w:t>Limitation on Liability</w:t>
      </w:r>
    </w:p>
    <w:p>
      <w:pPr>
        <w:pStyle w:val="WW-Text"/>
        <w:rPr/>
      </w:pPr>
      <w:r>
        <w:rPr/>
        <w:t xml:space="preserve">The aggregate amount of damages, compensation or other liabilities payable by the Operator and the Advisor (taken together) and by the Owner shall not exceed US$187,500 prior to the operating period and US$250,000 per year thereafter (such amount to be escalated yearly). Such liability limitation does not apply to certain Operator indemnity obligations. </w:t>
      </w:r>
    </w:p>
    <w:p>
      <w:pPr>
        <w:pStyle w:val="WW-Text"/>
        <w:rPr/>
      </w:pPr>
      <w:r>
        <w:rPr/>
        <w:t xml:space="preserve">Enron, simultaneously with the execution of the O&amp;M Agreement, executed and delivered a US$5 million guaranty in favor of the Owner (the “O&amp;M Guaranty”) as security for the Operator’s payment obligations under the O&amp;M Agreement. </w:t>
      </w:r>
    </w:p>
    <w:p>
      <w:pPr>
        <w:pStyle w:val="Textbold"/>
        <w:rPr/>
      </w:pPr>
      <w:r>
        <w:rPr/>
        <w:t>Termination</w:t>
      </w:r>
    </w:p>
    <w:p>
      <w:pPr>
        <w:pStyle w:val="WW-Text"/>
        <w:rPr/>
      </w:pPr>
      <w:r>
        <w:rPr/>
        <w:t>Either party may terminate the O&amp;M Agreement for cause, including failure of the other party to perform material obligation 30 days after, receipt of notice thereof. The O&amp;M Agreement shall be interpreted and governed by Mexican Law.</w:t>
      </w:r>
    </w:p>
    <w:p>
      <w:pPr>
        <w:pStyle w:val="WW-Text"/>
        <w:rPr/>
      </w:pPr>
      <w:r>
        <w:rPr/>
        <w:t>Upon termination, the Operator shall transfer to the Owner all records pertaining to the services rendered and shall assist in the orderly transition of operations and maintenance to the new operator.</w:t>
      </w:r>
    </w:p>
    <w:p>
      <w:pPr>
        <w:pStyle w:val="Textbold"/>
        <w:rPr/>
      </w:pPr>
      <w:r>
        <w:rPr/>
        <w:t>Dispute Resolution</w:t>
      </w:r>
    </w:p>
    <w:p>
      <w:pPr>
        <w:pStyle w:val="WW-Text"/>
        <w:rPr/>
      </w:pPr>
      <w:r>
        <w:rPr/>
        <w:t>The O&amp;M Agreement provides for resolution of all disputes (unless permitted or required to be submitted by the parties to the expert) by arbitration in the borough of Manhattan, New York, NY, in accordance with the Rules of Conciliation and Arbitration of the International Chamber of Commerce.</w:t>
      </w:r>
      <w:r>
        <w:br w:type="page"/>
      </w:r>
    </w:p>
    <w:p>
      <w:pPr>
        <w:pStyle w:val="Textbold"/>
        <w:rPr/>
      </w:pPr>
      <w:r>
        <w:rPr/>
        <w:t>Technical Assistance Agreement</w:t>
      </w:r>
    </w:p>
    <w:p>
      <w:pPr>
        <w:pStyle w:val="WW-Text"/>
        <w:rPr/>
      </w:pPr>
      <w:r>
        <w:rPr/>
        <w:t>The offshore Technical Assistance Agreement (“Technical Agreement”) was entered into between OEC and Enron Energía Industrial de Mexico S. de R.L. de C.V. (the “Owner”) on March 15, 2000.  The Technical Agreement requires the Advisor to provide technical, administrative and advisory services with respect to the operation and maintenance of the Complex.  The Advisor is an indirect wholly-owned subsidiary of Enron.</w:t>
      </w:r>
    </w:p>
    <w:p>
      <w:pPr>
        <w:pStyle w:val="Textbold"/>
        <w:rPr/>
      </w:pPr>
      <w:r>
        <w:rPr/>
        <w:t>Term</w:t>
      </w:r>
    </w:p>
    <w:p>
      <w:pPr>
        <w:pStyle w:val="WW-Text"/>
        <w:rPr/>
      </w:pPr>
      <w:r>
        <w:rPr/>
        <w:t xml:space="preserve">The term of the Technical Agreement commences upon execution and continues throughout the term of the PPAs and the SPA. </w:t>
      </w:r>
    </w:p>
    <w:p>
      <w:pPr>
        <w:pStyle w:val="Textbold"/>
        <w:rPr/>
      </w:pPr>
      <w:r>
        <w:rPr/>
        <w:t>Scope</w:t>
      </w:r>
    </w:p>
    <w:p>
      <w:pPr>
        <w:pStyle w:val="WW-Text"/>
        <w:rPr/>
      </w:pPr>
      <w:r>
        <w:rPr/>
        <w:t>The scope includes establishing policies, procedures, plans and budgets that will structure and enhance the operation and maintenance of the Complex in a manner to (i) maximize the Owner’s economic interests, (ii) minimize the Owner’s liabilities and costs, (iii) minimize fuel consumption, outages, and other Complex downtime, and (iv) optimize the useful life of the Complex.</w:t>
      </w:r>
    </w:p>
    <w:p>
      <w:pPr>
        <w:pStyle w:val="Textbold"/>
        <w:rPr/>
      </w:pPr>
      <w:r>
        <w:rPr/>
        <w:t>Obligations of Owner</w:t>
      </w:r>
    </w:p>
    <w:p>
      <w:pPr>
        <w:pStyle w:val="WW-Text"/>
        <w:rPr/>
      </w:pPr>
      <w:r>
        <w:rPr/>
        <w:t>The Owner’s obligations under the Technical Agreement include, among others, the following:</w:t>
      </w:r>
    </w:p>
    <w:p>
      <w:pPr>
        <w:pStyle w:val="Bullet1"/>
        <w:numPr>
          <w:ilvl w:val="0"/>
          <w:numId w:val="12"/>
        </w:numPr>
        <w:ind w:hanging="0" w:start="0"/>
        <w:rPr/>
      </w:pPr>
      <w:r>
        <w:rPr/>
        <w:t>provide and maintain insurance as specified in the Technical Agreement; and</w:t>
      </w:r>
    </w:p>
    <w:p>
      <w:pPr>
        <w:pStyle w:val="Bullet1"/>
        <w:numPr>
          <w:ilvl w:val="0"/>
          <w:numId w:val="12"/>
        </w:numPr>
        <w:ind w:hanging="0" w:start="0"/>
        <w:rPr/>
      </w:pPr>
      <w:r>
        <w:rPr/>
        <w:t>provide water and purchase fuel.</w:t>
      </w:r>
    </w:p>
    <w:p>
      <w:pPr>
        <w:pStyle w:val="Textbold"/>
        <w:rPr/>
      </w:pPr>
      <w:r>
        <w:rPr/>
        <w:t>Scheduled Maintenance Program and Operating Plans</w:t>
      </w:r>
    </w:p>
    <w:p>
      <w:pPr>
        <w:pStyle w:val="WW-Text"/>
        <w:rPr/>
      </w:pPr>
      <w:r>
        <w:rPr/>
        <w:t>The Advisor, after consultation with the Operator, shall provide to the Owner for approval, starting 120 days before the Provisional Acceptance Date and yearly thereafter, an operating plan and a related estimate of costs and expenses for the Complex (the “Operating Plan”), including Advisor’s and Operator’s proposed major equipment program for the Complex (the “Scheduled Maintenance Program”) allowing the electric generation availability target (“EGA Target”), quoted in the Technical Agreement, to be achieved by the Project.</w:t>
      </w:r>
    </w:p>
    <w:p>
      <w:pPr>
        <w:pStyle w:val="WW-Text"/>
        <w:rPr/>
      </w:pPr>
      <w:r>
        <w:rPr/>
        <w:t>The Advisor shall also provide to the Owner an Operating Plan for the pre-mobilization period, the mobilization period and the start-up period.</w:t>
      </w:r>
    </w:p>
    <w:p>
      <w:pPr>
        <w:pStyle w:val="Textbold"/>
        <w:rPr/>
      </w:pPr>
      <w:r>
        <w:rPr/>
        <w:t>Payment</w:t>
      </w:r>
    </w:p>
    <w:p>
      <w:pPr>
        <w:pStyle w:val="WW-Text"/>
        <w:rPr/>
      </w:pPr>
      <w:r>
        <w:rPr/>
        <w:t>During construction and operation, the Advisor will receive payments from the Owner for, all Operating Expenses.  Operating Expenses include, among others the following; labor cost of the Advisor, cost of spares, tools, equipment, materials, cost of capital expenditures and maintenance expenses.</w:t>
      </w:r>
    </w:p>
    <w:p>
      <w:pPr>
        <w:pStyle w:val="WW-Text"/>
        <w:rPr/>
      </w:pPr>
      <w:r>
        <w:rPr/>
        <w:t>The Advisor may not incur any expenditure exceeding any level specified in the approved Budget, without the prior written approval of the Owner except if such expenditure, (a) is necessary to remedy an Emergency, (b) is due to a currency fluctuation or (c) such expense is both (i) less than US$50,000 (escalated each year), and (ii) does not result in Advisor exceeding the total amount of the approved Budget.</w:t>
      </w:r>
    </w:p>
    <w:p>
      <w:pPr>
        <w:pStyle w:val="Textbold"/>
        <w:rPr/>
      </w:pPr>
      <w:r>
        <w:rPr/>
        <w:t>Fees, Performance Bonuses and Liquidated Damages</w:t>
      </w:r>
    </w:p>
    <w:p>
      <w:pPr>
        <w:pStyle w:val="WW-Text"/>
        <w:rPr/>
      </w:pPr>
      <w:r>
        <w:rPr/>
        <w:t>During the pre-mobilization and mobilization and start-up period, the Owner shall pay to the Advisor a fee of US$262,965 (the “Pre-Operation Fee”) payable in 15 equal installments of US$17,531 with the first payment due 15 months prior to the Scheduled Provisional Acceptance Date.</w:t>
      </w:r>
    </w:p>
    <w:p>
      <w:pPr>
        <w:pStyle w:val="WW-Text"/>
        <w:rPr/>
      </w:pPr>
      <w:r>
        <w:rPr/>
        <w:t>During the operating period, the Owner shall pay to the Advisor a fee of US$284,984 per year (the “Administrative Fee”) (escalated each year) to be paid in four equal installments.</w:t>
      </w:r>
    </w:p>
    <w:p>
      <w:pPr>
        <w:pStyle w:val="WW-Text"/>
        <w:rPr/>
      </w:pPr>
      <w:r>
        <w:rPr/>
        <w:t>For each year during the operating period, the Advisor shall be entitled to an availability bonus or shall pay liquidated damages based on the difference of the Electric Availability Target to the actual Electric Availability.  The Advisor’s liability and the Owner’s obligation to pay an availability bonus shall both be capped at US$150,000 per year (escalated each year).</w:t>
      </w:r>
    </w:p>
    <w:p>
      <w:pPr>
        <w:pStyle w:val="WW-Text"/>
        <w:rPr/>
      </w:pPr>
      <w:r>
        <w:rPr/>
        <w:t>Should the actual cost for services performed by the Advisor be in excess of the approved Budget, then the Advisor shall pay to the Owner the difference subject to a maximum amount of US$187,500 prior to the operating period and a maximum amount of US$250,000 per year during the operating period (the “Liability Cap”).  Should the approved Budget be in excess of the actual cost for services performed by the Advisor, then the Owner shall pay to the Advisor the difference subject to the Liability Cap.</w:t>
      </w:r>
    </w:p>
    <w:p>
      <w:pPr>
        <w:pStyle w:val="WW-Text"/>
        <w:rPr/>
      </w:pPr>
      <w:r>
        <w:rPr/>
        <w:t>Following the Provisional Acceptance of the Complex by the Owner, the Owner and the Advisor shall agree on a “Heat Rate Target”.  For each year during the operating period, the Advisor will be entitled to a heat rate bonus or the Owner will be entitled to receive a heat rate liquidated damages based on the difference between the actual heat rate and the Heat Rate Target.  The heat rate bonus/liquidated damages shall be limited to the Liability Cap. All bonuses and liquidated damages payable in respect of one year shall be netted against one another and the aggregate amount of bonus/liquidated damages payable to the Advisor or to the Owner, as appropriate, shall not exceed the Liability Cap.</w:t>
      </w:r>
    </w:p>
    <w:p>
      <w:pPr>
        <w:pStyle w:val="Textbold"/>
        <w:rPr/>
      </w:pPr>
      <w:r>
        <w:rPr/>
        <w:t>Limitation on Liability</w:t>
      </w:r>
    </w:p>
    <w:p>
      <w:pPr>
        <w:pStyle w:val="WW-Text"/>
        <w:rPr/>
      </w:pPr>
      <w:r>
        <w:rPr/>
        <w:t>The aggregate amount of damages, compensation or other liabilities payable by the Advisor and by the Owner shall not exceed US$187,500 prior to the operating period and US$250,000 per year thereafter (escalated each year).</w:t>
      </w:r>
    </w:p>
    <w:p>
      <w:pPr>
        <w:pStyle w:val="WW-Text"/>
        <w:rPr/>
      </w:pPr>
      <w:r>
        <w:rPr/>
        <w:t>Enron simultaneously with the execution of the Technical Agreement executed and delivered a US$5 million guaranty in favor of the Owner (the “TA Guaranty”) as security for the Advisor’s payment obligations under the Technical Agreement, however, the aggregate recovery under the TA Guaranty and the O&amp;M Guaranty is capped at $5 million.</w:t>
      </w:r>
    </w:p>
    <w:p>
      <w:pPr>
        <w:pStyle w:val="Textbold"/>
        <w:rPr/>
      </w:pPr>
      <w:r>
        <w:rPr/>
        <w:t>Termination</w:t>
      </w:r>
    </w:p>
    <w:p>
      <w:pPr>
        <w:pStyle w:val="WW-Text"/>
        <w:rPr/>
      </w:pPr>
      <w:r>
        <w:rPr/>
        <w:t>Either party may terminate the Technical Agreement for cause, including failure of the other party to perform a material obligation thereunder which continues unremedied for 30 days after receipt of notice thereof. The Technical Agreement shall be interpreted and governed under New York Law.</w:t>
      </w:r>
    </w:p>
    <w:p>
      <w:pPr>
        <w:pStyle w:val="WW-Text"/>
        <w:rPr/>
      </w:pPr>
      <w:r>
        <w:rPr/>
        <w:t>Upon termination, the Advisor shall transfer to the Owner all property in its possession or under its control owned by the Owner, all spares, supplies, consumables, special tools, operating logs, books, records furnished as part of the services rendered.  The Advisor shall transfer its rights as Advisor under all contracts entered into by it.  The Advisor shall cooperate with the Owner and the new advisor in all reasonable requests.</w:t>
      </w:r>
    </w:p>
    <w:p>
      <w:pPr>
        <w:pStyle w:val="Textbold"/>
        <w:rPr/>
      </w:pPr>
      <w:r>
        <w:rPr/>
        <w:t>Dispute Resolution</w:t>
      </w:r>
    </w:p>
    <w:p>
      <w:pPr>
        <w:pStyle w:val="WW-Text"/>
        <w:rPr/>
      </w:pPr>
      <w:r>
        <w:rPr/>
        <w:t>The Technical Agreement provides for resolution of all disputes (unless permitted or required to be submitted by the parties to the expert) by arbitration in any the borough of Manhattan, New York, NY,  in accordance with the Rules of Conciliation and Arbitration of the International Chamber of Commerce.</w:t>
      </w:r>
    </w:p>
    <w:p>
      <w:pPr>
        <w:pStyle w:val="Textboldbreak"/>
        <w:rPr/>
      </w:pPr>
      <w:r>
        <w:rPr/>
        <w:t>OFF-TAKE AGREEMENTS</w:t>
      </w:r>
    </w:p>
    <w:p>
      <w:pPr>
        <w:pStyle w:val="WW-Text"/>
        <w:rPr/>
      </w:pPr>
      <w:r>
        <w:rPr/>
        <w:t>Capitalized terms used but not defined herein shall have the meaning provided in the respective agreements.</w:t>
      </w:r>
    </w:p>
    <w:p>
      <w:pPr>
        <w:pStyle w:val="Textbold"/>
        <w:rPr/>
      </w:pPr>
      <w:r>
        <w:rPr/>
        <w:t>Vitro Corp. Power Purchase Agreement</w:t>
      </w:r>
    </w:p>
    <w:p>
      <w:pPr>
        <w:pStyle w:val="Textbold"/>
        <w:rPr/>
      </w:pPr>
      <w:r>
        <w:rPr/>
        <w:t>Parties</w:t>
      </w:r>
    </w:p>
    <w:p>
      <w:pPr>
        <w:pStyle w:val="WW-Text"/>
        <w:rPr/>
      </w:pPr>
      <w:r>
        <w:rPr/>
        <w:t>Vitro Agent:</w:t>
        <w:tab/>
        <w:t>Vitro Corporativo, S.A. de C.V. (“Vitro Corp.”).</w:t>
      </w:r>
    </w:p>
    <w:p>
      <w:pPr>
        <w:pStyle w:val="WW-Text"/>
        <w:rPr/>
      </w:pPr>
      <w:r>
        <w:rPr/>
        <w:t>Capacity Users:</w:t>
        <w:tab/>
        <w:t xml:space="preserve">13 Vitro Subsidiaries and four Vitro JVs named in the Vitro PPA </w:t>
      </w:r>
    </w:p>
    <w:p>
      <w:pPr>
        <w:pStyle w:val="WW-Text"/>
        <w:rPr/>
      </w:pPr>
      <w:r>
        <w:rPr/>
        <w:t xml:space="preserve">Producer: </w:t>
        <w:tab/>
        <w:t>the Project Company.</w:t>
      </w:r>
    </w:p>
    <w:p>
      <w:pPr>
        <w:pStyle w:val="Textbold"/>
        <w:rPr/>
      </w:pPr>
      <w:r>
        <w:rPr/>
        <w:t>Object</w:t>
      </w:r>
    </w:p>
    <w:p>
      <w:pPr>
        <w:pStyle w:val="WW-Text"/>
        <w:rPr/>
      </w:pPr>
      <w:r>
        <w:rPr/>
        <w:t xml:space="preserve">The </w:t>
      </w:r>
      <w:r>
        <w:rPr>
          <w:i/>
        </w:rPr>
        <w:t>Agreement for Provision of Electrical Power Generation Capacity and Associated Electrical Energy</w:t>
      </w:r>
      <w:r>
        <w:rPr/>
        <w:t xml:space="preserve"> dated December 15, 1999 (the “Vitro PPA”), sets forth the terms for the provision of the net capacity guaranteed by the Project Company in the Vitro PPA (the “Guaranteed Net Capacity”) and sale of the net energy (the “Net Energy”) by the Producer to the Capacity Users. </w:t>
      </w:r>
    </w:p>
    <w:p>
      <w:pPr>
        <w:pStyle w:val="Textbold"/>
        <w:rPr/>
      </w:pPr>
      <w:r>
        <w:rPr/>
        <w:t>Purchased Capacity</w:t>
      </w:r>
    </w:p>
    <w:p>
      <w:pPr>
        <w:pStyle w:val="WW-Text"/>
        <w:rPr/>
      </w:pPr>
      <w:r>
        <w:rPr/>
        <w:t>The Vitro Subsidiaries have contracted to purchase 81 MW and the Vitro JVs have contracted to purchase 29 MW.</w:t>
      </w:r>
      <w:r>
        <w:rPr>
          <w:b/>
        </w:rPr>
        <w:t xml:space="preserve"> </w:t>
      </w:r>
    </w:p>
    <w:p>
      <w:pPr>
        <w:pStyle w:val="Textbold"/>
        <w:rPr/>
      </w:pPr>
      <w:r>
        <w:rPr/>
        <w:t>Obligations of the Producer prior to Commercial Operation include, among others, the following:</w:t>
      </w:r>
    </w:p>
    <w:p>
      <w:pPr>
        <w:pStyle w:val="Bullet1"/>
        <w:numPr>
          <w:ilvl w:val="0"/>
          <w:numId w:val="12"/>
        </w:numPr>
        <w:ind w:hanging="0" w:start="0"/>
        <w:rPr>
          <w:b/>
        </w:rPr>
      </w:pPr>
      <w:r>
        <w:rPr/>
        <w:t>develop and construct the Facilities in accordance with the terms of the Vitro PPA and Prudent Industry Practices and Applicable Laws; and</w:t>
      </w:r>
    </w:p>
    <w:p>
      <w:pPr>
        <w:pStyle w:val="Bullet1"/>
        <w:numPr>
          <w:ilvl w:val="0"/>
          <w:numId w:val="12"/>
        </w:numPr>
        <w:ind w:hanging="0" w:start="0"/>
        <w:rPr>
          <w:b/>
        </w:rPr>
      </w:pPr>
      <w:r>
        <w:rPr/>
        <w:t>obtain and maintain in full force and effect all permits required for the construction, ownership, operation and maintenance of the Project.</w:t>
      </w:r>
    </w:p>
    <w:p>
      <w:pPr>
        <w:pStyle w:val="Textbold"/>
        <w:rPr/>
      </w:pPr>
      <w:r>
        <w:rPr/>
        <w:t>Obligations of the Capacity Users prior to Commercial Operation include, among others, the following:</w:t>
      </w:r>
    </w:p>
    <w:p>
      <w:pPr>
        <w:pStyle w:val="Bullet1"/>
        <w:numPr>
          <w:ilvl w:val="0"/>
          <w:numId w:val="12"/>
        </w:numPr>
        <w:ind w:hanging="0" w:start="0"/>
        <w:rPr/>
      </w:pPr>
      <w:r>
        <w:rPr/>
        <w:t>cause Alcali to enter into the Real Estate Purchase Agreement and cause the Real Estate Rights to be transferred to the Producer free of all liens;</w:t>
      </w:r>
    </w:p>
    <w:p>
      <w:pPr>
        <w:pStyle w:val="Bullet1"/>
        <w:numPr>
          <w:ilvl w:val="0"/>
          <w:numId w:val="12"/>
        </w:numPr>
        <w:ind w:hanging="0" w:start="0"/>
        <w:rPr/>
      </w:pPr>
      <w:r>
        <w:rPr/>
        <w:t>cooperate with the Producer in connection with financing required for the Project by providing such consents to assignment of the Vitro PPA to the Lenders;</w:t>
      </w:r>
    </w:p>
    <w:p>
      <w:pPr>
        <w:pStyle w:val="Bullet1"/>
        <w:numPr>
          <w:ilvl w:val="0"/>
          <w:numId w:val="12"/>
        </w:numPr>
        <w:ind w:hanging="0" w:start="0"/>
        <w:rPr/>
      </w:pPr>
      <w:r>
        <w:rPr/>
        <w:t>obtain all permits which the Capacity Users are required to obtain in accordance with the Vitro PPA; and</w:t>
      </w:r>
    </w:p>
    <w:p>
      <w:pPr>
        <w:pStyle w:val="Bullet1"/>
        <w:numPr>
          <w:ilvl w:val="0"/>
          <w:numId w:val="12"/>
        </w:numPr>
        <w:ind w:hanging="0" w:start="0"/>
        <w:rPr/>
      </w:pPr>
      <w:r>
        <w:rPr/>
        <w:t>assist the Producer with labor issues and in obtaining all Permits and satisfying other Conditions Precedent.  Cooperate with the Producer in connection with start-up, testing and commissioning of the Project.</w:t>
      </w:r>
    </w:p>
    <w:p>
      <w:pPr>
        <w:pStyle w:val="Textbold"/>
        <w:rPr/>
      </w:pPr>
      <w:r>
        <w:rPr/>
        <w:t>Commitment of capacity and provision of associated power</w:t>
      </w:r>
    </w:p>
    <w:p>
      <w:pPr>
        <w:pStyle w:val="WW-Text"/>
        <w:rPr/>
      </w:pPr>
      <w:r>
        <w:rPr/>
        <w:t>Commencing on the Commercial Operation Date, the Producer shall provide and the Capacity Users shall compensate the Producer for all Net Energy associated with the Purchased Capacity delivered by the Producer at the applicable Delivery Points.  In the case where the Performance Tests demonstrate that the Demonstrated Net Capacity is less than the Guaranteed Net Capacity, then the Producer shall have the right to perform one or more Performance re-tests to determine the Facilities’ Demonstrated Net Capacity.  The results of the Performance re-test shall establish the Facilities’ Demonstrated Net Capacity for the period until the next annual Performance Test is performed.  If, after having conducted the Performance re-tests, the Facilities’ Demonstrated Net Capacity is still less than the Guaranteed Net Capacity, then each Capacity User shall only pay for its pro-rata share of the Demonstrated Net Capacity obtained during the Performance re-tests.</w:t>
      </w:r>
    </w:p>
    <w:p>
      <w:pPr>
        <w:pStyle w:val="WW-Text"/>
        <w:rPr/>
      </w:pPr>
      <w:r>
        <w:rPr/>
        <w:t>In the event that the Purchased Capacity is in excess of any Capacity User’s power requirements for the remainder of the term of the Vitro PPA due to the closing of any of the plants receiving the Net Energy, such Capacity User shall provide written notice to the Producer 120 days prior to the Capacity User’s desire to reduce the Purchased Capacity by either (i) remarketing the Purchased Capacity no longer desired by the Capacity User or (ii) paying to the Producer the Purchased Capacity Buydown Amount for the “Excess Capacity”.  The Capacity Buydown Amount represents the present value of the Fixed Capacity Charges and Fixed Charges for Operation and Maintenance for the Excess Capacity for the remainder of the term of the Vitro PPA.  In order for a remarketing of the Purchased Capacity to be effected under the Vitro PPA the following conditions must be satisfied:  (i) all appropriate permits for the remarketing have been obtained, any shares in the Producer necessary to be held by the remarketing purchaser have been issued by the Producer on terms satisfactory to the Producer, and any other requirements necessary for the remarketing to comply with Applicable Laws have been satisfied; (ii) the applicable Parent Guaranties have been ratified with respect to the obligations of the purchaser in a manner satisfactory to the Producer or released by the Producer because the remarketing purchaser is an Acceptable Credit Party; and (iii) the amendment to the applicable agreements and all other documents and agreements involved in the remarketing are in a form reasonably satisfactory to the Producer.</w:t>
      </w:r>
    </w:p>
    <w:p>
      <w:pPr>
        <w:pStyle w:val="WW-Text"/>
        <w:rPr/>
      </w:pPr>
      <w:r>
        <w:rPr/>
        <w:t>The Producer shall deliver Net Energy to the Capacity Users at the applicable Interconnection Point, either the CFE Interconnection Point or the local Interconnection Point.  Title to the Net Energy shall pass from the Producer to the Capacity User at the applicable Interconnection Point.</w:t>
      </w:r>
    </w:p>
    <w:p>
      <w:pPr>
        <w:pStyle w:val="Textbold"/>
        <w:rPr/>
      </w:pPr>
      <w:r>
        <w:rPr/>
        <w:t>Back-up Power</w:t>
      </w:r>
    </w:p>
    <w:p>
      <w:pPr>
        <w:pStyle w:val="WW-Text"/>
        <w:rPr/>
      </w:pPr>
      <w:r>
        <w:rPr/>
        <w:t>At any time when the Producer does not provide Net Energy from the Facilities to any Capacity User for any reason, the Producer must, unless such failure is excused due to Force Majeure or caused by a Capacity User, purchase power to supply such Capacity User pursuant to the CFE Back-up Supply Agreement.  The back-up power cost will be a pass-through to the Capacity Users up to a guaranteed number of hours of scheduled and forced outages per month quoted by the Project Company in the Vitro PPA.</w:t>
      </w:r>
    </w:p>
    <w:p>
      <w:pPr>
        <w:pStyle w:val="Textbold"/>
        <w:rPr/>
      </w:pPr>
      <w:r>
        <w:rPr/>
        <w:t>Obligations of the Producer during the Operational Period</w:t>
      </w:r>
    </w:p>
    <w:p>
      <w:pPr>
        <w:pStyle w:val="WW-Text"/>
        <w:rPr/>
      </w:pPr>
      <w:r>
        <w:rPr/>
        <w:t xml:space="preserve">The Producer shall have usual and customary obligations related to the operation and maintenance of the Facilities. </w:t>
      </w:r>
    </w:p>
    <w:p>
      <w:pPr>
        <w:pStyle w:val="WW-Text"/>
        <w:rPr/>
      </w:pPr>
      <w:r>
        <w:rPr/>
        <w:t>Obligations of the Capacity Users during the Operational Period include, among others, the following:</w:t>
      </w:r>
    </w:p>
    <w:p>
      <w:pPr>
        <w:pStyle w:val="Bullet1"/>
        <w:numPr>
          <w:ilvl w:val="0"/>
          <w:numId w:val="12"/>
        </w:numPr>
        <w:ind w:hanging="0" w:start="0"/>
        <w:rPr/>
      </w:pPr>
      <w:r>
        <w:rPr/>
        <w:t>each Capacity User must nominate its capacity and electric power requirements subject to the limits of the Vitro PPA;</w:t>
      </w:r>
    </w:p>
    <w:p>
      <w:pPr>
        <w:pStyle w:val="Bullet1"/>
        <w:numPr>
          <w:ilvl w:val="0"/>
          <w:numId w:val="12"/>
        </w:numPr>
        <w:ind w:hanging="0" w:start="0"/>
        <w:rPr/>
      </w:pPr>
      <w:r>
        <w:rPr/>
        <w:t xml:space="preserve">each Capacity User must make the monthly payment of: </w:t>
      </w:r>
    </w:p>
    <w:p>
      <w:pPr>
        <w:pStyle w:val="Bullet2"/>
        <w:numPr>
          <w:ilvl w:val="0"/>
          <w:numId w:val="6"/>
        </w:numPr>
        <w:rPr/>
      </w:pPr>
      <w:r>
        <w:rPr/>
        <w:t xml:space="preserve">the Fixed Capacity Charge, equal to the fixed capacity charge quoted by the Project Company in the Vitro PPA (in US$/kW-month) (adjusted as described in the paragraph “Adjustment of Fixed Capacity Charge”), multiplied by the Capacity User’s pro-rata share of the Facilities’ Demonstrated Net Capacity; </w:t>
      </w:r>
    </w:p>
    <w:p>
      <w:pPr>
        <w:pStyle w:val="Bullet2"/>
        <w:numPr>
          <w:ilvl w:val="0"/>
          <w:numId w:val="6"/>
        </w:numPr>
        <w:rPr/>
      </w:pPr>
      <w:r>
        <w:rPr/>
        <w:t>the Fixed Operation and Maintenance Charge, equal to the fixed operation and maintenance charges quoted by the Project Company in the Vitro PPA (adjusted by the U.S. inflation index and the current exchange rate for charges quoted in U.S. dollars, and by certain local inflation indexes for charges quoted in Pesos), multiplied by the Capacity User’s pro-rata share of the Facilities’ Demonstrated Net Capacity;</w:t>
      </w:r>
    </w:p>
    <w:p>
      <w:pPr>
        <w:pStyle w:val="Bullet2"/>
        <w:numPr>
          <w:ilvl w:val="0"/>
          <w:numId w:val="6"/>
        </w:numPr>
        <w:rPr/>
      </w:pPr>
      <w:r>
        <w:rPr/>
        <w:t>the Fixed Fuel Transportation Charge, equal to the fixed cost for Fuel quoted in the FSA in Pesos multiplied by the Capacity User’s pro-rata share of the Facilities’ Demonstrated Net Capacity;</w:t>
      </w:r>
    </w:p>
    <w:p>
      <w:pPr>
        <w:pStyle w:val="Bullet2"/>
        <w:numPr>
          <w:ilvl w:val="0"/>
          <w:numId w:val="6"/>
        </w:numPr>
        <w:rPr/>
      </w:pPr>
      <w:r>
        <w:rPr/>
        <w:t>the Fuel Charge, based on the thermal consumption of energy for Fuel guaranteed by the Project Company in the Vitro PPA as well as on the price for Fuel charged under the FSA (the “Fuel Charge”);</w:t>
      </w:r>
    </w:p>
    <w:p>
      <w:pPr>
        <w:pStyle w:val="Bullet2"/>
        <w:numPr>
          <w:ilvl w:val="0"/>
          <w:numId w:val="6"/>
        </w:numPr>
        <w:rPr/>
      </w:pPr>
      <w:r>
        <w:rPr/>
        <w:t xml:space="preserve">the Variable Operation and Maintenance Charge, related to the Net Energy associated with the Capacity User’s pro-rata share of the Facilities’ Demonstrated Net Capacity actually delivered by the Producer to the Capacity User; </w:t>
      </w:r>
    </w:p>
    <w:p>
      <w:pPr>
        <w:pStyle w:val="Bullet2"/>
        <w:numPr>
          <w:ilvl w:val="0"/>
          <w:numId w:val="6"/>
        </w:numPr>
        <w:rPr/>
      </w:pPr>
      <w:r>
        <w:rPr/>
        <w:t xml:space="preserve">the Start-up Charge, required as a result of the Capacity User’s prior instruction to shut down all or part of the Plant, pursuant to the Capacity User’s right to dispatch the Plant, or in the event of an emergency not caused by the Producer (the “Start-up Charge”; together with the Fuel Charge and the Variable Operation and Maintenance Charge, the “Energy Charges”); </w:t>
      </w:r>
    </w:p>
    <w:p>
      <w:pPr>
        <w:pStyle w:val="Bullet2"/>
        <w:numPr>
          <w:ilvl w:val="0"/>
          <w:numId w:val="6"/>
        </w:numPr>
        <w:rPr/>
      </w:pPr>
      <w:r>
        <w:rPr/>
        <w:t>the Back-up Power Charge, based on the price of back-up power for scheduled and forced outages under the CFE Back-up Supply Agreement multiplied by the actual number of hours of scheduled and forced outages up to a guaranteed number of hours quoted by the Project Company in the Vitro PPA (the Back-up Power Charges”);</w:t>
      </w:r>
    </w:p>
    <w:p>
      <w:pPr>
        <w:pStyle w:val="Bullet2"/>
        <w:numPr>
          <w:ilvl w:val="0"/>
          <w:numId w:val="6"/>
        </w:numPr>
        <w:rPr/>
      </w:pPr>
      <w:r>
        <w:rPr/>
        <w:t xml:space="preserve">the Transmission Charges, allocated on a pass-through basis to the Capacity User; and </w:t>
      </w:r>
    </w:p>
    <w:p>
      <w:pPr>
        <w:pStyle w:val="Bullet2"/>
        <w:numPr>
          <w:ilvl w:val="0"/>
          <w:numId w:val="6"/>
        </w:numPr>
        <w:rPr/>
      </w:pPr>
      <w:r>
        <w:rPr/>
        <w:t>the Steam Credit, credited to the Capacity User based on the amount of the steam revenue minus the cost of auxiliary steam generator fuel cost.</w:t>
      </w:r>
    </w:p>
    <w:p>
      <w:pPr>
        <w:pStyle w:val="Bullet1"/>
        <w:numPr>
          <w:ilvl w:val="0"/>
          <w:numId w:val="12"/>
        </w:numPr>
        <w:ind w:hanging="0" w:start="0"/>
        <w:rPr/>
      </w:pPr>
      <w:r>
        <w:rPr/>
        <w:t>Except as otherwise specified by the Producer, each Capacity User must make all payments under the Vitro PPA for the Fixed Capacity Charge in U.S. dollars to the account of the specified financial institution in New York or in any other place and for all other changes in the currency stated in the Vitro PPA.</w:t>
      </w:r>
    </w:p>
    <w:p>
      <w:pPr>
        <w:pStyle w:val="Textbold"/>
        <w:rPr/>
      </w:pPr>
      <w:r>
        <w:rPr/>
        <w:t>Adjustment of Fixed Capacity Charge</w:t>
      </w:r>
    </w:p>
    <w:p>
      <w:pPr>
        <w:pStyle w:val="WW-Text"/>
        <w:rPr/>
      </w:pPr>
      <w:r>
        <w:rPr/>
        <w:t>The Producer is afforded certain protections for various risks by adjustments which may occur in the Fixed Capacity Charge.  The Fixed Capacity Charge shall be adjusted as a result of (a) changes in the cost of financing as reflected by the difference between (i) 9.6133% and (ii) the Actual Cost of Financing effective on the date of the first drawdown of debt financing for the Facilities, and (b) variations in costs due to change in law.  In the event the Actual Cost of Financing differs by more than 200 basis points from 9.6133%, the parties will meet in an effort to agree on a mutually acceptable adjustment.  If the parties are unable to agree, either party may terminate the PPA.</w:t>
      </w:r>
    </w:p>
    <w:p>
      <w:pPr>
        <w:pStyle w:val="Textbold"/>
        <w:rPr/>
      </w:pPr>
      <w:r>
        <w:rPr/>
        <w:t>Contract Term</w:t>
      </w:r>
    </w:p>
    <w:p>
      <w:pPr>
        <w:pStyle w:val="WW-Text"/>
        <w:rPr/>
      </w:pPr>
      <w:r>
        <w:rPr/>
        <w:t>The term of the PPA shall continue until the 15</w:t>
      </w:r>
      <w:r>
        <w:rPr>
          <w:vertAlign w:val="superscript"/>
        </w:rPr>
        <w:t>th</w:t>
      </w:r>
      <w:r>
        <w:rPr/>
        <w:t xml:space="preserve"> anniversary of the Commercial Operation Date.</w:t>
      </w:r>
    </w:p>
    <w:p>
      <w:pPr>
        <w:pStyle w:val="Textbold"/>
        <w:rPr/>
      </w:pPr>
      <w:r>
        <w:rPr/>
        <w:t>Producer Events of Default</w:t>
      </w:r>
    </w:p>
    <w:p>
      <w:pPr>
        <w:pStyle w:val="Textital"/>
        <w:rPr/>
      </w:pPr>
      <w:r>
        <w:rPr/>
        <w:t xml:space="preserve">The Vitro PPA includes the following as “Producer Events of Default”, unless resulting from a Capacity User Event of Default or an Agent Event of Default or excused by an event of Force Majeure: </w:t>
      </w:r>
    </w:p>
    <w:p>
      <w:pPr>
        <w:pStyle w:val="Bullet1"/>
        <w:numPr>
          <w:ilvl w:val="0"/>
          <w:numId w:val="12"/>
        </w:numPr>
        <w:ind w:hanging="0" w:start="0"/>
        <w:rPr/>
      </w:pPr>
      <w:r>
        <w:rPr/>
        <w:t>failure to achieve the Commercial Operation Date within 180 days from the Scheduled Commercial Operation Date;</w:t>
      </w:r>
    </w:p>
    <w:p>
      <w:pPr>
        <w:pStyle w:val="Bullet1"/>
        <w:numPr>
          <w:ilvl w:val="0"/>
          <w:numId w:val="12"/>
        </w:numPr>
        <w:ind w:hanging="0" w:start="0"/>
        <w:rPr/>
      </w:pPr>
      <w:r>
        <w:rPr/>
        <w:t>any material misrepresentation that is materially prejudicial to the interests of the Capacity Users;</w:t>
      </w:r>
    </w:p>
    <w:p>
      <w:pPr>
        <w:pStyle w:val="Bullet1"/>
        <w:numPr>
          <w:ilvl w:val="0"/>
          <w:numId w:val="12"/>
        </w:numPr>
        <w:ind w:hanging="0" w:start="0"/>
        <w:rPr/>
      </w:pPr>
      <w:r>
        <w:rPr/>
        <w:t>the Producer becomes insolvent or is unable to pay its debts as they become due; and</w:t>
      </w:r>
    </w:p>
    <w:p>
      <w:pPr>
        <w:pStyle w:val="Bullet1"/>
        <w:numPr>
          <w:ilvl w:val="0"/>
          <w:numId w:val="12"/>
        </w:numPr>
        <w:ind w:hanging="0" w:start="0"/>
        <w:rPr/>
      </w:pPr>
      <w:r>
        <w:rPr/>
        <w:t>if, as a result of any act or failure to act on the part of the Producer, any Permit needed for the Facilities to provide Purchased Capacity or Net Energy is canceled, revoked or is not renewed.</w:t>
      </w:r>
    </w:p>
    <w:p>
      <w:pPr>
        <w:pStyle w:val="Textbold"/>
        <w:rPr/>
      </w:pPr>
      <w:r>
        <w:rPr/>
        <w:t>Capacity User Remedies</w:t>
      </w:r>
    </w:p>
    <w:p>
      <w:pPr>
        <w:pStyle w:val="WW-Text"/>
        <w:rPr/>
      </w:pPr>
      <w:r>
        <w:rPr/>
        <w:t>Upon the occurrence of an Event of Default by the Producer, each Capacity User’s sole remedy shall be to seek recovery of its actual damages and shall not have the right to terminate the Vitro PPA.</w:t>
      </w:r>
    </w:p>
    <w:p>
      <w:pPr>
        <w:pStyle w:val="Textbold"/>
        <w:rPr/>
      </w:pPr>
      <w:r>
        <w:rPr/>
        <w:t>Capacity User and Agent Events of Default</w:t>
      </w:r>
    </w:p>
    <w:p>
      <w:pPr>
        <w:pStyle w:val="Textital"/>
        <w:rPr/>
      </w:pPr>
      <w:r>
        <w:rPr/>
        <w:t>The Vitro PPA includes, among others, the following as “Capacity User Event of Default” and “Agent Events of Default”, unless resulting from a Producer Event of Default or excused by an event of Force Majeure:</w:t>
      </w:r>
    </w:p>
    <w:p>
      <w:pPr>
        <w:pStyle w:val="Bullet1"/>
        <w:numPr>
          <w:ilvl w:val="0"/>
          <w:numId w:val="12"/>
        </w:numPr>
        <w:ind w:hanging="0" w:start="0"/>
        <w:rPr/>
      </w:pPr>
      <w:r>
        <w:rPr/>
        <w:t xml:space="preserve">failure by any Capacity User to pay the Producer any amount due under the Vitro PPA, and such breach exceeds four days; </w:t>
      </w:r>
    </w:p>
    <w:p>
      <w:pPr>
        <w:pStyle w:val="Bullet1"/>
        <w:numPr>
          <w:ilvl w:val="0"/>
          <w:numId w:val="12"/>
        </w:numPr>
        <w:ind w:hanging="0" w:start="0"/>
        <w:rPr/>
      </w:pPr>
      <w:r>
        <w:rPr/>
        <w:t>any Capacity User becomes insolvent or is unable to pay its debts as they become due;</w:t>
      </w:r>
    </w:p>
    <w:p>
      <w:pPr>
        <w:pStyle w:val="Bullet1"/>
        <w:numPr>
          <w:ilvl w:val="0"/>
          <w:numId w:val="12"/>
        </w:numPr>
        <w:ind w:hanging="0" w:start="0"/>
        <w:rPr/>
      </w:pPr>
      <w:r>
        <w:rPr/>
        <w:t>any dissolution, merger, consolidation, amalgamation, reorganization, or reconstruction of any Capacity User or the Vitro Agent, except to the extent that it does not materially adversely affect the ability of the resulting entity to perform its obligation under the Vitro PPA for reasons including, but not limited to, credit rating and load factor of the successor entity;</w:t>
      </w:r>
    </w:p>
    <w:p>
      <w:pPr>
        <w:pStyle w:val="Bullet1"/>
        <w:numPr>
          <w:ilvl w:val="0"/>
          <w:numId w:val="12"/>
        </w:numPr>
        <w:ind w:hanging="0" w:start="0"/>
        <w:rPr/>
      </w:pPr>
      <w:r>
        <w:rPr/>
        <w:t>any Capacity User ceases to own an interest in the Producer as required by Applicable Law to enable Net Energy and Purchased Capacity to be provided as contemplated under the Vitro PPA;</w:t>
      </w:r>
    </w:p>
    <w:p>
      <w:pPr>
        <w:pStyle w:val="Bullet1"/>
        <w:numPr>
          <w:ilvl w:val="0"/>
          <w:numId w:val="12"/>
        </w:numPr>
        <w:ind w:hanging="0" w:start="0"/>
        <w:rPr/>
      </w:pPr>
      <w:r>
        <w:rPr/>
        <w:t>if, as a result of any act or failure to act on the part of any Capacity User, any Permit needed for the Facilities to provide Purchased Capacity or Net Energy is canceled, revoked or is not renewed; or</w:t>
      </w:r>
    </w:p>
    <w:p>
      <w:pPr>
        <w:pStyle w:val="Bullet1"/>
        <w:numPr>
          <w:ilvl w:val="0"/>
          <w:numId w:val="12"/>
        </w:numPr>
        <w:ind w:hanging="0" w:start="0"/>
        <w:rPr/>
      </w:pPr>
      <w:r>
        <w:rPr/>
        <w:t>there shall occur any Event of Default by Alcali (other than a payment default) under and as defined in the Steam Purchase Agreement and any action is taken by the Producer with respect thereto.</w:t>
      </w:r>
    </w:p>
    <w:p>
      <w:pPr>
        <w:pStyle w:val="Textbold"/>
        <w:rPr/>
      </w:pPr>
      <w:r>
        <w:rPr/>
        <w:t>Change in Law</w:t>
      </w:r>
    </w:p>
    <w:p>
      <w:pPr>
        <w:pStyle w:val="WW-Text"/>
        <w:rPr/>
      </w:pPr>
      <w:r>
        <w:rPr/>
        <w:t>The Vitro PPA provides for adjustments of the monthly Capacity Charges and Energy Charges in case of change in law which causes the Producer to incur additional or fewer costs.</w:t>
      </w:r>
    </w:p>
    <w:p>
      <w:pPr>
        <w:pStyle w:val="Textbold"/>
        <w:rPr/>
      </w:pPr>
      <w:r>
        <w:rPr/>
        <w:t>Credit Support</w:t>
      </w:r>
    </w:p>
    <w:p>
      <w:pPr>
        <w:pStyle w:val="WW-Text"/>
        <w:rPr/>
      </w:pPr>
      <w:r>
        <w:rPr/>
        <w:t>Concurrent with the execution of the Vitro PPA, the Capacity User has provided Guaranties executed by Vitro and Libbey Glass Inc. (the “Parent Guaranties”).  The Parent Guaranties cover the off-take obligations of the Capacity Users under the Vitro PPA.</w:t>
      </w:r>
      <w:r>
        <w:br w:type="page"/>
      </w:r>
    </w:p>
    <w:p>
      <w:pPr>
        <w:pStyle w:val="Textbold"/>
        <w:rPr/>
      </w:pPr>
      <w:r>
        <w:rPr/>
        <w:t>IMSA Power Purchase Agreement</w:t>
      </w:r>
    </w:p>
    <w:p>
      <w:pPr>
        <w:pStyle w:val="WW-Text"/>
        <w:rPr/>
      </w:pPr>
      <w:r>
        <w:rPr/>
        <w:t>The IMSA PPA is similar to the Vitro PPA, except as outlined below.</w:t>
      </w:r>
    </w:p>
    <w:p>
      <w:pPr>
        <w:pStyle w:val="Textbold"/>
        <w:rPr/>
      </w:pPr>
      <w:r>
        <w:rPr/>
        <w:t>Parties</w:t>
      </w:r>
    </w:p>
    <w:p>
      <w:pPr>
        <w:pStyle w:val="Textbold"/>
        <w:rPr/>
      </w:pPr>
      <w:r>
        <w:rPr>
          <w:b w:val="false"/>
        </w:rPr>
        <w:t>IMSA Agent:</w:t>
      </w:r>
      <w:r>
        <w:rPr/>
        <w:t xml:space="preserve"> </w:t>
        <w:tab/>
      </w:r>
      <w:r>
        <w:rPr>
          <w:b w:val="false"/>
        </w:rPr>
        <w:t>Corporativo Grupo IMSA S.A. de C.V. (“IMSA”)</w:t>
      </w:r>
    </w:p>
    <w:p>
      <w:pPr>
        <w:pStyle w:val="WW-Text"/>
        <w:rPr/>
      </w:pPr>
      <w:r>
        <w:rPr/>
        <w:t>Capacity User:</w:t>
        <w:tab/>
        <w:t>Nine subsidiaries of Grupo IMSA, S.A. de C.V. (“IMSA”).</w:t>
      </w:r>
    </w:p>
    <w:p>
      <w:pPr>
        <w:pStyle w:val="WW-Text"/>
        <w:rPr/>
      </w:pPr>
      <w:r>
        <w:rPr/>
        <w:t>Producer :</w:t>
        <w:tab/>
        <w:t>the Project Company.</w:t>
      </w:r>
    </w:p>
    <w:p>
      <w:pPr>
        <w:pStyle w:val="Textbold"/>
        <w:rPr/>
      </w:pPr>
      <w:r>
        <w:rPr/>
        <w:t>Object</w:t>
      </w:r>
    </w:p>
    <w:p>
      <w:pPr>
        <w:pStyle w:val="WW-Text"/>
        <w:rPr/>
      </w:pPr>
      <w:r>
        <w:rPr/>
        <w:t xml:space="preserve">The </w:t>
      </w:r>
      <w:r>
        <w:rPr>
          <w:i/>
        </w:rPr>
        <w:t>Agreement for Provision of electrical Power Generation Capacity and Associated Electrical Energy</w:t>
      </w:r>
      <w:r>
        <w:rPr/>
        <w:t xml:space="preserve"> dated April 5, 2000 (the “IMSA PPA”) sets forth the terms for the provision of the net capacity guaranteed by the Project Company in the IMSA PPA (the “Guaranteed Net Capacity”) and sale of the net energy (the “Net Energy”) by the Producer to the Capacity User. </w:t>
      </w:r>
    </w:p>
    <w:p>
      <w:pPr>
        <w:pStyle w:val="Textbold"/>
        <w:rPr/>
      </w:pPr>
      <w:r>
        <w:rPr/>
        <w:t>Purchased Capacity</w:t>
      </w:r>
    </w:p>
    <w:p>
      <w:pPr>
        <w:pStyle w:val="WW-Text"/>
        <w:rPr/>
      </w:pPr>
      <w:r>
        <w:rPr/>
        <w:t>The IMSA subsidiaries have contracted to purchase 90 MW on behalf of its wholly-owned subsidiaries (the “IMSA Subsidiaries”).</w:t>
      </w:r>
    </w:p>
    <w:p>
      <w:pPr>
        <w:pStyle w:val="WW-Text"/>
        <w:rPr/>
      </w:pPr>
      <w:r>
        <w:rPr>
          <w:b/>
          <w:sz w:val="21"/>
        </w:rPr>
        <w:t xml:space="preserve">Obligations of the Producer prior to Commercial Operation </w:t>
      </w:r>
      <w:r>
        <w:rPr/>
        <w:t>include, among others, the following:</w:t>
      </w:r>
    </w:p>
    <w:p>
      <w:pPr>
        <w:pStyle w:val="Bullet1"/>
        <w:numPr>
          <w:ilvl w:val="0"/>
          <w:numId w:val="12"/>
        </w:numPr>
        <w:ind w:hanging="0" w:start="0"/>
        <w:rPr>
          <w:b/>
        </w:rPr>
      </w:pPr>
      <w:r>
        <w:rPr/>
        <w:t>develop and construct the Facilities in accordance with the terms of the Vitro PPA and Prudent Industry Practices; and</w:t>
      </w:r>
    </w:p>
    <w:p>
      <w:pPr>
        <w:pStyle w:val="Bullet1"/>
        <w:numPr>
          <w:ilvl w:val="0"/>
          <w:numId w:val="12"/>
        </w:numPr>
        <w:ind w:hanging="0" w:start="0"/>
        <w:rPr>
          <w:b/>
        </w:rPr>
      </w:pPr>
      <w:r>
        <w:rPr/>
        <w:t>obtain and maintain in good force and effect all permits required for the construction, ownership, operation and maintenance of the Project.</w:t>
      </w:r>
    </w:p>
    <w:p>
      <w:pPr>
        <w:pStyle w:val="Textbold"/>
        <w:rPr/>
      </w:pPr>
      <w:r>
        <w:rPr/>
        <w:t>Commercial  Operation Date</w:t>
      </w:r>
    </w:p>
    <w:p>
      <w:pPr>
        <w:pStyle w:val="WW-Text"/>
        <w:rPr/>
      </w:pPr>
      <w:r>
        <w:rPr/>
        <w:t xml:space="preserve">In the event the Producer fails to reach Commercial Operation on or before the Scheduled Commercial Operation Date for reasons identical to the ones outlined in the Vitro PPA, the Producer shall pay liquidated damages to the Capacity User of US$100 per MW per day up to a maximum amount equal to US$30,000 per MW.  </w:t>
      </w:r>
    </w:p>
    <w:p>
      <w:pPr>
        <w:pStyle w:val="Textbold"/>
        <w:rPr/>
      </w:pPr>
      <w:r>
        <w:rPr/>
        <w:t>Commitment of capacity and provision of associated power</w:t>
      </w:r>
    </w:p>
    <w:p>
      <w:pPr>
        <w:pStyle w:val="WW-Text"/>
        <w:rPr/>
      </w:pPr>
      <w:r>
        <w:rPr/>
        <w:t xml:space="preserve">The IMSA PPA does not provide the Capacity Users with the flexibility to remarket or buydown any Purchased Capacity that would be in excess of the Capacity Users’ power requirements.  </w:t>
      </w:r>
    </w:p>
    <w:p>
      <w:pPr>
        <w:pStyle w:val="WW-Text"/>
        <w:rPr/>
      </w:pPr>
      <w:r>
        <w:rPr/>
        <w:t>The IMSA PPA contemplates only one Interconnection Point, the CFE Interconnection Point.</w:t>
      </w:r>
    </w:p>
    <w:p>
      <w:pPr>
        <w:pStyle w:val="Textbold"/>
        <w:rPr/>
      </w:pPr>
      <w:r>
        <w:rPr/>
        <w:t>Producer Events of Default</w:t>
      </w:r>
    </w:p>
    <w:p>
      <w:pPr>
        <w:pStyle w:val="Textital"/>
        <w:rPr/>
      </w:pPr>
      <w:r>
        <w:rPr/>
        <w:t>In addition to the Producer Events of Default included in the Vitro PPA, the IMSA PPA includes the following as “Producer Events of Default”:</w:t>
      </w:r>
    </w:p>
    <w:p>
      <w:pPr>
        <w:pStyle w:val="Bullet1"/>
        <w:numPr>
          <w:ilvl w:val="0"/>
          <w:numId w:val="12"/>
        </w:numPr>
        <w:ind w:hanging="0" w:start="0"/>
        <w:rPr/>
      </w:pPr>
      <w:r>
        <w:rPr/>
        <w:t>failure by the Producer to pay any Capacity User any amount due under the IMSA PPA; and</w:t>
      </w:r>
    </w:p>
    <w:p>
      <w:pPr>
        <w:pStyle w:val="Bullet1"/>
        <w:numPr>
          <w:ilvl w:val="0"/>
          <w:numId w:val="12"/>
        </w:numPr>
        <w:ind w:hanging="0" w:start="0"/>
        <w:rPr/>
      </w:pPr>
      <w:r>
        <w:rPr/>
        <w:t>failure by the Producer to observe, comply with or perform any other material obligation under the IMSA PPA.</w:t>
      </w:r>
    </w:p>
    <w:p>
      <w:pPr>
        <w:pStyle w:val="Textbold"/>
        <w:rPr/>
      </w:pPr>
      <w:r>
        <w:rPr/>
        <w:t>Capacity User Events of Default</w:t>
      </w:r>
    </w:p>
    <w:p>
      <w:pPr>
        <w:pStyle w:val="Textital"/>
        <w:rPr/>
      </w:pPr>
      <w:r>
        <w:rPr/>
        <w:t>The Capacity User Events of Default included in the IMSA PPA are similar to the Capacity User Events of Default in the Vitro PPA except as noted below:</w:t>
      </w:r>
    </w:p>
    <w:p>
      <w:pPr>
        <w:pStyle w:val="Bullet1"/>
        <w:numPr>
          <w:ilvl w:val="0"/>
          <w:numId w:val="12"/>
        </w:numPr>
        <w:ind w:hanging="0" w:start="0"/>
        <w:rPr/>
      </w:pPr>
      <w:r>
        <w:rPr/>
        <w:t>failure by any Capacity User to obtain or renew an irrevocable letter of credit as outlined in the Credit Support section below; and</w:t>
      </w:r>
    </w:p>
    <w:p>
      <w:pPr>
        <w:pStyle w:val="Bullet1"/>
        <w:numPr>
          <w:ilvl w:val="0"/>
          <w:numId w:val="12"/>
        </w:numPr>
        <w:ind w:hanging="0" w:start="0"/>
        <w:rPr/>
      </w:pPr>
      <w:r>
        <w:rPr/>
        <w:t>does not include any Event of Default by Alcali under and as defined in the Steam Purchase Agreement.</w:t>
      </w:r>
    </w:p>
    <w:p>
      <w:pPr>
        <w:pStyle w:val="Textbold"/>
        <w:rPr/>
      </w:pPr>
      <w:r>
        <w:rPr/>
        <w:t>Credit Support</w:t>
      </w:r>
    </w:p>
    <w:p>
      <w:pPr>
        <w:pStyle w:val="WW-Text"/>
        <w:rPr/>
      </w:pPr>
      <w:r>
        <w:rPr/>
        <w:t>Concurrent with the execution of the IMSA PPA, the Capacity Users have provided a guaranty executed by IMSA (the “Parent Guaranty”).</w:t>
      </w:r>
    </w:p>
    <w:p>
      <w:pPr>
        <w:pStyle w:val="WW-Text"/>
        <w:rPr/>
      </w:pPr>
      <w:r>
        <w:rPr/>
        <w:t>If at any time during the term of the IMSA PPA, the Parent Guarantor does not have assets in excess of US$500,000,000 and a BB credit rating or higher by S&amp;P and a Ba2 credit rating or higher by Moody’s, then the IMSA Agent shall obtain a one-year irrevocable letter of credit in an amount equal to the total of the payments due from the Capacity Users for Capacity Charges for the next calendar year.  The letter of credit shall be automatically renewed and its amount restored should the letter of credit be drawn.</w:t>
      </w:r>
    </w:p>
    <w:p>
      <w:pPr>
        <w:pStyle w:val="Textbold"/>
        <w:rPr/>
      </w:pPr>
      <w:r>
        <w:rPr/>
        <w:t>Available Excess Energy</w:t>
      </w:r>
    </w:p>
    <w:p>
      <w:pPr>
        <w:pStyle w:val="WW-Text"/>
        <w:rPr/>
      </w:pPr>
      <w:r>
        <w:rPr/>
        <w:t>Available Excess Energy is defined as the energy produced by the Project, delivered to the Capacity User in excess of the Purchased Capacity that is not taken by another Person under a present or future agreement or that corresponds to capacity that exceeds the Guaranteed Net Capacity.</w:t>
      </w:r>
    </w:p>
    <w:p>
      <w:pPr>
        <w:pStyle w:val="WW-Text"/>
        <w:rPr/>
      </w:pPr>
      <w:r>
        <w:rPr/>
        <w:t>Should such Available Excess Energy be available, the Producer agrees that the Capacity Users will have a higher priority than any Other Capacity User to take and compensate the Producer for any Available Excess Energy.  Capacity Users shall pay the Producer the Operation and Service Charge, the Fuel Charge, and the Transmission Charges as quoted in the Letter Agreement Regarding Available Excess Energy which is a supplement to the IMSA PPA.</w:t>
      </w:r>
      <w:r>
        <w:br w:type="page"/>
      </w:r>
    </w:p>
    <w:p>
      <w:pPr>
        <w:pStyle w:val="Textbold"/>
        <w:rPr/>
      </w:pPr>
      <w:r>
        <w:rPr/>
        <w:t>Apasco Power Purchase Agreement</w:t>
      </w:r>
    </w:p>
    <w:p>
      <w:pPr>
        <w:pStyle w:val="WW-Text"/>
        <w:rPr/>
      </w:pPr>
      <w:r>
        <w:rPr/>
        <w:t>The Apasco PPA is similar to the Vitro PPA, except as outlined below.</w:t>
      </w:r>
    </w:p>
    <w:p>
      <w:pPr>
        <w:pStyle w:val="Textbold"/>
        <w:rPr/>
      </w:pPr>
      <w:r>
        <w:rPr/>
        <w:t>Parties</w:t>
      </w:r>
    </w:p>
    <w:p>
      <w:pPr>
        <w:pStyle w:val="WW-Text"/>
        <w:rPr/>
      </w:pPr>
      <w:r>
        <w:rPr/>
        <w:t>Capacity User:</w:t>
        <w:tab/>
        <w:t>Cementos Apasco, S.A. de C.V. (“Apasco”).</w:t>
      </w:r>
    </w:p>
    <w:p>
      <w:pPr>
        <w:pStyle w:val="WW-Text"/>
        <w:rPr/>
      </w:pPr>
      <w:r>
        <w:rPr/>
        <w:t>Producer:</w:t>
        <w:tab/>
        <w:t>the Project Company.</w:t>
      </w:r>
    </w:p>
    <w:p>
      <w:pPr>
        <w:pStyle w:val="Textbold"/>
        <w:rPr/>
      </w:pPr>
      <w:r>
        <w:rPr/>
        <w:t>Object</w:t>
      </w:r>
    </w:p>
    <w:p>
      <w:pPr>
        <w:pStyle w:val="WW-Text"/>
        <w:rPr/>
      </w:pPr>
      <w:r>
        <w:rPr/>
        <w:t xml:space="preserve">The </w:t>
      </w:r>
      <w:r>
        <w:rPr>
          <w:i/>
        </w:rPr>
        <w:t>Agreement for Provision of Electrical Power Generation Capacity and Associated Electrical Energy</w:t>
      </w:r>
      <w:r>
        <w:rPr/>
        <w:t xml:space="preserve"> dated April 12, 2000 (the “Apasco PPA”) sets forth the terms for the provision of the net capacity guaranteed by the Project Company in the Apasco PPA (the “Guaranteed Net Capacity”) and sale of the net energy (the “Net Energy”) by the Producer to the Capacity User. </w:t>
      </w:r>
    </w:p>
    <w:p>
      <w:pPr>
        <w:pStyle w:val="Textbold"/>
        <w:rPr/>
      </w:pPr>
      <w:r>
        <w:rPr/>
        <w:t>Purchased Capacity</w:t>
      </w:r>
    </w:p>
    <w:p>
      <w:pPr>
        <w:pStyle w:val="WW-Text"/>
        <w:rPr/>
      </w:pPr>
      <w:r>
        <w:rPr/>
        <w:t xml:space="preserve">Apasco has contracted to purchase 40 MW to supply various plants. </w:t>
      </w:r>
    </w:p>
    <w:p>
      <w:pPr>
        <w:pStyle w:val="WW-Text"/>
        <w:rPr/>
      </w:pPr>
      <w:r>
        <w:rPr>
          <w:b/>
          <w:sz w:val="21"/>
        </w:rPr>
        <w:t xml:space="preserve">Obligations of the Capacity User prior to Commercial Operation </w:t>
      </w:r>
      <w:r>
        <w:rPr/>
        <w:t>are the same as the Vitro PPA except the Capacity User is not obligated to cause Alcali to enter into the Real Estate Purchase Agreement and cause the Real Estate Rights to be transferred to the Producer free of all liens.</w:t>
      </w:r>
    </w:p>
    <w:p>
      <w:pPr>
        <w:pStyle w:val="Textbold"/>
        <w:rPr/>
      </w:pPr>
      <w:r>
        <w:rPr/>
        <w:t>Commercial Operation</w:t>
      </w:r>
    </w:p>
    <w:p>
      <w:pPr>
        <w:pStyle w:val="WW-Text"/>
        <w:rPr/>
      </w:pPr>
      <w:r>
        <w:rPr/>
        <w:t>In the event the Producer fails to reach Commercial Operation on or before the Scheduled Commercial Operation Date for reasons identical to the ones outlined in the Vitro PPA, the Producer shall pay liquidated damages to the Capacity User of US$100 per MW per day up to a maximum amount equal to US$30,000 per MW.  The Apasco PPA requires any liquidated damages payable to Apasco have a superior ranking to amounts payable to Lenders for debt service.</w:t>
      </w:r>
    </w:p>
    <w:p>
      <w:pPr>
        <w:pStyle w:val="Textbold"/>
        <w:rPr/>
      </w:pPr>
      <w:r>
        <w:rPr/>
        <w:t>Commitment of capacity and provision of associated power</w:t>
      </w:r>
    </w:p>
    <w:p>
      <w:pPr>
        <w:pStyle w:val="WW-Text"/>
        <w:rPr/>
      </w:pPr>
      <w:r>
        <w:rPr/>
        <w:t xml:space="preserve">The Apasco PPA does not provide the Capacity User with the flexibility to remarket or buydown any Purchased Capacity that would be in excess of the Capacity User’s power requirements.  </w:t>
      </w:r>
    </w:p>
    <w:p>
      <w:pPr>
        <w:pStyle w:val="WW-Text"/>
        <w:rPr/>
      </w:pPr>
      <w:r>
        <w:rPr/>
        <w:t>The Apasco PPA contemplates only one Interconnection Point, the CFE Interconnection Point.</w:t>
      </w:r>
    </w:p>
    <w:p>
      <w:pPr>
        <w:pStyle w:val="Textbold"/>
        <w:rPr/>
      </w:pPr>
      <w:r>
        <w:rPr/>
        <w:t>Producer Events of Default</w:t>
      </w:r>
    </w:p>
    <w:p>
      <w:pPr>
        <w:pStyle w:val="Textital"/>
        <w:rPr/>
      </w:pPr>
      <w:r>
        <w:rPr/>
        <w:t>In addition to the Producer Events of Default included in the Vitro PPA, the Apasco PPA includes, the following as “Producer Events of Default”:</w:t>
      </w:r>
    </w:p>
    <w:p>
      <w:pPr>
        <w:pStyle w:val="Bullet1"/>
        <w:numPr>
          <w:ilvl w:val="0"/>
          <w:numId w:val="12"/>
        </w:numPr>
        <w:ind w:hanging="0" w:start="0"/>
        <w:rPr/>
      </w:pPr>
      <w:r>
        <w:rPr/>
        <w:t>failure by the Producer to pay the Capacity User any amount due under the Apasco PPA; and</w:t>
      </w:r>
    </w:p>
    <w:p>
      <w:pPr>
        <w:pStyle w:val="Bullet1"/>
        <w:numPr>
          <w:ilvl w:val="0"/>
          <w:numId w:val="12"/>
        </w:numPr>
        <w:ind w:hanging="0" w:start="0"/>
        <w:rPr/>
      </w:pPr>
      <w:r>
        <w:rPr/>
        <w:t>failure by the Producer to observe, comply with or perform any other material obligation under the Apasco PPA.</w:t>
      </w:r>
    </w:p>
    <w:p>
      <w:pPr>
        <w:pStyle w:val="Textbold"/>
        <w:rPr/>
      </w:pPr>
      <w:r>
        <w:rPr/>
        <w:t>Capacity User Events of Default</w:t>
      </w:r>
    </w:p>
    <w:p>
      <w:pPr>
        <w:pStyle w:val="Textital"/>
        <w:rPr/>
      </w:pPr>
      <w:r>
        <w:rPr/>
        <w:t>The Capacity User Events of Default included in the Apasco PPA are similar to the Capacity User Events of Default in the Vitro PPA except as noted below:</w:t>
      </w:r>
    </w:p>
    <w:p>
      <w:pPr>
        <w:pStyle w:val="Bullet1"/>
        <w:numPr>
          <w:ilvl w:val="0"/>
          <w:numId w:val="12"/>
        </w:numPr>
        <w:ind w:hanging="0" w:start="0"/>
        <w:rPr/>
      </w:pPr>
      <w:r>
        <w:rPr/>
        <w:t>failure by the Capacity User to obtain or renew an irrevocable letter of credit as outlined in the Credit Support section below; and</w:t>
      </w:r>
    </w:p>
    <w:p>
      <w:pPr>
        <w:pStyle w:val="Bullet1"/>
        <w:numPr>
          <w:ilvl w:val="0"/>
          <w:numId w:val="12"/>
        </w:numPr>
        <w:ind w:hanging="0" w:start="0"/>
        <w:rPr/>
      </w:pPr>
      <w:r>
        <w:rPr/>
        <w:t>does not include any Event of Default by Alcali under and as defined in the Steam Purchase Agreement.</w:t>
      </w:r>
    </w:p>
    <w:p>
      <w:pPr>
        <w:pStyle w:val="Textbold"/>
        <w:rPr/>
      </w:pPr>
      <w:r>
        <w:rPr/>
        <w:t>Credit Support</w:t>
      </w:r>
    </w:p>
    <w:p>
      <w:pPr>
        <w:pStyle w:val="WW-Text"/>
        <w:rPr/>
      </w:pPr>
      <w:r>
        <w:rPr/>
        <w:t>Concurrent with the execution of the Apasco PPA, the Capacity User has provided a guaranty executed by Apasco (the “Parent Guaranty”).</w:t>
      </w:r>
    </w:p>
    <w:p>
      <w:pPr>
        <w:pStyle w:val="WW-Text"/>
        <w:rPr/>
      </w:pPr>
      <w:r>
        <w:rPr/>
        <w:t>If at any time during the term of the Apasco PPA, the Parent Guarantor or the Capacity User does not have assets in excess of US$500,000,000 and a BB credit rating or higher by S&amp;P and a Ba2 credit rating or higher by Moody’s, then the Capacity User shall obtain a one-year irrevocable letter of credit in an amount equal to the total of the payments due from the Capacity User for Capacity Charges for the next calendar year.  The letter of credit shall be automatically renewed and its amount restored should the letter of credit be drawn.</w:t>
      </w:r>
      <w:r>
        <w:br w:type="page"/>
      </w:r>
    </w:p>
    <w:p>
      <w:pPr>
        <w:pStyle w:val="Textbold"/>
        <w:rPr/>
      </w:pPr>
      <w:r>
        <w:rPr/>
        <w:t>Steam Purchase Agreement</w:t>
      </w:r>
    </w:p>
    <w:p>
      <w:pPr>
        <w:pStyle w:val="Textbold"/>
        <w:rPr/>
      </w:pPr>
      <w:r>
        <w:rPr/>
        <w:t>Parties</w:t>
      </w:r>
    </w:p>
    <w:p>
      <w:pPr>
        <w:pStyle w:val="WW-Text"/>
        <w:rPr/>
      </w:pPr>
      <w:r>
        <w:rPr/>
        <w:t>Industria del Alcali, S.A. de C.V. (“Alcali”) and the Project Company (“Producer”).</w:t>
      </w:r>
    </w:p>
    <w:p>
      <w:pPr>
        <w:pStyle w:val="Textbold"/>
        <w:rPr/>
      </w:pPr>
      <w:r>
        <w:rPr/>
        <w:t>Object</w:t>
      </w:r>
    </w:p>
    <w:p>
      <w:pPr>
        <w:pStyle w:val="WW-Text"/>
        <w:rPr/>
      </w:pPr>
      <w:r>
        <w:rPr/>
        <w:t xml:space="preserve">The </w:t>
      </w:r>
      <w:r>
        <w:rPr>
          <w:i/>
        </w:rPr>
        <w:t>Steam Purchase Agreement</w:t>
      </w:r>
      <w:r>
        <w:rPr/>
        <w:t xml:space="preserve"> dated December 15, 1999 (the “SPA”) sets forth the terms for the provision of up to 235 tonnes per hour of steam (the “Steam”) by the Producer to Alcali.</w:t>
      </w:r>
    </w:p>
    <w:p>
      <w:pPr>
        <w:pStyle w:val="Textbold"/>
        <w:rPr/>
      </w:pPr>
      <w:r>
        <w:rPr/>
        <w:t>Steam Scheduled Operation Date</w:t>
      </w:r>
    </w:p>
    <w:p>
      <w:pPr>
        <w:pStyle w:val="WW-Text"/>
        <w:rPr>
          <w:b/>
        </w:rPr>
      </w:pPr>
      <w:r>
        <w:rPr/>
        <w:t>The Steam Scheduled Operation Date means the same date as the Scheduled Operation Date defined in the Vitro PPA.</w:t>
      </w:r>
    </w:p>
    <w:p>
      <w:pPr>
        <w:pStyle w:val="Textbold"/>
        <w:rPr/>
      </w:pPr>
      <w:r>
        <w:rPr/>
        <w:t>Commercial Operation</w:t>
      </w:r>
    </w:p>
    <w:p>
      <w:pPr>
        <w:pStyle w:val="WW-Text"/>
        <w:rPr/>
      </w:pPr>
      <w:r>
        <w:rPr/>
        <w:t xml:space="preserve">Upon completion of the tests described in the SPA, the Producer shall declare the Steam Commercial Operation Date. </w:t>
      </w:r>
    </w:p>
    <w:p>
      <w:pPr>
        <w:pStyle w:val="WW-Text"/>
        <w:rPr/>
      </w:pPr>
      <w:r>
        <w:rPr/>
        <w:t>In the event the Producer fails to reach Commercial Operation on or before the Steam Scheduled Operation Date for reasons other than (i) Force Majeure, (ii) failure or delay by Alcali in performing its obligations under the SPA, (iii) failure by Alcali to take Steam, (iv) a circumstance or situation that may either endanger the safety of Persons, the Steam Facilities or the environment or result in imminent material disruption of the operation of the Project, the Producer shall pay liquidated damages to Alcali of US$10,800 per day up to a maximum amount equal to US$4,000,000.</w:t>
      </w:r>
    </w:p>
    <w:p>
      <w:pPr>
        <w:pStyle w:val="Textbold"/>
        <w:rPr/>
      </w:pPr>
      <w:r>
        <w:rPr/>
        <w:t>Steam Services</w:t>
      </w:r>
    </w:p>
    <w:p>
      <w:pPr>
        <w:pStyle w:val="WW-Text"/>
        <w:rPr/>
      </w:pPr>
      <w:r>
        <w:rPr/>
        <w:t>From and after Steam Commercial Operation Date, the Producer shall provide to Alcali and Alcali will receive and purchase from the Producer, between 150 MTPH (the “Minimum Amount”) and 210 MTPH or 235 MTPH of Steam if additional water is provided by Alcali on terms approved by the Producer (such applicable maximum amount the “Maximum Amount”).  In the event that Alcali does not take the Minimum Amount of Steam during any hour for any reason, Alcali shall still pay the Producer for the Minimum Amount.</w:t>
      </w:r>
    </w:p>
    <w:p>
      <w:pPr>
        <w:pStyle w:val="WW-Text"/>
        <w:rPr/>
      </w:pPr>
      <w:r>
        <w:rPr/>
        <w:t>In the event that the Minimum Amount will be in excess of Alcali’s hourly Steam requirements for the remainder of the SPA due to the permanent closing, full or partial of the Alcali plant, Alcali may reduce the Minimum Amount by either paying the Producer the Steam Capacity Buydown Amount or agreeing with the Producer on amendments to the SPA so long the Producer remains in at least an identical economic position.  The Steam Capacity Buydown Amount represents the net present value of the revenues for the Minimum Amount Reduction for the remaining term of the SPA.</w:t>
      </w:r>
    </w:p>
    <w:p>
      <w:pPr>
        <w:pStyle w:val="WW-Text"/>
        <w:rPr/>
      </w:pPr>
      <w:r>
        <w:rPr/>
        <w:t>Alcali and the Producer will coordinate planned shutdowns of their respective facilities to the extent practicable.  The Producer shall not schedule a planned shutdown of the auxiliary steam generator during a time when such shutdown of the auxiliary steam generator will coincide with a planned shutdown of the steam turbine generator.</w:t>
      </w:r>
    </w:p>
    <w:p>
      <w:pPr>
        <w:pStyle w:val="WW-Text"/>
        <w:rPr/>
      </w:pPr>
      <w:r>
        <w:rPr>
          <w:b/>
          <w:sz w:val="21"/>
        </w:rPr>
        <w:t xml:space="preserve">Services provided by Alcali </w:t>
      </w:r>
      <w:r>
        <w:rPr/>
        <w:t>include, among others, the following:</w:t>
      </w:r>
    </w:p>
    <w:p>
      <w:pPr>
        <w:pStyle w:val="Bullet1"/>
        <w:numPr>
          <w:ilvl w:val="0"/>
          <w:numId w:val="12"/>
        </w:numPr>
        <w:ind w:hanging="0" w:start="0"/>
        <w:rPr>
          <w:b/>
        </w:rPr>
      </w:pPr>
      <w:r>
        <w:rPr/>
        <w:t>provide the Producer with sufficient water supply (the “Water”) to enable the Producer to operate the Project in compliance with the producer’s obligations;</w:t>
      </w:r>
    </w:p>
    <w:p>
      <w:pPr>
        <w:pStyle w:val="Bullet1"/>
        <w:numPr>
          <w:ilvl w:val="0"/>
          <w:numId w:val="12"/>
        </w:numPr>
        <w:ind w:hanging="0" w:start="0"/>
        <w:rPr>
          <w:b/>
        </w:rPr>
      </w:pPr>
      <w:r>
        <w:rPr/>
        <w:t>return to the Producer an amount of primary condensate (condensate with the specification quoted in the SPA, the “Primary Condensate”) equivalent of at least 37.44% of the volume of Steam delivered to Alcali.  In the event Alcali does not deliver to the Producer an amount of Primary Condensate at least equal to 37.44% of the Steam delivered, Alcali shall deliver the difference in additional Water free of charge to the Producer;</w:t>
      </w:r>
    </w:p>
    <w:p>
      <w:pPr>
        <w:pStyle w:val="Bullet1"/>
        <w:numPr>
          <w:ilvl w:val="0"/>
          <w:numId w:val="12"/>
        </w:numPr>
        <w:ind w:hanging="0" w:start="0"/>
        <w:rPr/>
      </w:pPr>
      <w:r>
        <w:rPr/>
        <w:t>return to the Producer an amount of secondary condensate (condensate with the specification quoted in the SPA, the “Secondary Condensate”) equivalent of at least 2.66% of the volume of Steam delivered to Alcali.  In the event Alcali does not deliver to the Producer an amount of Secondary Condensate at least equal to 2.66% of the Steam delivered, Alcali shall deliver the difference in additional Water free of charge to the Producer;</w:t>
      </w:r>
    </w:p>
    <w:p>
      <w:pPr>
        <w:pStyle w:val="Bullet1"/>
        <w:numPr>
          <w:ilvl w:val="0"/>
          <w:numId w:val="12"/>
        </w:numPr>
        <w:ind w:hanging="0" w:start="0"/>
        <w:rPr/>
      </w:pPr>
      <w:r>
        <w:rPr/>
        <w:t>deliver to the Producer an amount of “Low Pressure Waste Steam” equivalent to at least 3.48% of the volume of Steam delivered to Alcali.  In the event Alcali does not deliver to the Producer an amount of Low Pressure Waste Steam at least equal to 3.48% of the Steam delivered, Alcali shall deliver the difference in additional Water free of charge to the Producer; and</w:t>
      </w:r>
    </w:p>
    <w:p>
      <w:pPr>
        <w:pStyle w:val="Bullet1"/>
        <w:numPr>
          <w:ilvl w:val="0"/>
          <w:numId w:val="12"/>
        </w:numPr>
        <w:ind w:hanging="0" w:start="0"/>
        <w:rPr/>
      </w:pPr>
      <w:r>
        <w:rPr/>
        <w:t>Alcali may aggregate any quantity of Primary Condensate, Secondary Condensate or Low Pressure Waste Steam (each a “Commodity”) in excess of its respective “Minimum Percentage Quantity” to quantities of the other Commodities to ameliorate any shortfall in the other two Minimum Percentage Quantities.</w:t>
      </w:r>
    </w:p>
    <w:p>
      <w:pPr>
        <w:pStyle w:val="WW-Text"/>
        <w:rPr/>
      </w:pPr>
      <w:r>
        <w:rPr>
          <w:b/>
          <w:sz w:val="21"/>
        </w:rPr>
        <w:t xml:space="preserve">Obligations of Alcali </w:t>
      </w:r>
      <w:r>
        <w:rPr/>
        <w:t>include, among others, the following:</w:t>
      </w:r>
    </w:p>
    <w:p>
      <w:pPr>
        <w:pStyle w:val="Bullet1"/>
        <w:numPr>
          <w:ilvl w:val="0"/>
          <w:numId w:val="12"/>
        </w:numPr>
        <w:ind w:hanging="0" w:start="0"/>
        <w:rPr/>
      </w:pPr>
      <w:r>
        <w:rPr/>
        <w:t>cooperate with the Producer in connection with financing required for the Project by providing such consents to assignment of the SPA to the Lenders;</w:t>
      </w:r>
    </w:p>
    <w:p>
      <w:pPr>
        <w:pStyle w:val="Bullet1"/>
        <w:numPr>
          <w:ilvl w:val="0"/>
          <w:numId w:val="12"/>
        </w:numPr>
        <w:ind w:hanging="0" w:start="0"/>
        <w:rPr/>
      </w:pPr>
      <w:r>
        <w:rPr/>
        <w:t>obtain all permits which Alcali is required to obtain in order to perform its obligations under the SPA; and</w:t>
      </w:r>
    </w:p>
    <w:p>
      <w:pPr>
        <w:pStyle w:val="Bullet1"/>
        <w:numPr>
          <w:ilvl w:val="0"/>
          <w:numId w:val="12"/>
        </w:numPr>
        <w:ind w:hanging="0" w:start="0"/>
        <w:rPr>
          <w:b/>
        </w:rPr>
      </w:pPr>
      <w:r>
        <w:rPr/>
        <w:t>assist the Producer in obtaining all Permits and provide assistance in implementing the SPA.  Cooperate with the Producer in connection with start-up, testing and commissioning of the Project.</w:t>
      </w:r>
    </w:p>
    <w:p>
      <w:pPr>
        <w:pStyle w:val="Textbold"/>
        <w:rPr/>
      </w:pPr>
      <w:r>
        <w:rPr/>
        <w:t>Prices</w:t>
      </w:r>
    </w:p>
    <w:p>
      <w:pPr>
        <w:pStyle w:val="WW-Text"/>
        <w:rPr/>
      </w:pPr>
      <w:r>
        <w:rPr/>
        <w:t>Alcali must make the monthly payment to the Producer of:</w:t>
      </w:r>
    </w:p>
    <w:p>
      <w:pPr>
        <w:pStyle w:val="Bullet1"/>
        <w:numPr>
          <w:ilvl w:val="0"/>
          <w:numId w:val="12"/>
        </w:numPr>
        <w:ind w:hanging="0" w:start="0"/>
        <w:rPr/>
      </w:pPr>
      <w:r>
        <w:rPr/>
        <w:t>Steam:</w:t>
      </w:r>
    </w:p>
    <w:p>
      <w:pPr>
        <w:pStyle w:val="Bullet2"/>
        <w:numPr>
          <w:ilvl w:val="0"/>
          <w:numId w:val="6"/>
        </w:numPr>
        <w:rPr/>
      </w:pPr>
      <w:r>
        <w:rPr/>
        <w:t>Up to the Minimum Amount, the Tier I Charge of US$7.00 per metric tonne;</w:t>
      </w:r>
    </w:p>
    <w:p>
      <w:pPr>
        <w:pStyle w:val="Bullet2"/>
        <w:numPr>
          <w:ilvl w:val="0"/>
          <w:numId w:val="6"/>
        </w:numPr>
        <w:rPr/>
      </w:pPr>
      <w:r>
        <w:rPr/>
        <w:t>In excess of the Minimum Amount but less than or equal to 175 tonnes, the Tier II Variable Steam Charge and in excess of 175 tonnes, the Tier III Variable Steam Charge.  Both charges are calculated to take into account the additional cost of Fuel and Water used to produce the Steam in excess of the Minimum Amount.</w:t>
      </w:r>
    </w:p>
    <w:p>
      <w:pPr>
        <w:pStyle w:val="WW-Text"/>
        <w:rPr/>
      </w:pPr>
      <w:r>
        <w:rPr/>
        <w:t>The Producer must make the monthly payment to Alcali of:</w:t>
      </w:r>
    </w:p>
    <w:p>
      <w:pPr>
        <w:pStyle w:val="Bullet1"/>
        <w:numPr>
          <w:ilvl w:val="0"/>
          <w:numId w:val="12"/>
        </w:numPr>
        <w:ind w:hanging="0" w:start="0"/>
        <w:rPr/>
      </w:pPr>
      <w:r>
        <w:rPr/>
        <w:t>Water:  Ps11.00 per cubic meter escalated by the Mexican Producer Price Index plus applicable taxes;</w:t>
      </w:r>
    </w:p>
    <w:p>
      <w:pPr>
        <w:pStyle w:val="Bullet1"/>
        <w:numPr>
          <w:ilvl w:val="0"/>
          <w:numId w:val="12"/>
        </w:numPr>
        <w:ind w:hanging="0" w:start="0"/>
        <w:rPr/>
      </w:pPr>
      <w:r>
        <w:rPr/>
        <w:t>Condensate:  Ps0.00 (zero) per cubic meter of Condensate;</w:t>
      </w:r>
    </w:p>
    <w:p>
      <w:pPr>
        <w:pStyle w:val="Bullet1"/>
        <w:numPr>
          <w:ilvl w:val="0"/>
          <w:numId w:val="12"/>
        </w:numPr>
        <w:ind w:hanging="0" w:start="0"/>
        <w:rPr/>
      </w:pPr>
      <w:r>
        <w:rPr/>
        <w:t>Low Pressure Waste Steam:  Ps0.00 (zero) per cubic meter of Low Pressure Waste Steam; and</w:t>
      </w:r>
    </w:p>
    <w:p>
      <w:pPr>
        <w:pStyle w:val="Bullet1"/>
        <w:numPr>
          <w:ilvl w:val="0"/>
          <w:numId w:val="12"/>
        </w:numPr>
        <w:ind w:hanging="0" w:start="0"/>
        <w:rPr/>
      </w:pPr>
      <w:r>
        <w:rPr/>
        <w:t>Waste Water Treatment: Ps3.70 per cubic meter of waste Water delivered to Alcali by the Producer for treatment, escalated by the Mexican Producer Price Index.</w:t>
      </w:r>
    </w:p>
    <w:p>
      <w:pPr>
        <w:pStyle w:val="Textbold"/>
        <w:rPr/>
      </w:pPr>
      <w:r>
        <w:rPr/>
        <w:t>Contract Term</w:t>
      </w:r>
    </w:p>
    <w:p>
      <w:pPr>
        <w:pStyle w:val="WW-Text"/>
        <w:rPr/>
      </w:pPr>
      <w:r>
        <w:rPr/>
        <w:t>The term of the SPA shall continue until the 15</w:t>
      </w:r>
      <w:r>
        <w:rPr>
          <w:vertAlign w:val="superscript"/>
        </w:rPr>
        <w:t>th</w:t>
      </w:r>
      <w:r>
        <w:rPr/>
        <w:t xml:space="preserve"> anniversary of the Steam Commercial Operation Date.</w:t>
      </w:r>
    </w:p>
    <w:p>
      <w:pPr>
        <w:pStyle w:val="Textbold"/>
        <w:rPr/>
      </w:pPr>
      <w:r>
        <w:rPr/>
        <w:t>Alcali Events of Default</w:t>
      </w:r>
    </w:p>
    <w:p>
      <w:pPr>
        <w:pStyle w:val="WW-Text"/>
        <w:rPr/>
      </w:pPr>
      <w:r>
        <w:rPr/>
        <w:t>Subject to the applicable cure period the SPA includes, among others, the following as “Alcali Events of Default”, unless resulting from a Producer Event of Default or an event of Force Majeure (as defined above):</w:t>
      </w:r>
    </w:p>
    <w:p>
      <w:pPr>
        <w:pStyle w:val="Bullet1"/>
        <w:numPr>
          <w:ilvl w:val="0"/>
          <w:numId w:val="12"/>
        </w:numPr>
        <w:ind w:hanging="0" w:start="0"/>
        <w:rPr/>
      </w:pPr>
      <w:r>
        <w:rPr/>
        <w:t xml:space="preserve">failure by Alcali to pay the Producer any amount due under the SPA; </w:t>
      </w:r>
    </w:p>
    <w:p>
      <w:pPr>
        <w:pStyle w:val="Bullet1"/>
        <w:numPr>
          <w:ilvl w:val="0"/>
          <w:numId w:val="12"/>
        </w:numPr>
        <w:ind w:hanging="0" w:start="0"/>
        <w:rPr/>
      </w:pPr>
      <w:r>
        <w:rPr/>
        <w:t>failure by Alcali to observe, comply or perform any other material obligation under the SPA;</w:t>
      </w:r>
    </w:p>
    <w:p>
      <w:pPr>
        <w:pStyle w:val="Bullet1"/>
        <w:numPr>
          <w:ilvl w:val="0"/>
          <w:numId w:val="12"/>
        </w:numPr>
        <w:ind w:hanging="0" w:start="0"/>
        <w:rPr/>
      </w:pPr>
      <w:r>
        <w:rPr/>
        <w:t>Alcali becomes insolvent or is unable to pay its debt as they become due;</w:t>
      </w:r>
    </w:p>
    <w:p>
      <w:pPr>
        <w:pStyle w:val="Bullet1"/>
        <w:numPr>
          <w:ilvl w:val="0"/>
          <w:numId w:val="12"/>
        </w:numPr>
        <w:ind w:hanging="0" w:start="0"/>
        <w:rPr/>
      </w:pPr>
      <w:r>
        <w:rPr/>
        <w:t>any dissolution, merger, consolidation, amalgamation, reorganization, or reconstruction of Alcali, except to the extent that it does not materially adversely affect the ability of the resulting entity to perform its obligation under the SPA for reasons including, but not limited to, credit rating and load factor of the successor entity;</w:t>
      </w:r>
    </w:p>
    <w:p>
      <w:pPr>
        <w:pStyle w:val="Bullet1"/>
        <w:numPr>
          <w:ilvl w:val="0"/>
          <w:numId w:val="12"/>
        </w:numPr>
        <w:ind w:hanging="0" w:start="0"/>
        <w:rPr/>
      </w:pPr>
      <w:r>
        <w:rPr/>
        <w:t>if, as a result of any act or failure to act on the part of Alcali, any Permit needed for the Alcali plant to provide Water or Condensate is canceled, revoked or is not renewed; or</w:t>
      </w:r>
    </w:p>
    <w:p>
      <w:pPr>
        <w:pStyle w:val="Bullet1"/>
        <w:numPr>
          <w:ilvl w:val="0"/>
          <w:numId w:val="12"/>
        </w:numPr>
        <w:ind w:hanging="0" w:start="0"/>
        <w:rPr/>
      </w:pPr>
      <w:r>
        <w:rPr/>
        <w:t>there shall occur any Event of Default by the Capacity User under and as defined in the Vitro PPA and any action is taken by the Producer with respect thereto.</w:t>
      </w:r>
    </w:p>
    <w:p>
      <w:pPr>
        <w:pStyle w:val="Textbold"/>
        <w:rPr/>
      </w:pPr>
      <w:r>
        <w:rPr/>
        <w:t>Producer’s Remedies</w:t>
      </w:r>
    </w:p>
    <w:p>
      <w:pPr>
        <w:pStyle w:val="WW-Text"/>
        <w:rPr/>
      </w:pPr>
      <w:r>
        <w:rPr/>
        <w:t>The SPA includes, among others, the following as remedies upon the occurrence of an Event of Default by Alcali:</w:t>
      </w:r>
    </w:p>
    <w:p>
      <w:pPr>
        <w:pStyle w:val="Bullet1"/>
        <w:numPr>
          <w:ilvl w:val="0"/>
          <w:numId w:val="12"/>
        </w:numPr>
        <w:ind w:hanging="0" w:start="0"/>
        <w:rPr/>
      </w:pPr>
      <w:r>
        <w:rPr/>
        <w:t>suspend deliveries of steam until Alcali (or Parent Guarantor) cures such default; and/or</w:t>
      </w:r>
    </w:p>
    <w:p>
      <w:pPr>
        <w:pStyle w:val="Bullet1"/>
        <w:numPr>
          <w:ilvl w:val="0"/>
          <w:numId w:val="12"/>
        </w:numPr>
        <w:ind w:hanging="0" w:start="0"/>
        <w:rPr/>
      </w:pPr>
      <w:r>
        <w:rPr/>
        <w:t>seek to collect against the Parent Guaranty; and/or</w:t>
      </w:r>
    </w:p>
    <w:p>
      <w:pPr>
        <w:pStyle w:val="Bullet1"/>
        <w:numPr>
          <w:ilvl w:val="0"/>
          <w:numId w:val="12"/>
        </w:numPr>
        <w:ind w:hanging="0" w:start="0"/>
        <w:rPr/>
      </w:pPr>
      <w:r>
        <w:rPr/>
        <w:t>terminate the SPA after providing 30 days notice of its intention to terminate.</w:t>
      </w:r>
    </w:p>
    <w:p>
      <w:pPr>
        <w:pStyle w:val="Textbold"/>
        <w:rPr/>
      </w:pPr>
      <w:r>
        <w:rPr/>
        <w:t>Producer Events of Default</w:t>
      </w:r>
    </w:p>
    <w:p>
      <w:pPr>
        <w:pStyle w:val="WW-Text"/>
        <w:rPr/>
      </w:pPr>
      <w:r>
        <w:rPr/>
        <w:t>The SPA includes the following as “Producer Events of Default”, unless resulting from an Alcali Event of Default or an event of Force Majeure (as defined below):</w:t>
      </w:r>
    </w:p>
    <w:p>
      <w:pPr>
        <w:pStyle w:val="Bullet1"/>
        <w:numPr>
          <w:ilvl w:val="0"/>
          <w:numId w:val="12"/>
        </w:numPr>
        <w:ind w:hanging="0" w:start="0"/>
        <w:rPr/>
      </w:pPr>
      <w:r>
        <w:rPr/>
        <w:t>failure to achieve the Steam Commercial Operation Date within 180 days from the Steam Scheduled Operation Date;</w:t>
      </w:r>
    </w:p>
    <w:p>
      <w:pPr>
        <w:pStyle w:val="Bullet1"/>
        <w:numPr>
          <w:ilvl w:val="0"/>
          <w:numId w:val="12"/>
        </w:numPr>
        <w:ind w:hanging="0" w:start="0"/>
        <w:rPr/>
      </w:pPr>
      <w:r>
        <w:rPr/>
        <w:t>any representation or warranty made by Alcali under this Steam Purchase Agreement (i) proves to have been incorrect in any material respect as of the date hereof, (ii) at the time proven to have been incorrect, is material prejudicial to the interests of the Producer under this Steam Purchase Agreement, and (iii) if susceptible of remedy, remains unremedied for a period of 30 days from Alcali’s receipt of notice thereof from the Producer;</w:t>
      </w:r>
    </w:p>
    <w:p>
      <w:pPr>
        <w:pStyle w:val="Bullet1"/>
        <w:numPr>
          <w:ilvl w:val="0"/>
          <w:numId w:val="12"/>
        </w:numPr>
        <w:ind w:hanging="0" w:start="0"/>
        <w:rPr/>
      </w:pPr>
      <w:r>
        <w:rPr/>
        <w:t>the Producer becomes insolvent or is unable to pay its debts as they become due;</w:t>
      </w:r>
    </w:p>
    <w:p>
      <w:pPr>
        <w:pStyle w:val="Bullet1"/>
        <w:numPr>
          <w:ilvl w:val="0"/>
          <w:numId w:val="12"/>
        </w:numPr>
        <w:ind w:hanging="0" w:start="0"/>
        <w:rPr/>
      </w:pPr>
      <w:r>
        <w:rPr/>
        <w:t>if, as a result of any act or failure to act on the part of Alcali, any Permit needed for the Alcali Plant to provide Water or Condensate is canceled, revoked, or is not revoked, or is not renewed.</w:t>
      </w:r>
    </w:p>
    <w:p>
      <w:pPr>
        <w:pStyle w:val="Textbold"/>
        <w:rPr/>
      </w:pPr>
      <w:r>
        <w:rPr/>
        <w:t>Alcali Remedies</w:t>
      </w:r>
    </w:p>
    <w:p>
      <w:pPr>
        <w:pStyle w:val="WW-Text"/>
        <w:rPr/>
      </w:pPr>
      <w:r>
        <w:rPr/>
        <w:t>Upon the occurrence of an event of Default by the Producer, Alcali’s sole remedy shall be to seek recovery of its actual damages and shall not have the right to terminate the SPA.</w:t>
      </w:r>
    </w:p>
    <w:p>
      <w:pPr>
        <w:pStyle w:val="Textbold"/>
        <w:rPr/>
      </w:pPr>
      <w:r>
        <w:rPr/>
        <w:t>Credit Support</w:t>
      </w:r>
    </w:p>
    <w:p>
      <w:pPr>
        <w:pStyle w:val="WW-Text"/>
        <w:rPr/>
      </w:pPr>
      <w:r>
        <w:rPr/>
        <w:t>In support of the obligations under the SPA, Alcali has provided a guaranty executed by Vitro (the “Alcali Parent Company Guaranty”).</w:t>
      </w:r>
    </w:p>
    <w:p>
      <w:pPr>
        <w:pStyle w:val="Textboldbreak"/>
        <w:rPr/>
      </w:pPr>
      <w:r>
        <w:rPr/>
        <w:t>PARENT GUARANTIES</w:t>
      </w:r>
    </w:p>
    <w:p>
      <w:pPr>
        <w:pStyle w:val="Textbold"/>
        <w:rPr/>
      </w:pPr>
      <w:r>
        <w:rPr/>
        <w:t>Vitro Guaranty</w:t>
      </w:r>
    </w:p>
    <w:p>
      <w:pPr>
        <w:pStyle w:val="WW-Text"/>
        <w:rPr/>
      </w:pPr>
      <w:r>
        <w:rPr/>
        <w:t xml:space="preserve">Pursuant to the Parent Guaranty dated as of December 15, 1999 (the “Vitro Guaranty”), between Enron Mexico and Vitro, S.A. de C.V. (“Vitro”), Vitro guarantees the obligations, including payment, of Vitro Corp, and of the Capacity Users under the Vitro PPA (except for Vitrocrisas’ obligations for which a US$5 million Parent Guaranty from Libbey will be the first level of support, but to the extent that Vitrocrisas’ obligations under the PPA are not available for payment under the Libbey Guaranty, the Vitro Guaranty will be liable for payment to Enron Mexico).  The obligations of Alcali under the SPA are also covered by the Vitro Guaranty.  </w:t>
      </w:r>
    </w:p>
    <w:p>
      <w:pPr>
        <w:pStyle w:val="Textbold"/>
        <w:rPr/>
      </w:pPr>
      <w:r>
        <w:rPr/>
        <w:t>IMSA Guaranty</w:t>
      </w:r>
    </w:p>
    <w:p>
      <w:pPr>
        <w:pStyle w:val="WW-Text"/>
        <w:rPr/>
      </w:pPr>
      <w:r>
        <w:rPr/>
        <w:t xml:space="preserve">Pursuant to the Parent Guaranty dated as of April 5, 2000 (the “IMSA Guaranty”), between Enron Mexico and Grupo IMSA S.A. de C.V. (“IMSA”), IMSA guarantees the obligations, including payment, of IMSA Corp and the Capacity Users under the IMSA PPA.  </w:t>
      </w:r>
    </w:p>
    <w:p>
      <w:pPr>
        <w:pStyle w:val="Textbold"/>
        <w:rPr/>
      </w:pPr>
      <w:r>
        <w:rPr/>
        <w:t>Apasco Guaranty</w:t>
      </w:r>
    </w:p>
    <w:p>
      <w:pPr>
        <w:sectPr>
          <w:headerReference w:type="default" r:id="rId38"/>
          <w:headerReference w:type="first" r:id="rId39"/>
          <w:footerReference w:type="default" r:id="rId40"/>
          <w:footerReference w:type="first" r:id="rId41"/>
          <w:type w:val="nextPage"/>
          <w:pgSz w:w="12240" w:h="15840"/>
          <w:pgMar w:left="1584" w:right="1296" w:gutter="0" w:header="288" w:top="1440" w:footer="504" w:bottom="1440"/>
          <w:pgNumType w:fmt="decimal"/>
          <w:formProt w:val="false"/>
          <w:titlePg/>
          <w:textDirection w:val="lrTb"/>
          <w:docGrid w:type="default" w:linePitch="360" w:charSpace="0"/>
        </w:sectPr>
        <w:pStyle w:val="WW-Text"/>
        <w:rPr/>
      </w:pPr>
      <w:r>
        <w:rPr/>
        <w:t xml:space="preserve">Pursuant to the Parent Guaranty dated as of April 12, 2000 (the “Apasco Guaranty”), between Enron Mexico and Apasco S.A. de C.V. (“Apasco”), Apasco guarantees the obligations, including payment, of Cementos Apasco under the Apasco PPA.  </w:t>
      </w:r>
    </w:p>
    <w:p>
      <w:pPr>
        <w:pStyle w:val="TabPage"/>
        <w:rPr/>
      </w:pPr>
      <w:r>
        <w:rPr/>
        <w:t>PROFILE OF KEY CONTRACTUAL PARTIES</w:t>
      </w:r>
      <w:r>
        <w:br w:type="page"/>
      </w:r>
    </w:p>
    <w:p>
      <w:pPr>
        <w:pStyle w:val="Textbold"/>
        <w:rPr/>
      </w:pPr>
      <w:r>
        <w:rPr/>
        <w:t>PROFILE OF KEY CONTRACTUAL PARTIES</w:t>
      </w:r>
    </w:p>
    <w:p>
      <w:pPr>
        <w:pStyle w:val="Spacer"/>
        <w:rPr/>
      </w:pPr>
      <w:r>
        <w:rPr/>
      </w:r>
    </w:p>
    <w:p>
      <w:pPr>
        <w:pStyle w:val="Textbold"/>
        <w:rPr/>
      </w:pPr>
      <w:r>
        <w:rPr/>
        <w:t>1.</w:t>
        <w:tab/>
        <w:t>Apasco S.A. de C.V.</w:t>
      </w:r>
    </w:p>
    <w:p>
      <w:pPr>
        <w:pStyle w:val="WW-Text"/>
        <w:rPr/>
      </w:pPr>
      <w:r>
        <w:rPr/>
        <w:t xml:space="preserve">Apasco was founded in 1928, and produces and distributes cement, ready-mixed concrete, aggregates and other related products and services.  The company is the second largest producer of cement and ready-mixed concrete in Mexico with approximately 24% market share.  Holderbank, a Swiss company and one of the world’s largest suppliers of cement, aggregates and concrete, became Apasco’s majority shareholder in 1964 with 61.5% ownership.  Holderbank has operations in over 70 countries and in 1999, its revenues reached over US$7.7 billion, of which 8.4% was contributed by Apasco.  </w:t>
      </w:r>
    </w:p>
    <w:p>
      <w:pPr>
        <w:pStyle w:val="WW-Text"/>
        <w:rPr/>
      </w:pPr>
      <w:r>
        <w:rPr/>
        <w:t>In 1999, Apasco’s revenues reached US$810 million.  Apasco’s market capitalization was US$1.65</w:t>
      </w:r>
      <w:r>
        <w:rPr>
          <w:b/>
        </w:rPr>
        <w:t xml:space="preserve"> </w:t>
      </w:r>
      <w:r>
        <w:rPr/>
        <w:t>billion as of September 1, 2000.  The company has shares and ADRs listed on the Bolsa Mexicana de Valores and is traded over-the-counter in the United States. Apasco is expected to enjoy a double-digit percentage decrease in its electricity costs for the volume of power contracted under the PPA, representing savings of over US$52 million.</w:t>
      </w:r>
    </w:p>
    <w:p>
      <w:pPr>
        <w:pStyle w:val="Textbold"/>
        <w:rPr/>
      </w:pPr>
      <w:r>
        <w:rPr/>
        <w:t>Operating Business Units</w:t>
      </w:r>
    </w:p>
    <w:p>
      <w:pPr>
        <w:pStyle w:val="WW-Text"/>
        <w:rPr/>
      </w:pPr>
      <w:r>
        <w:rPr/>
        <w:t xml:space="preserve">The following chart shows Apasco’s corporate structure as of December 31, 1999.  </w:t>
      </w:r>
    </w:p>
    <w:p>
      <w:pPr>
        <w:pStyle w:val="GraphicHead"/>
        <w:rPr/>
      </w:pPr>
      <w:r>
        <w:rPr/>
        <w:t>Apasco, S.A. de C.V. and Subsidiaries Shareholder Structure</w:t>
      </w:r>
    </w:p>
    <w:p>
      <w:pPr>
        <w:pStyle w:val="Hidden"/>
        <w:rPr/>
      </w:pPr>
      <w:r>
        <w:rPr/>
        <w:t>\\CFINNY03\wp\PC\Docs\E\0110172e.ppt, Slide “1”</w:t>
      </w:r>
    </w:p>
    <w:p>
      <w:pPr>
        <w:pStyle w:val="Normal"/>
        <w:spacing w:before="240" w:after="0"/>
        <w:jc w:val="center"/>
        <w:rPr>
          <w:sz w:val="20"/>
        </w:rPr>
      </w:pPr>
      <w:r>
        <w:rPr>
          <w:sz w:val="20"/>
        </w:rPr>
        <w:drawing>
          <wp:inline distT="0" distB="0" distL="0" distR="0">
            <wp:extent cx="5389880" cy="2191385"/>
            <wp:effectExtent l="0" t="0" r="0" b="0"/>
            <wp:docPr id="1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pic:cNvPicPr>
                      <a:picLocks noChangeAspect="1" noChangeArrowheads="1"/>
                    </pic:cNvPicPr>
                  </pic:nvPicPr>
                  <pic:blipFill>
                    <a:blip r:embed="rId42"/>
                    <a:srcRect l="-7" t="-16" r="-7" b="-16"/>
                    <a:stretch>
                      <a:fillRect/>
                    </a:stretch>
                  </pic:blipFill>
                  <pic:spPr bwMode="auto">
                    <a:xfrm>
                      <a:off x="0" y="0"/>
                      <a:ext cx="5389880" cy="2191385"/>
                    </a:xfrm>
                    <a:prstGeom prst="rect">
                      <a:avLst/>
                    </a:prstGeom>
                    <a:noFill/>
                  </pic:spPr>
                </pic:pic>
              </a:graphicData>
            </a:graphic>
          </wp:inline>
        </w:drawing>
      </w:r>
    </w:p>
    <w:p>
      <w:pPr>
        <w:pStyle w:val="Spacerhalf"/>
        <w:rPr/>
      </w:pPr>
      <w:r>
        <w:rPr/>
      </w:r>
    </w:p>
    <w:p>
      <w:pPr>
        <w:pStyle w:val="Textbold"/>
        <w:rPr/>
      </w:pPr>
      <w:r>
        <w:rPr/>
        <w:t>Cement Production Facilities</w:t>
      </w:r>
    </w:p>
    <w:p>
      <w:pPr>
        <w:pStyle w:val="WW-Text"/>
        <w:keepNext w:val="true"/>
        <w:rPr/>
      </w:pPr>
      <w:r>
        <w:rPr/>
        <w:t xml:space="preserve">As of December 31, 1999, Apasco had cement production facilities located in Mexico, El Salvador and Honduras.  </w:t>
      </w:r>
    </w:p>
    <w:p>
      <w:pPr>
        <w:pStyle w:val="Bullet1"/>
        <w:numPr>
          <w:ilvl w:val="0"/>
          <w:numId w:val="0"/>
        </w:numPr>
        <w:ind w:hanging="0" w:start="0"/>
        <w:rPr/>
      </w:pPr>
      <w:r>
        <w:rPr/>
      </w:r>
    </w:p>
    <w:p>
      <w:pPr>
        <w:pStyle w:val="Textbold"/>
        <w:rPr/>
      </w:pPr>
      <w:r>
        <w:rPr/>
        <w:t>Financial Results</w:t>
      </w:r>
    </w:p>
    <w:p>
      <w:pPr>
        <w:pStyle w:val="Spacer"/>
        <w:numPr>
          <w:ilvl w:val="0"/>
          <w:numId w:val="0"/>
        </w:numPr>
        <w:ind w:hanging="0" w:start="0"/>
        <w:rPr/>
      </w:pPr>
      <w:r>
        <w:rPr/>
      </w:r>
    </w:p>
    <w:tbl>
      <w:tblPr>
        <w:tblW w:w="9561" w:type="dxa"/>
        <w:jc w:val="start"/>
        <w:tblInd w:w="0" w:type="dxa"/>
        <w:tblLayout w:type="fixed"/>
        <w:tblCellMar>
          <w:top w:w="0" w:type="dxa"/>
          <w:start w:w="0" w:type="dxa"/>
          <w:bottom w:w="0" w:type="dxa"/>
          <w:end w:w="0" w:type="dxa"/>
        </w:tblCellMar>
      </w:tblPr>
      <w:tblGrid>
        <w:gridCol w:w="4248"/>
        <w:gridCol w:w="1771"/>
        <w:gridCol w:w="1771"/>
        <w:gridCol w:w="1771"/>
      </w:tblGrid>
      <w:tr>
        <w:trPr/>
        <w:tc>
          <w:tcPr>
            <w:tcW w:w="4248" w:type="dxa"/>
            <w:tcBorders>
              <w:bottom w:val="single" w:sz="6" w:space="0" w:color="000000"/>
            </w:tcBorders>
          </w:tcPr>
          <w:p>
            <w:pPr>
              <w:pStyle w:val="Normal"/>
              <w:keepNext w:val="true"/>
              <w:numPr>
                <w:ilvl w:val="0"/>
                <w:numId w:val="0"/>
              </w:numPr>
              <w:ind w:hanging="0" w:start="0"/>
              <w:rPr>
                <w:b/>
              </w:rPr>
            </w:pPr>
            <w:r>
              <w:rPr>
                <w:b/>
              </w:rPr>
              <w:t>Consolidated Financial Summary (millions of constant Mexican pesos)</w:t>
            </w:r>
            <w:r>
              <w:rPr>
                <w:b/>
                <w:vertAlign w:val="superscript"/>
              </w:rPr>
              <w:t>(a)</w:t>
            </w:r>
          </w:p>
        </w:tc>
        <w:tc>
          <w:tcPr>
            <w:tcW w:w="1771" w:type="dxa"/>
            <w:tcBorders>
              <w:bottom w:val="single" w:sz="6" w:space="0" w:color="000000"/>
            </w:tcBorders>
          </w:tcPr>
          <w:p>
            <w:pPr>
              <w:pStyle w:val="Normal"/>
              <w:keepNext w:val="true"/>
              <w:numPr>
                <w:ilvl w:val="0"/>
                <w:numId w:val="0"/>
              </w:numPr>
              <w:ind w:hanging="0" w:start="0"/>
              <w:jc w:val="center"/>
              <w:rPr>
                <w:b/>
              </w:rPr>
            </w:pPr>
            <w:r>
              <w:rPr>
                <w:b/>
              </w:rPr>
              <w:br/>
              <w:t>1999</w:t>
            </w:r>
          </w:p>
        </w:tc>
        <w:tc>
          <w:tcPr>
            <w:tcW w:w="1771" w:type="dxa"/>
            <w:tcBorders>
              <w:bottom w:val="single" w:sz="6" w:space="0" w:color="000000"/>
            </w:tcBorders>
          </w:tcPr>
          <w:p>
            <w:pPr>
              <w:pStyle w:val="Normal"/>
              <w:keepNext w:val="true"/>
              <w:numPr>
                <w:ilvl w:val="0"/>
                <w:numId w:val="0"/>
              </w:numPr>
              <w:ind w:hanging="0" w:start="0"/>
              <w:jc w:val="center"/>
              <w:rPr>
                <w:b/>
              </w:rPr>
            </w:pPr>
            <w:r>
              <w:rPr>
                <w:b/>
              </w:rPr>
              <w:br/>
              <w:t>1998</w:t>
            </w:r>
          </w:p>
        </w:tc>
        <w:tc>
          <w:tcPr>
            <w:tcW w:w="1771" w:type="dxa"/>
            <w:tcBorders>
              <w:bottom w:val="single" w:sz="6" w:space="0" w:color="000000"/>
            </w:tcBorders>
          </w:tcPr>
          <w:p>
            <w:pPr>
              <w:pStyle w:val="Normal"/>
              <w:keepNext w:val="true"/>
              <w:numPr>
                <w:ilvl w:val="0"/>
                <w:numId w:val="0"/>
              </w:numPr>
              <w:ind w:hanging="0" w:start="0"/>
              <w:jc w:val="center"/>
              <w:rPr>
                <w:b/>
              </w:rPr>
            </w:pPr>
            <w:r>
              <w:rPr>
                <w:b/>
              </w:rPr>
              <w:br/>
              <w:t>1997</w:t>
            </w:r>
          </w:p>
        </w:tc>
      </w:tr>
      <w:tr>
        <w:trPr/>
        <w:tc>
          <w:tcPr>
            <w:tcW w:w="4248" w:type="dxa"/>
            <w:tcBorders/>
          </w:tcPr>
          <w:p>
            <w:pPr>
              <w:pStyle w:val="Normal"/>
              <w:keepNext w:val="true"/>
              <w:spacing w:before="120" w:after="0"/>
              <w:rPr/>
            </w:pPr>
            <w:r>
              <w:rPr/>
              <w:t>Revenue</w:t>
            </w:r>
          </w:p>
        </w:tc>
        <w:tc>
          <w:tcPr>
            <w:tcW w:w="1771" w:type="dxa"/>
            <w:tcBorders/>
          </w:tcPr>
          <w:p>
            <w:pPr>
              <w:pStyle w:val="Normal"/>
              <w:keepNext w:val="true"/>
              <w:tabs>
                <w:tab w:val="clear" w:pos="720"/>
                <w:tab w:val="decimal" w:pos="1196" w:leader="none"/>
              </w:tabs>
              <w:spacing w:before="120" w:after="0"/>
              <w:ind w:start="456" w:end="456"/>
              <w:rPr/>
            </w:pPr>
            <w:r>
              <w:rPr/>
              <w:t>7,697</w:t>
            </w:r>
          </w:p>
        </w:tc>
        <w:tc>
          <w:tcPr>
            <w:tcW w:w="1771" w:type="dxa"/>
            <w:tcBorders/>
          </w:tcPr>
          <w:p>
            <w:pPr>
              <w:pStyle w:val="Normal"/>
              <w:keepNext w:val="true"/>
              <w:tabs>
                <w:tab w:val="clear" w:pos="720"/>
                <w:tab w:val="decimal" w:pos="1196" w:leader="none"/>
              </w:tabs>
              <w:spacing w:before="120" w:after="0"/>
              <w:ind w:start="456" w:end="456"/>
              <w:rPr/>
            </w:pPr>
            <w:r>
              <w:rPr/>
              <w:t>7,030</w:t>
            </w:r>
          </w:p>
        </w:tc>
        <w:tc>
          <w:tcPr>
            <w:tcW w:w="1771" w:type="dxa"/>
            <w:tcBorders/>
          </w:tcPr>
          <w:p>
            <w:pPr>
              <w:pStyle w:val="Normal"/>
              <w:keepNext w:val="true"/>
              <w:tabs>
                <w:tab w:val="clear" w:pos="720"/>
                <w:tab w:val="decimal" w:pos="1146" w:leader="none"/>
              </w:tabs>
              <w:spacing w:before="120" w:after="0"/>
              <w:ind w:start="506" w:end="506"/>
              <w:rPr/>
            </w:pPr>
            <w:r>
              <w:rPr/>
              <w:t>5,955</w:t>
            </w:r>
          </w:p>
        </w:tc>
      </w:tr>
      <w:tr>
        <w:trPr/>
        <w:tc>
          <w:tcPr>
            <w:tcW w:w="4248" w:type="dxa"/>
            <w:tcBorders/>
          </w:tcPr>
          <w:p>
            <w:pPr>
              <w:pStyle w:val="Normal"/>
              <w:keepNext w:val="true"/>
              <w:rPr/>
            </w:pPr>
            <w:r>
              <w:rPr/>
              <w:t>EBITDA</w:t>
            </w:r>
          </w:p>
        </w:tc>
        <w:tc>
          <w:tcPr>
            <w:tcW w:w="1771" w:type="dxa"/>
            <w:tcBorders/>
          </w:tcPr>
          <w:p>
            <w:pPr>
              <w:pStyle w:val="Normal"/>
              <w:keepNext w:val="true"/>
              <w:tabs>
                <w:tab w:val="clear" w:pos="720"/>
                <w:tab w:val="decimal" w:pos="1196" w:leader="none"/>
              </w:tabs>
              <w:ind w:start="456" w:end="456"/>
              <w:rPr/>
            </w:pPr>
            <w:r>
              <w:rPr/>
              <w:t>3,359</w:t>
            </w:r>
          </w:p>
        </w:tc>
        <w:tc>
          <w:tcPr>
            <w:tcW w:w="1771" w:type="dxa"/>
            <w:tcBorders/>
          </w:tcPr>
          <w:p>
            <w:pPr>
              <w:pStyle w:val="Normal"/>
              <w:keepNext w:val="true"/>
              <w:tabs>
                <w:tab w:val="clear" w:pos="720"/>
                <w:tab w:val="decimal" w:pos="1196" w:leader="none"/>
              </w:tabs>
              <w:ind w:start="456" w:end="456"/>
              <w:rPr/>
            </w:pPr>
            <w:r>
              <w:rPr/>
              <w:t>2,741</w:t>
            </w:r>
          </w:p>
        </w:tc>
        <w:tc>
          <w:tcPr>
            <w:tcW w:w="1771" w:type="dxa"/>
            <w:tcBorders/>
          </w:tcPr>
          <w:p>
            <w:pPr>
              <w:pStyle w:val="Normal"/>
              <w:keepNext w:val="true"/>
              <w:tabs>
                <w:tab w:val="clear" w:pos="720"/>
                <w:tab w:val="decimal" w:pos="1146" w:leader="none"/>
              </w:tabs>
              <w:snapToGrid w:val="false"/>
              <w:ind w:start="506" w:end="506"/>
              <w:rPr/>
            </w:pPr>
            <w:r>
              <w:rPr/>
            </w:r>
          </w:p>
        </w:tc>
      </w:tr>
      <w:tr>
        <w:trPr/>
        <w:tc>
          <w:tcPr>
            <w:tcW w:w="4248" w:type="dxa"/>
            <w:tcBorders/>
          </w:tcPr>
          <w:p>
            <w:pPr>
              <w:pStyle w:val="Normal"/>
              <w:keepNext w:val="true"/>
              <w:rPr/>
            </w:pPr>
            <w:r>
              <w:rPr/>
              <w:t>Total Assets</w:t>
            </w:r>
          </w:p>
        </w:tc>
        <w:tc>
          <w:tcPr>
            <w:tcW w:w="1771" w:type="dxa"/>
            <w:tcBorders/>
          </w:tcPr>
          <w:p>
            <w:pPr>
              <w:pStyle w:val="Normal"/>
              <w:keepNext w:val="true"/>
              <w:tabs>
                <w:tab w:val="clear" w:pos="720"/>
                <w:tab w:val="decimal" w:pos="1196" w:leader="none"/>
              </w:tabs>
              <w:ind w:start="456" w:end="456"/>
              <w:rPr/>
            </w:pPr>
            <w:r>
              <w:rPr/>
              <w:t>14,231</w:t>
            </w:r>
          </w:p>
        </w:tc>
        <w:tc>
          <w:tcPr>
            <w:tcW w:w="1771" w:type="dxa"/>
            <w:tcBorders/>
          </w:tcPr>
          <w:p>
            <w:pPr>
              <w:pStyle w:val="Normal"/>
              <w:keepNext w:val="true"/>
              <w:tabs>
                <w:tab w:val="clear" w:pos="720"/>
                <w:tab w:val="decimal" w:pos="1196" w:leader="none"/>
              </w:tabs>
              <w:ind w:start="456" w:end="456"/>
              <w:rPr/>
            </w:pPr>
            <w:r>
              <w:rPr/>
              <w:t>14,649</w:t>
            </w:r>
          </w:p>
        </w:tc>
        <w:tc>
          <w:tcPr>
            <w:tcW w:w="1771" w:type="dxa"/>
            <w:tcBorders/>
          </w:tcPr>
          <w:p>
            <w:pPr>
              <w:pStyle w:val="Normal"/>
              <w:keepNext w:val="true"/>
              <w:tabs>
                <w:tab w:val="clear" w:pos="720"/>
                <w:tab w:val="decimal" w:pos="1146" w:leader="none"/>
              </w:tabs>
              <w:ind w:start="506" w:end="506"/>
              <w:rPr/>
            </w:pPr>
            <w:r>
              <w:rPr/>
              <w:t>N/A</w:t>
            </w:r>
          </w:p>
        </w:tc>
      </w:tr>
      <w:tr>
        <w:trPr/>
        <w:tc>
          <w:tcPr>
            <w:tcW w:w="4248" w:type="dxa"/>
            <w:tcBorders/>
          </w:tcPr>
          <w:p>
            <w:pPr>
              <w:pStyle w:val="Normal"/>
              <w:keepNext w:val="true"/>
              <w:rPr/>
            </w:pPr>
            <w:r>
              <w:rPr/>
              <w:t>Total Equity</w:t>
            </w:r>
          </w:p>
        </w:tc>
        <w:tc>
          <w:tcPr>
            <w:tcW w:w="1771" w:type="dxa"/>
            <w:tcBorders/>
          </w:tcPr>
          <w:p>
            <w:pPr>
              <w:pStyle w:val="Normal"/>
              <w:keepNext w:val="true"/>
              <w:tabs>
                <w:tab w:val="clear" w:pos="720"/>
                <w:tab w:val="decimal" w:pos="1196" w:leader="none"/>
              </w:tabs>
              <w:ind w:start="456" w:end="456"/>
              <w:rPr/>
            </w:pPr>
            <w:r>
              <w:rPr/>
              <w:t>10,936</w:t>
            </w:r>
          </w:p>
        </w:tc>
        <w:tc>
          <w:tcPr>
            <w:tcW w:w="1771" w:type="dxa"/>
            <w:tcBorders/>
          </w:tcPr>
          <w:p>
            <w:pPr>
              <w:pStyle w:val="Normal"/>
              <w:keepNext w:val="true"/>
              <w:tabs>
                <w:tab w:val="clear" w:pos="720"/>
                <w:tab w:val="decimal" w:pos="1196" w:leader="none"/>
              </w:tabs>
              <w:ind w:start="456" w:end="456"/>
              <w:rPr/>
            </w:pPr>
            <w:r>
              <w:rPr/>
              <w:t>11,147</w:t>
            </w:r>
          </w:p>
        </w:tc>
        <w:tc>
          <w:tcPr>
            <w:tcW w:w="1771" w:type="dxa"/>
            <w:tcBorders/>
          </w:tcPr>
          <w:p>
            <w:pPr>
              <w:pStyle w:val="Normal"/>
              <w:keepNext w:val="true"/>
              <w:tabs>
                <w:tab w:val="clear" w:pos="720"/>
                <w:tab w:val="decimal" w:pos="1146" w:leader="none"/>
              </w:tabs>
              <w:ind w:start="506" w:end="506"/>
              <w:rPr/>
            </w:pPr>
            <w:r>
              <w:rPr/>
              <w:t>N/A</w:t>
            </w:r>
          </w:p>
        </w:tc>
      </w:tr>
      <w:tr>
        <w:trPr/>
        <w:tc>
          <w:tcPr>
            <w:tcW w:w="4248" w:type="dxa"/>
            <w:tcBorders/>
          </w:tcPr>
          <w:p>
            <w:pPr>
              <w:pStyle w:val="Normal"/>
              <w:keepNext w:val="true"/>
              <w:rPr/>
            </w:pPr>
            <w:r>
              <w:rPr/>
              <w:t>EBITDA/Interest</w:t>
            </w:r>
          </w:p>
        </w:tc>
        <w:tc>
          <w:tcPr>
            <w:tcW w:w="1771" w:type="dxa"/>
            <w:tcBorders/>
          </w:tcPr>
          <w:p>
            <w:pPr>
              <w:pStyle w:val="Normal"/>
              <w:keepNext w:val="true"/>
              <w:tabs>
                <w:tab w:val="clear" w:pos="720"/>
                <w:tab w:val="decimal" w:pos="1036" w:leader="none"/>
              </w:tabs>
              <w:ind w:start="456" w:end="456"/>
              <w:rPr/>
            </w:pPr>
            <w:r>
              <w:rPr/>
              <w:t>12.1x</w:t>
            </w:r>
          </w:p>
        </w:tc>
        <w:tc>
          <w:tcPr>
            <w:tcW w:w="1771" w:type="dxa"/>
            <w:tcBorders/>
          </w:tcPr>
          <w:p>
            <w:pPr>
              <w:pStyle w:val="Normal"/>
              <w:keepNext w:val="true"/>
              <w:tabs>
                <w:tab w:val="clear" w:pos="720"/>
                <w:tab w:val="decimal" w:pos="1036" w:leader="none"/>
              </w:tabs>
              <w:ind w:start="456" w:end="456"/>
              <w:rPr/>
            </w:pPr>
            <w:r>
              <w:rPr/>
              <w:t>9.5x</w:t>
            </w:r>
          </w:p>
        </w:tc>
        <w:tc>
          <w:tcPr>
            <w:tcW w:w="1771" w:type="dxa"/>
            <w:tcBorders/>
          </w:tcPr>
          <w:p>
            <w:pPr>
              <w:pStyle w:val="Normal"/>
              <w:keepNext w:val="true"/>
              <w:tabs>
                <w:tab w:val="clear" w:pos="720"/>
                <w:tab w:val="decimal" w:pos="986" w:leader="none"/>
              </w:tabs>
              <w:ind w:start="506" w:end="506"/>
              <w:rPr/>
            </w:pPr>
            <w:r>
              <w:rPr/>
              <w:t>6.3x</w:t>
            </w:r>
          </w:p>
        </w:tc>
      </w:tr>
      <w:tr>
        <w:trPr/>
        <w:tc>
          <w:tcPr>
            <w:tcW w:w="4248" w:type="dxa"/>
            <w:tcBorders>
              <w:bottom w:val="single" w:sz="4" w:space="0" w:color="000000"/>
            </w:tcBorders>
          </w:tcPr>
          <w:p>
            <w:pPr>
              <w:pStyle w:val="Normal"/>
              <w:keepNext w:val="true"/>
              <w:rPr/>
            </w:pPr>
            <w:r>
              <w:rPr/>
              <w:t>Total Debt/EBITDA</w:t>
            </w:r>
          </w:p>
        </w:tc>
        <w:tc>
          <w:tcPr>
            <w:tcW w:w="1771" w:type="dxa"/>
            <w:tcBorders>
              <w:bottom w:val="single" w:sz="4" w:space="0" w:color="000000"/>
            </w:tcBorders>
          </w:tcPr>
          <w:p>
            <w:pPr>
              <w:pStyle w:val="Normal"/>
              <w:keepNext w:val="true"/>
              <w:tabs>
                <w:tab w:val="clear" w:pos="720"/>
                <w:tab w:val="decimal" w:pos="916" w:leader="none"/>
              </w:tabs>
              <w:ind w:start="456" w:end="456"/>
              <w:rPr/>
            </w:pPr>
            <w:r>
              <w:rPr/>
              <w:t>0.51x</w:t>
            </w:r>
          </w:p>
        </w:tc>
        <w:tc>
          <w:tcPr>
            <w:tcW w:w="1771" w:type="dxa"/>
            <w:tcBorders>
              <w:bottom w:val="single" w:sz="4" w:space="0" w:color="000000"/>
            </w:tcBorders>
          </w:tcPr>
          <w:p>
            <w:pPr>
              <w:pStyle w:val="Normal"/>
              <w:keepNext w:val="true"/>
              <w:tabs>
                <w:tab w:val="clear" w:pos="720"/>
                <w:tab w:val="decimal" w:pos="916" w:leader="none"/>
              </w:tabs>
              <w:ind w:start="456" w:end="456"/>
              <w:rPr/>
            </w:pPr>
            <w:r>
              <w:rPr/>
              <w:t>0.86x</w:t>
            </w:r>
          </w:p>
        </w:tc>
        <w:tc>
          <w:tcPr>
            <w:tcW w:w="1771" w:type="dxa"/>
            <w:tcBorders>
              <w:bottom w:val="single" w:sz="4" w:space="0" w:color="000000"/>
            </w:tcBorders>
          </w:tcPr>
          <w:p>
            <w:pPr>
              <w:pStyle w:val="Normal"/>
              <w:keepNext w:val="true"/>
              <w:tabs>
                <w:tab w:val="clear" w:pos="720"/>
                <w:tab w:val="decimal" w:pos="1146" w:leader="none"/>
              </w:tabs>
              <w:ind w:start="506" w:end="506"/>
              <w:rPr/>
            </w:pPr>
            <w:r>
              <w:rPr/>
              <w:t>N/A</w:t>
            </w:r>
          </w:p>
        </w:tc>
      </w:tr>
    </w:tbl>
    <w:p>
      <w:pPr>
        <w:pStyle w:val="Spacerhalf"/>
        <w:keepNext w:val="true"/>
        <w:rPr/>
      </w:pPr>
      <w:r>
        <w:rPr/>
      </w:r>
    </w:p>
    <w:p>
      <w:pPr>
        <w:pStyle w:val="TableFootnote"/>
        <w:rPr/>
      </w:pPr>
      <w:r>
        <w:rPr/>
        <w:t>(a)</w:t>
        <w:tab/>
        <w:t>Ps/US$ exchange rates at December 31, 1999, 1998 and 1997 were Ps9.498/US$, Ps9.897/US$, and Ps8.055/US$ respectively.</w:t>
      </w:r>
    </w:p>
    <w:p>
      <w:pPr>
        <w:pStyle w:val="Spacerhalf"/>
        <w:rPr/>
      </w:pPr>
      <w:r>
        <w:rPr/>
      </w:r>
    </w:p>
    <w:p>
      <w:pPr>
        <w:pStyle w:val="Textboldbreak"/>
        <w:rPr/>
      </w:pPr>
      <w:r>
        <w:rPr/>
        <w:t>2.</w:t>
        <w:tab/>
        <w:t>Grupo IMSA S.A. de C.V.</w:t>
      </w:r>
    </w:p>
    <w:p>
      <w:pPr>
        <w:pStyle w:val="WW-Text"/>
        <w:rPr/>
      </w:pPr>
      <w:r>
        <w:rPr/>
        <w:t>IMSA was founded in 1936 and is one of Mexico’s largest diversified industrial groups.  The company operates its four core businesses through IMSA ACERO (the processed steel products division), ENERMEX (the batteries division), IMSALUM (the aluminum products division), and IMSATEC (the steel and plastic products division).  IMSA has manufacturing and distribution facilities located in Mexico, the United States, Argentina, Chile, Brazil, Venezuela and Guatemala, and exports to over 35 countries worldwide.  IMSA employs more than 14,000 people worldwide.</w:t>
      </w:r>
    </w:p>
    <w:p>
      <w:pPr>
        <w:pStyle w:val="WW-Text"/>
        <w:rPr/>
      </w:pPr>
      <w:r>
        <w:rPr/>
        <w:t>In 1999, the company’s revenues reached US$1.8 billion, of which 40% was generated outside Mexico.  IMSA’s shares are listed on both the New York Stock Exchange and the Bolsa Mexicana de Valores.  The company’s market capitalization as of September 1, 2000 was $640 million.</w:t>
      </w:r>
    </w:p>
    <w:p>
      <w:pPr>
        <w:pStyle w:val="WW-Text"/>
        <w:rPr/>
      </w:pPr>
      <w:r>
        <w:rPr/>
        <w:t>IMSA is expected to enjoy a double-digit percentage decrease in its electricity costs for the volume of power contracted under the PPA, representing a savings of over US$136 million.</w:t>
      </w:r>
    </w:p>
    <w:p>
      <w:pPr>
        <w:pStyle w:val="Textbold"/>
        <w:rPr/>
      </w:pPr>
      <w:r>
        <w:rPr/>
        <w:t>IMSA Acero:  Processed Steel Division</w:t>
      </w:r>
    </w:p>
    <w:p>
      <w:pPr>
        <w:pStyle w:val="WW-Text"/>
        <w:rPr/>
      </w:pPr>
      <w:r>
        <w:rPr/>
        <w:t>IMSA ACERO converts primary steel into processed steel products such as hot-rolled flat steel; cold-rolled flat steel; zinc, galvalume and galvanneal coated flat steel; prepainted flat steel; corrugated, galvanized and prepainted steel sheets; galvanized steel light shapes; and pre-engineered metal buildings.  IMSA Acero is the largest cold-rolled steel producer in Mexico, the largest galvanized steel and pre-painted steel producer in Latin America and the first galvalume manufacturer in Latin America.  The division accounted for 44.9% and 58.9% of IMSA’s 1999 sales and EBITDA, respectively.</w:t>
      </w:r>
    </w:p>
    <w:p>
      <w:pPr>
        <w:pStyle w:val="WW-Text"/>
        <w:rPr/>
      </w:pPr>
      <w:r>
        <w:rPr/>
        <w:t>IMSA Acero has invested heavily in its manufacturing facilities and acquired companies to increase its steel processing capacity and product mix.  The division exports products to over 30 countries and in 1999, international sales represented 26.1% of total sales.</w:t>
      </w:r>
    </w:p>
    <w:p>
      <w:pPr>
        <w:pStyle w:val="Textbold"/>
        <w:rPr/>
      </w:pPr>
      <w:r>
        <w:rPr/>
        <w:t>Enermex:  Batteries and Autoparts Division</w:t>
      </w:r>
    </w:p>
    <w:p>
      <w:pPr>
        <w:pStyle w:val="WW-Text"/>
        <w:rPr/>
      </w:pPr>
      <w:r>
        <w:rPr/>
        <w:t xml:space="preserve">Enermex primarily manufactures automotive batteries, automotive filters, marine batteries, and motorcycle batteries.  Enermex is the largest automotive starting, lighting and ignition (“SLI”) battery producer in Mexico.  With the capacity to produce 13 million batteries, Enermex is the largest battery manufacturer in Latin America, and the sixth largest in the world.  </w:t>
      </w:r>
    </w:p>
    <w:p>
      <w:pPr>
        <w:pStyle w:val="WW-Text"/>
        <w:rPr/>
      </w:pPr>
      <w:r>
        <w:rPr/>
        <w:t>In 1999, exports represented 47% of its revenues.</w:t>
      </w:r>
      <w:r>
        <w:rPr>
          <w:lang w:val="en-CA"/>
        </w:rPr>
        <w:t xml:space="preserve">  </w:t>
      </w:r>
      <w:r>
        <w:rPr/>
        <w:t xml:space="preserve">The 1998 joint venture with Johnson Controls, Inc., the leading SLI Battery Corporation in North America, provided the division with access to the U.S. market and customers such as Sears, Autozone and Interstate Battery.  </w:t>
      </w:r>
    </w:p>
    <w:p>
      <w:pPr>
        <w:pStyle w:val="Textbold"/>
        <w:rPr/>
      </w:pPr>
      <w:r>
        <w:rPr/>
        <w:t>Imsalum:  Aluminum Products Division</w:t>
      </w:r>
    </w:p>
    <w:p>
      <w:pPr>
        <w:pStyle w:val="WW-Text"/>
        <w:rPr/>
      </w:pPr>
      <w:r>
        <w:rPr/>
        <w:t xml:space="preserve">Imsalum is IMSA’s aluminum products division.  Primary products manufactured consist of industrial and architectural aluminum profiles; aluminum, fiberglass, prefabricated aluminum doors and windows; scaffolding; customized aluminum products; aluminum customized curtain walls; and residential fencing.  The division contributed 16% and 12.5% of IMSA’s 1999 sales and EBITDA, respectively.   </w:t>
      </w:r>
    </w:p>
    <w:p>
      <w:pPr>
        <w:pStyle w:val="WW-Text"/>
        <w:rPr/>
      </w:pPr>
      <w:r>
        <w:rPr/>
        <w:t xml:space="preserve">Imsalum is the largest manufacturer in terms of sales volumes of aluminum products in Mexico and is one of the largest North American manufactures of ladders and steel panels.  The division exports its products to more than 20 countries around the world and in 1999, exports represented 59.6% of the division’s revenues.  The division has manufacturing facilities in the U.S. and Mexico. </w:t>
      </w:r>
    </w:p>
    <w:p>
      <w:pPr>
        <w:pStyle w:val="Textbold"/>
        <w:rPr/>
      </w:pPr>
      <w:r>
        <w:rPr/>
        <w:t>Imsatec:  Steel and Plastic Products Division</w:t>
      </w:r>
    </w:p>
    <w:p>
      <w:pPr>
        <w:pStyle w:val="WW-Text"/>
        <w:rPr/>
      </w:pPr>
      <w:r>
        <w:rPr/>
        <w:t xml:space="preserve">Imsatec’s main products consist of insulated steel panels, fiberglass-reinforced plastic panels, steel products for the construction of highways, electric transmission towers, hot-dip galvanizing services, steel and plastic packaging products, industrial fasteners, and pre-engineered metal buildings.  The division accounted for 17% and 10% of IMSA’s 1999 sales and EBITDA, respectively.  </w:t>
      </w:r>
    </w:p>
    <w:p>
      <w:pPr>
        <w:pStyle w:val="WW-Text"/>
        <w:rPr/>
      </w:pPr>
      <w:r>
        <w:rPr/>
        <w:t>Imsatec is the largest steel panel producer in North America and one of the main producers of fiberglass reinforced plastic (“FRP”) panels in the world.  The division produces insulated steel panels, fiberglass-reinforced plastic panels, steel products for the construction of highways, electric transmission towers, hot-dip galvanizing services, steel and plastic packaging products, industrial fasteners, pre-engineered metal buildings, and prefabricated steel and foam insulated panels.  Manufacturing facilities are located in Mexico, Chile and the U.S.  In 1999, exports represented 49.5% of revenues.</w:t>
      </w:r>
    </w:p>
    <w:p>
      <w:pPr>
        <w:pStyle w:val="Spacerhalf"/>
        <w:rPr/>
      </w:pPr>
      <w:r>
        <w:rPr/>
      </w:r>
    </w:p>
    <w:p>
      <w:pPr>
        <w:pStyle w:val="Textbold"/>
        <w:rPr/>
      </w:pPr>
      <w:r>
        <w:rPr/>
        <w:t>Financial Results</w:t>
      </w:r>
    </w:p>
    <w:p>
      <w:pPr>
        <w:pStyle w:val="Spacer"/>
        <w:numPr>
          <w:ilvl w:val="0"/>
          <w:numId w:val="0"/>
        </w:numPr>
        <w:ind w:hanging="0" w:start="0"/>
        <w:rPr/>
      </w:pPr>
      <w:r>
        <w:rPr/>
      </w:r>
    </w:p>
    <w:tbl>
      <w:tblPr>
        <w:tblW w:w="9345" w:type="dxa"/>
        <w:jc w:val="start"/>
        <w:tblInd w:w="0" w:type="dxa"/>
        <w:tblLayout w:type="fixed"/>
        <w:tblCellMar>
          <w:top w:w="0" w:type="dxa"/>
          <w:start w:w="0" w:type="dxa"/>
          <w:bottom w:w="0" w:type="dxa"/>
          <w:end w:w="0" w:type="dxa"/>
        </w:tblCellMar>
      </w:tblPr>
      <w:tblGrid>
        <w:gridCol w:w="4152"/>
        <w:gridCol w:w="1731"/>
        <w:gridCol w:w="1731"/>
        <w:gridCol w:w="1731"/>
      </w:tblGrid>
      <w:tr>
        <w:trPr/>
        <w:tc>
          <w:tcPr>
            <w:tcW w:w="4152" w:type="dxa"/>
            <w:tcBorders>
              <w:bottom w:val="single" w:sz="6" w:space="0" w:color="000000"/>
            </w:tcBorders>
          </w:tcPr>
          <w:p>
            <w:pPr>
              <w:pStyle w:val="Normal"/>
              <w:keepNext w:val="true"/>
              <w:numPr>
                <w:ilvl w:val="0"/>
                <w:numId w:val="0"/>
              </w:numPr>
              <w:spacing w:before="60" w:after="60"/>
              <w:ind w:hanging="0" w:start="0"/>
              <w:rPr>
                <w:b/>
                <w:sz w:val="20"/>
              </w:rPr>
            </w:pPr>
            <w:r>
              <w:rPr>
                <w:b/>
                <w:sz w:val="20"/>
              </w:rPr>
              <w:t>Consolidated Financial Summary (millions of constant Mexican pesos)</w:t>
            </w:r>
            <w:r>
              <w:rPr>
                <w:b/>
                <w:sz w:val="20"/>
                <w:vertAlign w:val="superscript"/>
              </w:rPr>
              <w:t>(a)</w:t>
            </w:r>
          </w:p>
        </w:tc>
        <w:tc>
          <w:tcPr>
            <w:tcW w:w="1731"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1999</w:t>
            </w:r>
          </w:p>
        </w:tc>
        <w:tc>
          <w:tcPr>
            <w:tcW w:w="1731"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1998</w:t>
            </w:r>
          </w:p>
        </w:tc>
        <w:tc>
          <w:tcPr>
            <w:tcW w:w="1731"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1997</w:t>
            </w:r>
          </w:p>
        </w:tc>
      </w:tr>
      <w:tr>
        <w:trPr/>
        <w:tc>
          <w:tcPr>
            <w:tcW w:w="4152" w:type="dxa"/>
            <w:tcBorders/>
          </w:tcPr>
          <w:p>
            <w:pPr>
              <w:pStyle w:val="Normal"/>
              <w:keepNext w:val="true"/>
              <w:numPr>
                <w:ilvl w:val="0"/>
                <w:numId w:val="0"/>
              </w:numPr>
              <w:ind w:hanging="0" w:start="0"/>
              <w:rPr/>
            </w:pPr>
            <w:r>
              <w:rPr/>
              <w:t>Revenue</w:t>
            </w:r>
          </w:p>
        </w:tc>
        <w:tc>
          <w:tcPr>
            <w:tcW w:w="1731" w:type="dxa"/>
            <w:tcBorders/>
          </w:tcPr>
          <w:p>
            <w:pPr>
              <w:pStyle w:val="Normal"/>
              <w:keepNext w:val="true"/>
              <w:numPr>
                <w:ilvl w:val="0"/>
                <w:numId w:val="0"/>
              </w:numPr>
              <w:tabs>
                <w:tab w:val="clear" w:pos="720"/>
                <w:tab w:val="decimal" w:pos="1176" w:leader="none"/>
              </w:tabs>
              <w:ind w:hanging="0" w:start="436" w:end="436"/>
              <w:rPr/>
            </w:pPr>
            <w:r>
              <w:rPr/>
              <w:t>17,254</w:t>
            </w:r>
          </w:p>
        </w:tc>
        <w:tc>
          <w:tcPr>
            <w:tcW w:w="1731" w:type="dxa"/>
            <w:tcBorders/>
          </w:tcPr>
          <w:p>
            <w:pPr>
              <w:pStyle w:val="Normal"/>
              <w:keepNext w:val="true"/>
              <w:numPr>
                <w:ilvl w:val="0"/>
                <w:numId w:val="0"/>
              </w:numPr>
              <w:tabs>
                <w:tab w:val="clear" w:pos="720"/>
                <w:tab w:val="decimal" w:pos="1176" w:leader="none"/>
              </w:tabs>
              <w:ind w:hanging="0" w:start="436" w:end="436"/>
              <w:rPr/>
            </w:pPr>
            <w:r>
              <w:rPr/>
              <w:t>16,786</w:t>
            </w:r>
          </w:p>
        </w:tc>
        <w:tc>
          <w:tcPr>
            <w:tcW w:w="1731" w:type="dxa"/>
            <w:tcBorders/>
          </w:tcPr>
          <w:p>
            <w:pPr>
              <w:pStyle w:val="Normal"/>
              <w:keepNext w:val="true"/>
              <w:numPr>
                <w:ilvl w:val="0"/>
                <w:numId w:val="0"/>
              </w:numPr>
              <w:tabs>
                <w:tab w:val="clear" w:pos="720"/>
                <w:tab w:val="decimal" w:pos="1176" w:leader="none"/>
              </w:tabs>
              <w:ind w:hanging="0" w:start="436" w:end="436"/>
              <w:rPr/>
            </w:pPr>
            <w:r>
              <w:rPr/>
              <w:t>15,693</w:t>
            </w:r>
          </w:p>
        </w:tc>
      </w:tr>
      <w:tr>
        <w:trPr/>
        <w:tc>
          <w:tcPr>
            <w:tcW w:w="4152" w:type="dxa"/>
            <w:tcBorders/>
          </w:tcPr>
          <w:p>
            <w:pPr>
              <w:pStyle w:val="Normal"/>
              <w:keepNext w:val="true"/>
              <w:numPr>
                <w:ilvl w:val="0"/>
                <w:numId w:val="0"/>
              </w:numPr>
              <w:ind w:hanging="0" w:start="0"/>
              <w:rPr/>
            </w:pPr>
            <w:r>
              <w:rPr/>
              <w:t>EBITDA</w:t>
            </w:r>
          </w:p>
        </w:tc>
        <w:tc>
          <w:tcPr>
            <w:tcW w:w="1731" w:type="dxa"/>
            <w:tcBorders/>
          </w:tcPr>
          <w:p>
            <w:pPr>
              <w:pStyle w:val="Normal"/>
              <w:keepNext w:val="true"/>
              <w:numPr>
                <w:ilvl w:val="0"/>
                <w:numId w:val="0"/>
              </w:numPr>
              <w:tabs>
                <w:tab w:val="clear" w:pos="720"/>
                <w:tab w:val="decimal" w:pos="1176" w:leader="none"/>
              </w:tabs>
              <w:ind w:hanging="0" w:start="436" w:end="436"/>
              <w:rPr/>
            </w:pPr>
            <w:r>
              <w:rPr/>
              <w:t>3,322</w:t>
            </w:r>
          </w:p>
        </w:tc>
        <w:tc>
          <w:tcPr>
            <w:tcW w:w="1731" w:type="dxa"/>
            <w:tcBorders/>
          </w:tcPr>
          <w:p>
            <w:pPr>
              <w:pStyle w:val="Normal"/>
              <w:keepNext w:val="true"/>
              <w:numPr>
                <w:ilvl w:val="0"/>
                <w:numId w:val="0"/>
              </w:numPr>
              <w:tabs>
                <w:tab w:val="clear" w:pos="720"/>
                <w:tab w:val="decimal" w:pos="1176" w:leader="none"/>
              </w:tabs>
              <w:ind w:hanging="0" w:start="436" w:end="436"/>
              <w:rPr/>
            </w:pPr>
            <w:r>
              <w:rPr/>
              <w:t>2,929</w:t>
            </w:r>
          </w:p>
        </w:tc>
        <w:tc>
          <w:tcPr>
            <w:tcW w:w="1731" w:type="dxa"/>
            <w:tcBorders/>
          </w:tcPr>
          <w:p>
            <w:pPr>
              <w:pStyle w:val="Normal"/>
              <w:keepNext w:val="true"/>
              <w:numPr>
                <w:ilvl w:val="0"/>
                <w:numId w:val="0"/>
              </w:numPr>
              <w:tabs>
                <w:tab w:val="clear" w:pos="720"/>
                <w:tab w:val="decimal" w:pos="1176" w:leader="none"/>
              </w:tabs>
              <w:ind w:hanging="0" w:start="436" w:end="436"/>
              <w:rPr/>
            </w:pPr>
            <w:r>
              <w:rPr/>
              <w:t>2,740</w:t>
            </w:r>
          </w:p>
        </w:tc>
      </w:tr>
      <w:tr>
        <w:trPr/>
        <w:tc>
          <w:tcPr>
            <w:tcW w:w="4152" w:type="dxa"/>
            <w:tcBorders/>
          </w:tcPr>
          <w:p>
            <w:pPr>
              <w:pStyle w:val="Normal"/>
              <w:keepNext w:val="true"/>
              <w:numPr>
                <w:ilvl w:val="0"/>
                <w:numId w:val="0"/>
              </w:numPr>
              <w:ind w:hanging="0" w:start="0"/>
              <w:rPr/>
            </w:pPr>
            <w:r>
              <w:rPr/>
              <w:t>Total Assets</w:t>
            </w:r>
          </w:p>
        </w:tc>
        <w:tc>
          <w:tcPr>
            <w:tcW w:w="1731" w:type="dxa"/>
            <w:tcBorders/>
          </w:tcPr>
          <w:p>
            <w:pPr>
              <w:pStyle w:val="Normal"/>
              <w:keepNext w:val="true"/>
              <w:numPr>
                <w:ilvl w:val="0"/>
                <w:numId w:val="0"/>
              </w:numPr>
              <w:tabs>
                <w:tab w:val="clear" w:pos="720"/>
                <w:tab w:val="decimal" w:pos="1176" w:leader="none"/>
              </w:tabs>
              <w:ind w:hanging="0" w:start="436" w:end="436"/>
              <w:rPr/>
            </w:pPr>
            <w:r>
              <w:rPr/>
              <w:t>22,646</w:t>
            </w:r>
          </w:p>
        </w:tc>
        <w:tc>
          <w:tcPr>
            <w:tcW w:w="1731" w:type="dxa"/>
            <w:tcBorders/>
          </w:tcPr>
          <w:p>
            <w:pPr>
              <w:pStyle w:val="Normal"/>
              <w:keepNext w:val="true"/>
              <w:numPr>
                <w:ilvl w:val="0"/>
                <w:numId w:val="0"/>
              </w:numPr>
              <w:tabs>
                <w:tab w:val="clear" w:pos="720"/>
                <w:tab w:val="decimal" w:pos="1176" w:leader="none"/>
              </w:tabs>
              <w:ind w:hanging="0" w:start="436" w:end="436"/>
              <w:rPr/>
            </w:pPr>
            <w:r>
              <w:rPr/>
              <w:t>20,812</w:t>
            </w:r>
          </w:p>
        </w:tc>
        <w:tc>
          <w:tcPr>
            <w:tcW w:w="1731" w:type="dxa"/>
            <w:tcBorders/>
          </w:tcPr>
          <w:p>
            <w:pPr>
              <w:pStyle w:val="Normal"/>
              <w:keepNext w:val="true"/>
              <w:numPr>
                <w:ilvl w:val="0"/>
                <w:numId w:val="0"/>
              </w:numPr>
              <w:tabs>
                <w:tab w:val="clear" w:pos="720"/>
                <w:tab w:val="decimal" w:pos="1176" w:leader="none"/>
              </w:tabs>
              <w:ind w:hanging="0" w:start="436" w:end="436"/>
              <w:rPr/>
            </w:pPr>
            <w:r>
              <w:rPr/>
              <w:t>N/A</w:t>
            </w:r>
          </w:p>
        </w:tc>
      </w:tr>
      <w:tr>
        <w:trPr/>
        <w:tc>
          <w:tcPr>
            <w:tcW w:w="4152" w:type="dxa"/>
            <w:tcBorders/>
          </w:tcPr>
          <w:p>
            <w:pPr>
              <w:pStyle w:val="Normal"/>
              <w:keepNext w:val="true"/>
              <w:numPr>
                <w:ilvl w:val="0"/>
                <w:numId w:val="0"/>
              </w:numPr>
              <w:ind w:hanging="0" w:start="0"/>
              <w:rPr/>
            </w:pPr>
            <w:r>
              <w:rPr/>
              <w:t>Total Equity</w:t>
            </w:r>
          </w:p>
        </w:tc>
        <w:tc>
          <w:tcPr>
            <w:tcW w:w="1731" w:type="dxa"/>
            <w:tcBorders/>
          </w:tcPr>
          <w:p>
            <w:pPr>
              <w:pStyle w:val="Normal"/>
              <w:keepNext w:val="true"/>
              <w:numPr>
                <w:ilvl w:val="0"/>
                <w:numId w:val="0"/>
              </w:numPr>
              <w:tabs>
                <w:tab w:val="clear" w:pos="720"/>
                <w:tab w:val="decimal" w:pos="1176" w:leader="none"/>
              </w:tabs>
              <w:ind w:hanging="0" w:start="436" w:end="436"/>
              <w:rPr/>
            </w:pPr>
            <w:r>
              <w:rPr/>
              <w:t>11,881</w:t>
            </w:r>
          </w:p>
        </w:tc>
        <w:tc>
          <w:tcPr>
            <w:tcW w:w="1731" w:type="dxa"/>
            <w:tcBorders/>
          </w:tcPr>
          <w:p>
            <w:pPr>
              <w:pStyle w:val="Normal"/>
              <w:keepNext w:val="true"/>
              <w:numPr>
                <w:ilvl w:val="0"/>
                <w:numId w:val="0"/>
              </w:numPr>
              <w:tabs>
                <w:tab w:val="clear" w:pos="720"/>
                <w:tab w:val="decimal" w:pos="1176" w:leader="none"/>
              </w:tabs>
              <w:ind w:hanging="0" w:start="436" w:end="436"/>
              <w:rPr/>
            </w:pPr>
            <w:r>
              <w:rPr/>
              <w:t>11,166</w:t>
            </w:r>
          </w:p>
        </w:tc>
        <w:tc>
          <w:tcPr>
            <w:tcW w:w="1731" w:type="dxa"/>
            <w:tcBorders/>
          </w:tcPr>
          <w:p>
            <w:pPr>
              <w:pStyle w:val="Normal"/>
              <w:keepNext w:val="true"/>
              <w:numPr>
                <w:ilvl w:val="0"/>
                <w:numId w:val="0"/>
              </w:numPr>
              <w:tabs>
                <w:tab w:val="clear" w:pos="720"/>
                <w:tab w:val="decimal" w:pos="1176" w:leader="none"/>
              </w:tabs>
              <w:ind w:hanging="0" w:start="436" w:end="436"/>
              <w:rPr/>
            </w:pPr>
            <w:r>
              <w:rPr/>
              <w:t>N/A</w:t>
            </w:r>
          </w:p>
        </w:tc>
      </w:tr>
      <w:tr>
        <w:trPr/>
        <w:tc>
          <w:tcPr>
            <w:tcW w:w="4152" w:type="dxa"/>
            <w:tcBorders/>
          </w:tcPr>
          <w:p>
            <w:pPr>
              <w:pStyle w:val="Normal"/>
              <w:keepNext w:val="true"/>
              <w:numPr>
                <w:ilvl w:val="0"/>
                <w:numId w:val="0"/>
              </w:numPr>
              <w:ind w:hanging="0" w:start="0"/>
              <w:rPr/>
            </w:pPr>
            <w:r>
              <w:rPr/>
              <w:t>EBITDA/Interest</w:t>
            </w:r>
          </w:p>
        </w:tc>
        <w:tc>
          <w:tcPr>
            <w:tcW w:w="1731" w:type="dxa"/>
            <w:tcBorders/>
          </w:tcPr>
          <w:p>
            <w:pPr>
              <w:pStyle w:val="Normal"/>
              <w:keepNext w:val="true"/>
              <w:numPr>
                <w:ilvl w:val="0"/>
                <w:numId w:val="0"/>
              </w:numPr>
              <w:tabs>
                <w:tab w:val="clear" w:pos="720"/>
                <w:tab w:val="decimal" w:pos="896" w:leader="none"/>
              </w:tabs>
              <w:ind w:hanging="0" w:start="436" w:end="436"/>
              <w:rPr/>
            </w:pPr>
            <w:r>
              <w:rPr/>
              <w:t>4.25x</w:t>
            </w:r>
          </w:p>
        </w:tc>
        <w:tc>
          <w:tcPr>
            <w:tcW w:w="1731" w:type="dxa"/>
            <w:tcBorders/>
          </w:tcPr>
          <w:p>
            <w:pPr>
              <w:pStyle w:val="Normal"/>
              <w:keepNext w:val="true"/>
              <w:numPr>
                <w:ilvl w:val="0"/>
                <w:numId w:val="0"/>
              </w:numPr>
              <w:tabs>
                <w:tab w:val="clear" w:pos="720"/>
                <w:tab w:val="decimal" w:pos="896" w:leader="none"/>
              </w:tabs>
              <w:ind w:hanging="0" w:start="436" w:end="436"/>
              <w:rPr/>
            </w:pPr>
            <w:r>
              <w:rPr/>
              <w:t>4.13x</w:t>
            </w:r>
          </w:p>
        </w:tc>
        <w:tc>
          <w:tcPr>
            <w:tcW w:w="1731" w:type="dxa"/>
            <w:tcBorders/>
          </w:tcPr>
          <w:p>
            <w:pPr>
              <w:pStyle w:val="Normal"/>
              <w:keepNext w:val="true"/>
              <w:numPr>
                <w:ilvl w:val="0"/>
                <w:numId w:val="0"/>
              </w:numPr>
              <w:tabs>
                <w:tab w:val="clear" w:pos="720"/>
                <w:tab w:val="decimal" w:pos="896" w:leader="none"/>
              </w:tabs>
              <w:ind w:hanging="0" w:start="436" w:end="436"/>
              <w:rPr/>
            </w:pPr>
            <w:r>
              <w:rPr/>
              <w:t>4.75x</w:t>
            </w:r>
          </w:p>
        </w:tc>
      </w:tr>
      <w:tr>
        <w:trPr/>
        <w:tc>
          <w:tcPr>
            <w:tcW w:w="4152" w:type="dxa"/>
            <w:tcBorders>
              <w:bottom w:val="single" w:sz="4" w:space="0" w:color="000000"/>
            </w:tcBorders>
          </w:tcPr>
          <w:p>
            <w:pPr>
              <w:pStyle w:val="Normal"/>
              <w:keepNext w:val="true"/>
              <w:numPr>
                <w:ilvl w:val="0"/>
                <w:numId w:val="0"/>
              </w:numPr>
              <w:ind w:hanging="0" w:start="0"/>
              <w:rPr/>
            </w:pPr>
            <w:r>
              <w:rPr/>
              <w:t>Total Debt/EBITDA</w:t>
            </w:r>
          </w:p>
        </w:tc>
        <w:tc>
          <w:tcPr>
            <w:tcW w:w="1731" w:type="dxa"/>
            <w:tcBorders>
              <w:bottom w:val="single" w:sz="4" w:space="0" w:color="000000"/>
            </w:tcBorders>
          </w:tcPr>
          <w:p>
            <w:pPr>
              <w:pStyle w:val="Normal"/>
              <w:keepNext w:val="true"/>
              <w:numPr>
                <w:ilvl w:val="0"/>
                <w:numId w:val="0"/>
              </w:numPr>
              <w:tabs>
                <w:tab w:val="clear" w:pos="720"/>
                <w:tab w:val="decimal" w:pos="896" w:leader="none"/>
              </w:tabs>
              <w:ind w:hanging="0" w:start="436" w:end="436"/>
              <w:rPr/>
            </w:pPr>
            <w:r>
              <w:rPr/>
              <w:t>2.21x</w:t>
            </w:r>
          </w:p>
        </w:tc>
        <w:tc>
          <w:tcPr>
            <w:tcW w:w="1731" w:type="dxa"/>
            <w:tcBorders>
              <w:bottom w:val="single" w:sz="4" w:space="0" w:color="000000"/>
            </w:tcBorders>
          </w:tcPr>
          <w:p>
            <w:pPr>
              <w:pStyle w:val="Normal"/>
              <w:keepNext w:val="true"/>
              <w:numPr>
                <w:ilvl w:val="0"/>
                <w:numId w:val="0"/>
              </w:numPr>
              <w:tabs>
                <w:tab w:val="clear" w:pos="720"/>
                <w:tab w:val="decimal" w:pos="896" w:leader="none"/>
              </w:tabs>
              <w:ind w:hanging="0" w:start="436" w:end="436"/>
              <w:rPr/>
            </w:pPr>
            <w:r>
              <w:rPr/>
              <w:t>2.16x</w:t>
            </w:r>
          </w:p>
        </w:tc>
        <w:tc>
          <w:tcPr>
            <w:tcW w:w="1731" w:type="dxa"/>
            <w:tcBorders>
              <w:bottom w:val="single" w:sz="4" w:space="0" w:color="000000"/>
            </w:tcBorders>
          </w:tcPr>
          <w:p>
            <w:pPr>
              <w:pStyle w:val="Normal"/>
              <w:keepNext w:val="true"/>
              <w:numPr>
                <w:ilvl w:val="0"/>
                <w:numId w:val="0"/>
              </w:numPr>
              <w:tabs>
                <w:tab w:val="clear" w:pos="720"/>
                <w:tab w:val="decimal" w:pos="1176" w:leader="none"/>
              </w:tabs>
              <w:ind w:hanging="0" w:start="436" w:end="436"/>
              <w:rPr/>
            </w:pPr>
            <w:r>
              <w:rPr/>
              <w:t>N/A</w:t>
            </w:r>
          </w:p>
        </w:tc>
      </w:tr>
    </w:tbl>
    <w:p>
      <w:pPr>
        <w:pStyle w:val="Spacerhalf"/>
        <w:keepNext w:val="true"/>
        <w:rPr/>
      </w:pPr>
      <w:r>
        <w:rPr/>
      </w:r>
    </w:p>
    <w:p>
      <w:pPr>
        <w:pStyle w:val="TableFootnote"/>
        <w:numPr>
          <w:ilvl w:val="0"/>
          <w:numId w:val="0"/>
        </w:numPr>
        <w:ind w:hanging="360" w:start="360" w:end="0"/>
        <w:rPr/>
      </w:pPr>
      <w:r>
        <w:rPr/>
        <w:t>(a)</w:t>
        <w:tab/>
        <w:t>Ps/US$ exchange rates at December 31, 1999, 1998 and 1997 were Ps9.498/US$, Ps9.897/US$, and Ps8.055/US$ respectively.</w:t>
      </w:r>
    </w:p>
    <w:p>
      <w:pPr>
        <w:pStyle w:val="Textboldbreak"/>
        <w:rPr/>
      </w:pPr>
      <w:r>
        <w:rPr/>
        <w:t>3.</w:t>
        <w:tab/>
        <w:t>Vitro S.A. de C.V.</w:t>
      </w:r>
    </w:p>
    <w:p>
      <w:pPr>
        <w:pStyle w:val="Textbold"/>
        <w:rPr/>
      </w:pPr>
      <w:r>
        <w:rPr/>
        <w:t>Company Description</w:t>
      </w:r>
    </w:p>
    <w:p>
      <w:pPr>
        <w:pStyle w:val="WW-Text"/>
        <w:rPr/>
      </w:pPr>
      <w:r>
        <w:rPr/>
        <w:t>Through its various subsidiaries, Vitro manufactures and markets glass and plastic containers, aluminum cans, flat glass for automotive and architectural use, kitchen glassware, household appliances, chemical and fiberglass products, and machinery and equipment for the glass industry.  Vitro, founded in 1909, operates manufacturing facilities and distribution centers in seven countries, including Mexico and the United States, exports products to more than 70 countries worldwide and has joint ventures with 12 international corporations around the world.  Vitro employs more than 33,320 people worldwide.</w:t>
      </w:r>
    </w:p>
    <w:p>
      <w:pPr>
        <w:pStyle w:val="WW-Text"/>
        <w:rPr/>
      </w:pPr>
      <w:r>
        <w:rPr/>
        <w:t>During 1999, sales reached US$2.6 billion, of which 65% were linked to or denominated in U.S. dollars. Vitro’s market capitalization was US$330 million as of September 1, 2000.  The company is listed on both the New York Stock Exchange and the Bolsa Mexicana de Valores.</w:t>
      </w:r>
    </w:p>
    <w:p>
      <w:pPr>
        <w:pStyle w:val="WW-Text"/>
        <w:rPr/>
      </w:pPr>
      <w:r>
        <w:rPr/>
        <w:t>The company’s operations are organized into five operating business units: the Glass Containers Business Unit; the Flat Glass Business Unit; the Household Products Business Unit; the Glassware Business Unit; and the Diverse Industries Business Unit.</w:t>
      </w:r>
    </w:p>
    <w:p>
      <w:pPr>
        <w:pStyle w:val="WW-Text"/>
        <w:rPr/>
      </w:pPr>
      <w:r>
        <w:rPr/>
        <w:t>Vitro is expected to see a double-digit percentage decrease in its electricity costs and substantial additional savings related to steam costs expected at its subsidiary, Alcali.  The electricity cost savings alone for Vitro should total more than US$222 million.  Vitro subsidiaries located in the proximity of the plant will experience a more reliable source of electricity, and Alcali will receive a more reliable source of steam.</w:t>
      </w:r>
    </w:p>
    <w:p>
      <w:pPr>
        <w:pStyle w:val="Textbold"/>
        <w:rPr/>
      </w:pPr>
      <w:r>
        <w:rPr/>
        <w:t>Glass Containers Business Unit</w:t>
      </w:r>
    </w:p>
    <w:p>
      <w:pPr>
        <w:pStyle w:val="WW-Text"/>
        <w:rPr/>
      </w:pPr>
      <w:r>
        <w:rPr/>
        <w:t xml:space="preserve">The Glass Containers business unit manufactures soft drink containers, beer and wine containers, and food, drug and cosmetic containers.  The unit contributed approximately 28% and 31% of Vitro’s 1999 sales and EBITDA, respectively.  The Glass Container unit’s key customers include Allied Domecq, Bacardi, Coca-Cola, Corona, and Pepsi-Cola. </w:t>
      </w:r>
    </w:p>
    <w:p>
      <w:pPr>
        <w:pStyle w:val="Textbold"/>
        <w:rPr/>
      </w:pPr>
      <w:r>
        <w:rPr/>
        <w:t>Flat Glass Business Unit</w:t>
      </w:r>
    </w:p>
    <w:p>
      <w:pPr>
        <w:pStyle w:val="WW-Text"/>
        <w:rPr/>
      </w:pPr>
      <w:r>
        <w:rPr/>
        <w:t xml:space="preserve">The Flat Glass segment focuses on building products and auto glass.  This segment contributed approximately 33% and 35% of Vitro’s 1999 sales and EBITDA, respectively.  Key customers in this unit include General Motors and Volkswagen.  </w:t>
      </w:r>
    </w:p>
    <w:p>
      <w:pPr>
        <w:pStyle w:val="Textbold"/>
        <w:rPr/>
      </w:pPr>
      <w:r>
        <w:rPr/>
        <w:t>Glassware Business Unit</w:t>
      </w:r>
    </w:p>
    <w:p>
      <w:pPr>
        <w:pStyle w:val="WW-Text"/>
        <w:rPr/>
      </w:pPr>
      <w:r>
        <w:rPr/>
        <w:t>Glassware products include ovenware, tableware, kitchenware, stainless-steel and silver plated flatware and decoration glassware.  The segment contributed approximately 8% and 10% of Vitro’s 1999 sales and EBITDA, respectively. Vitro enjoys a leading position in the Mexican glassware retail market through its Crisa-branded products.  Additionally, through its partnership with Libbey, a U.S. designer, manufacturer and marketer of glass tableware.  Vitro has expanded its customer base in the U.S. to include major retail outlets such as Wal-Mart, Target and Crate and Barrel.</w:t>
      </w:r>
    </w:p>
    <w:p>
      <w:pPr>
        <w:pStyle w:val="Textbold"/>
        <w:rPr/>
      </w:pPr>
      <w:r>
        <w:rPr/>
        <w:t>Household Products Business Unit</w:t>
      </w:r>
    </w:p>
    <w:p>
      <w:pPr>
        <w:pStyle w:val="WW-Text"/>
        <w:rPr/>
      </w:pPr>
      <w:r>
        <w:rPr/>
        <w:t>The Household Products business unit produces major brand name household appliances, including refrigerators, ranges and washing machines, as well as related gas components for the Mexican and export markets.  All of the business unit’s operations are conducted through Vitromatic, Vitro’s 51%-owned joint venture with Whirlpool.  The segment contributed approximately 19% and 14% of Vitro’s 1999 sales and EBITDA, respectively.</w:t>
      </w:r>
    </w:p>
    <w:p>
      <w:pPr>
        <w:pStyle w:val="Textbold"/>
        <w:rPr/>
      </w:pPr>
      <w:r>
        <w:rPr/>
        <w:t>Diverse Industries Business Unit</w:t>
      </w:r>
    </w:p>
    <w:p>
      <w:pPr>
        <w:pStyle w:val="WW-Text"/>
        <w:rPr/>
      </w:pPr>
      <w:r>
        <w:rPr/>
        <w:t xml:space="preserve">Diverse Industries include the following: fiberglass products, sodium carbonate, sodium bicarbonate, sodium chloride, calcium chloride, silicates, aluminum sulfate, plastic containers, and machinery and equipment.  The majority of these activities relate closely to Vitro’s core operations in that they either support core operations or represent by-products of core operations.  In recognition of the breadth and complexity of the business unit’s operating activities, each operating unit is managed on a decentralized basis as a separate profit and loss center.  This segment contributed approximately 12% and 13% of Vitro’s 1999 sales and EBITDA, respectively.  </w:t>
      </w:r>
    </w:p>
    <w:p>
      <w:pPr>
        <w:pStyle w:val="Textbold"/>
        <w:rPr/>
      </w:pPr>
      <w:r>
        <w:rPr/>
        <w:t>Financial Results</w:t>
      </w:r>
    </w:p>
    <w:p>
      <w:pPr>
        <w:pStyle w:val="Spacer"/>
        <w:numPr>
          <w:ilvl w:val="0"/>
          <w:numId w:val="0"/>
        </w:numPr>
        <w:ind w:hanging="0" w:start="0"/>
        <w:rPr/>
      </w:pPr>
      <w:r>
        <w:rPr/>
      </w:r>
    </w:p>
    <w:tbl>
      <w:tblPr>
        <w:tblW w:w="9347" w:type="dxa"/>
        <w:jc w:val="start"/>
        <w:tblInd w:w="0" w:type="dxa"/>
        <w:tblLayout w:type="fixed"/>
        <w:tblCellMar>
          <w:top w:w="0" w:type="dxa"/>
          <w:start w:w="0" w:type="dxa"/>
          <w:bottom w:w="0" w:type="dxa"/>
          <w:end w:w="0" w:type="dxa"/>
        </w:tblCellMar>
      </w:tblPr>
      <w:tblGrid>
        <w:gridCol w:w="4133"/>
        <w:gridCol w:w="1738"/>
        <w:gridCol w:w="1738"/>
        <w:gridCol w:w="1738"/>
      </w:tblGrid>
      <w:tr>
        <w:trPr/>
        <w:tc>
          <w:tcPr>
            <w:tcW w:w="4133" w:type="dxa"/>
            <w:tcBorders>
              <w:bottom w:val="single" w:sz="6" w:space="0" w:color="000000"/>
            </w:tcBorders>
          </w:tcPr>
          <w:p>
            <w:pPr>
              <w:pStyle w:val="Normal"/>
              <w:keepNext w:val="true"/>
              <w:keepLines/>
              <w:numPr>
                <w:ilvl w:val="0"/>
                <w:numId w:val="0"/>
              </w:numPr>
              <w:spacing w:before="60" w:after="60"/>
              <w:ind w:hanging="0" w:start="0"/>
              <w:rPr>
                <w:b/>
                <w:sz w:val="20"/>
              </w:rPr>
            </w:pPr>
            <w:r>
              <w:rPr>
                <w:b/>
                <w:sz w:val="20"/>
              </w:rPr>
              <w:t xml:space="preserve">Consolidated Financial Summary </w:t>
              <w:br/>
              <w:t>(millions of constant Mexican pesos)</w:t>
            </w:r>
            <w:r>
              <w:rPr>
                <w:b/>
                <w:sz w:val="20"/>
                <w:vertAlign w:val="superscript"/>
              </w:rPr>
              <w:t>(a)</w:t>
            </w:r>
          </w:p>
        </w:tc>
        <w:tc>
          <w:tcPr>
            <w:tcW w:w="1738" w:type="dxa"/>
            <w:tcBorders>
              <w:bottom w:val="single" w:sz="6" w:space="0" w:color="000000"/>
            </w:tcBorders>
          </w:tcPr>
          <w:p>
            <w:pPr>
              <w:pStyle w:val="Normal"/>
              <w:keepNext w:val="true"/>
              <w:keepLines/>
              <w:numPr>
                <w:ilvl w:val="0"/>
                <w:numId w:val="0"/>
              </w:numPr>
              <w:spacing w:before="60" w:after="60"/>
              <w:ind w:hanging="0" w:start="0"/>
              <w:jc w:val="center"/>
              <w:rPr>
                <w:b/>
                <w:sz w:val="20"/>
              </w:rPr>
            </w:pPr>
            <w:r>
              <w:rPr>
                <w:b/>
                <w:sz w:val="20"/>
              </w:rPr>
              <w:br/>
              <w:t>1999</w:t>
            </w:r>
          </w:p>
        </w:tc>
        <w:tc>
          <w:tcPr>
            <w:tcW w:w="1738" w:type="dxa"/>
            <w:tcBorders>
              <w:bottom w:val="single" w:sz="6" w:space="0" w:color="000000"/>
            </w:tcBorders>
          </w:tcPr>
          <w:p>
            <w:pPr>
              <w:pStyle w:val="Normal"/>
              <w:keepNext w:val="true"/>
              <w:keepLines/>
              <w:numPr>
                <w:ilvl w:val="0"/>
                <w:numId w:val="0"/>
              </w:numPr>
              <w:spacing w:before="60" w:after="60"/>
              <w:ind w:hanging="0" w:start="0"/>
              <w:jc w:val="center"/>
              <w:rPr>
                <w:b/>
                <w:sz w:val="20"/>
              </w:rPr>
            </w:pPr>
            <w:r>
              <w:rPr>
                <w:b/>
                <w:sz w:val="20"/>
              </w:rPr>
              <w:br/>
              <w:t>1998</w:t>
            </w:r>
          </w:p>
        </w:tc>
        <w:tc>
          <w:tcPr>
            <w:tcW w:w="1738" w:type="dxa"/>
            <w:tcBorders>
              <w:bottom w:val="single" w:sz="6" w:space="0" w:color="000000"/>
            </w:tcBorders>
          </w:tcPr>
          <w:p>
            <w:pPr>
              <w:pStyle w:val="Normal"/>
              <w:keepNext w:val="true"/>
              <w:keepLines/>
              <w:numPr>
                <w:ilvl w:val="0"/>
                <w:numId w:val="0"/>
              </w:numPr>
              <w:spacing w:before="60" w:after="60"/>
              <w:ind w:hanging="0" w:start="0"/>
              <w:jc w:val="center"/>
              <w:rPr>
                <w:b/>
                <w:sz w:val="20"/>
              </w:rPr>
            </w:pPr>
            <w:r>
              <w:rPr>
                <w:b/>
                <w:sz w:val="20"/>
              </w:rPr>
              <w:br/>
              <w:t>1997</w:t>
            </w:r>
          </w:p>
        </w:tc>
      </w:tr>
      <w:tr>
        <w:trPr/>
        <w:tc>
          <w:tcPr>
            <w:tcW w:w="4133" w:type="dxa"/>
            <w:tcBorders/>
          </w:tcPr>
          <w:p>
            <w:pPr>
              <w:pStyle w:val="Normal"/>
              <w:keepNext w:val="true"/>
              <w:keepLines/>
              <w:numPr>
                <w:ilvl w:val="0"/>
                <w:numId w:val="0"/>
              </w:numPr>
              <w:spacing w:before="120" w:after="0"/>
              <w:ind w:hanging="0" w:start="0"/>
              <w:rPr/>
            </w:pPr>
            <w:r>
              <w:rPr/>
              <w:t>Revenue</w:t>
            </w:r>
          </w:p>
        </w:tc>
        <w:tc>
          <w:tcPr>
            <w:tcW w:w="1738" w:type="dxa"/>
            <w:tcBorders/>
          </w:tcPr>
          <w:p>
            <w:pPr>
              <w:pStyle w:val="Normal"/>
              <w:keepNext w:val="true"/>
              <w:keepLines/>
              <w:numPr>
                <w:ilvl w:val="0"/>
                <w:numId w:val="0"/>
              </w:numPr>
              <w:tabs>
                <w:tab w:val="clear" w:pos="720"/>
                <w:tab w:val="decimal" w:pos="1179" w:leader="none"/>
              </w:tabs>
              <w:spacing w:before="120" w:after="0"/>
              <w:ind w:hanging="0" w:start="439" w:end="439"/>
              <w:rPr/>
            </w:pPr>
            <w:r>
              <w:rPr/>
              <w:t>25,879</w:t>
            </w:r>
          </w:p>
        </w:tc>
        <w:tc>
          <w:tcPr>
            <w:tcW w:w="1738" w:type="dxa"/>
            <w:tcBorders/>
          </w:tcPr>
          <w:p>
            <w:pPr>
              <w:pStyle w:val="Normal"/>
              <w:keepNext w:val="true"/>
              <w:keepLines/>
              <w:numPr>
                <w:ilvl w:val="0"/>
                <w:numId w:val="0"/>
              </w:numPr>
              <w:tabs>
                <w:tab w:val="clear" w:pos="720"/>
                <w:tab w:val="decimal" w:pos="1179" w:leader="none"/>
              </w:tabs>
              <w:spacing w:before="120" w:after="0"/>
              <w:ind w:hanging="0" w:start="439" w:end="439"/>
              <w:rPr/>
            </w:pPr>
            <w:r>
              <w:rPr/>
              <w:t>26,958</w:t>
            </w:r>
          </w:p>
        </w:tc>
        <w:tc>
          <w:tcPr>
            <w:tcW w:w="1738" w:type="dxa"/>
            <w:tcBorders/>
          </w:tcPr>
          <w:p>
            <w:pPr>
              <w:pStyle w:val="Normal"/>
              <w:keepNext w:val="true"/>
              <w:keepLines/>
              <w:numPr>
                <w:ilvl w:val="0"/>
                <w:numId w:val="0"/>
              </w:numPr>
              <w:tabs>
                <w:tab w:val="clear" w:pos="720"/>
                <w:tab w:val="decimal" w:pos="1179" w:leader="none"/>
              </w:tabs>
              <w:spacing w:before="120" w:after="0"/>
              <w:ind w:hanging="0" w:start="439" w:end="439"/>
              <w:rPr/>
            </w:pPr>
            <w:r>
              <w:rPr/>
              <w:t>26,570</w:t>
            </w:r>
          </w:p>
        </w:tc>
      </w:tr>
      <w:tr>
        <w:trPr/>
        <w:tc>
          <w:tcPr>
            <w:tcW w:w="4133" w:type="dxa"/>
            <w:tcBorders/>
          </w:tcPr>
          <w:p>
            <w:pPr>
              <w:pStyle w:val="Normal"/>
              <w:keepNext w:val="true"/>
              <w:keepLines/>
              <w:numPr>
                <w:ilvl w:val="0"/>
                <w:numId w:val="0"/>
              </w:numPr>
              <w:ind w:hanging="0" w:start="0"/>
              <w:rPr/>
            </w:pPr>
            <w:r>
              <w:rPr/>
              <w:t>EBITDA</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5,750</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6,414</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6,225</w:t>
            </w:r>
          </w:p>
        </w:tc>
      </w:tr>
      <w:tr>
        <w:trPr/>
        <w:tc>
          <w:tcPr>
            <w:tcW w:w="4133" w:type="dxa"/>
            <w:tcBorders/>
          </w:tcPr>
          <w:p>
            <w:pPr>
              <w:pStyle w:val="Normal"/>
              <w:keepNext w:val="true"/>
              <w:keepLines/>
              <w:numPr>
                <w:ilvl w:val="0"/>
                <w:numId w:val="0"/>
              </w:numPr>
              <w:ind w:hanging="0" w:start="0"/>
              <w:rPr/>
            </w:pPr>
            <w:r>
              <w:rPr/>
              <w:t>Total Assets</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31,283</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34,114</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N/A</w:t>
            </w:r>
          </w:p>
        </w:tc>
      </w:tr>
      <w:tr>
        <w:trPr/>
        <w:tc>
          <w:tcPr>
            <w:tcW w:w="4133" w:type="dxa"/>
            <w:tcBorders/>
          </w:tcPr>
          <w:p>
            <w:pPr>
              <w:pStyle w:val="Normal"/>
              <w:keepNext w:val="true"/>
              <w:keepLines/>
              <w:numPr>
                <w:ilvl w:val="0"/>
                <w:numId w:val="0"/>
              </w:numPr>
              <w:ind w:hanging="0" w:start="0"/>
              <w:rPr/>
            </w:pPr>
            <w:r>
              <w:rPr/>
              <w:t>Total Equity</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11,232</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11,839</w:t>
            </w:r>
          </w:p>
        </w:tc>
        <w:tc>
          <w:tcPr>
            <w:tcW w:w="1738" w:type="dxa"/>
            <w:tcBorders/>
          </w:tcPr>
          <w:p>
            <w:pPr>
              <w:pStyle w:val="Normal"/>
              <w:keepNext w:val="true"/>
              <w:keepLines/>
              <w:numPr>
                <w:ilvl w:val="0"/>
                <w:numId w:val="0"/>
              </w:numPr>
              <w:tabs>
                <w:tab w:val="clear" w:pos="720"/>
                <w:tab w:val="decimal" w:pos="1179" w:leader="none"/>
              </w:tabs>
              <w:ind w:hanging="0" w:start="439" w:end="439"/>
              <w:rPr/>
            </w:pPr>
            <w:r>
              <w:rPr/>
              <w:t>N/A</w:t>
            </w:r>
          </w:p>
        </w:tc>
      </w:tr>
      <w:tr>
        <w:trPr/>
        <w:tc>
          <w:tcPr>
            <w:tcW w:w="4133" w:type="dxa"/>
            <w:tcBorders/>
          </w:tcPr>
          <w:p>
            <w:pPr>
              <w:pStyle w:val="Normal"/>
              <w:keepNext w:val="true"/>
              <w:keepLines/>
              <w:numPr>
                <w:ilvl w:val="0"/>
                <w:numId w:val="0"/>
              </w:numPr>
              <w:ind w:hanging="0" w:start="0"/>
              <w:rPr/>
            </w:pPr>
            <w:r>
              <w:rPr/>
              <w:t>EBITDA/Interest</w:t>
            </w:r>
          </w:p>
        </w:tc>
        <w:tc>
          <w:tcPr>
            <w:tcW w:w="1738" w:type="dxa"/>
            <w:tcBorders/>
          </w:tcPr>
          <w:p>
            <w:pPr>
              <w:pStyle w:val="Normal"/>
              <w:keepNext w:val="true"/>
              <w:keepLines/>
              <w:numPr>
                <w:ilvl w:val="0"/>
                <w:numId w:val="0"/>
              </w:numPr>
              <w:tabs>
                <w:tab w:val="clear" w:pos="720"/>
                <w:tab w:val="decimal" w:pos="899" w:leader="none"/>
              </w:tabs>
              <w:ind w:hanging="0" w:start="439" w:end="439"/>
              <w:rPr/>
            </w:pPr>
            <w:r>
              <w:rPr/>
              <w:t>2.58x</w:t>
            </w:r>
          </w:p>
        </w:tc>
        <w:tc>
          <w:tcPr>
            <w:tcW w:w="1738" w:type="dxa"/>
            <w:tcBorders/>
          </w:tcPr>
          <w:p>
            <w:pPr>
              <w:pStyle w:val="Normal"/>
              <w:keepNext w:val="true"/>
              <w:keepLines/>
              <w:numPr>
                <w:ilvl w:val="0"/>
                <w:numId w:val="0"/>
              </w:numPr>
              <w:tabs>
                <w:tab w:val="clear" w:pos="720"/>
                <w:tab w:val="decimal" w:pos="899" w:leader="none"/>
              </w:tabs>
              <w:ind w:hanging="0" w:start="439" w:end="439"/>
              <w:rPr/>
            </w:pPr>
            <w:r>
              <w:rPr/>
              <w:t>2.66x</w:t>
            </w:r>
          </w:p>
        </w:tc>
        <w:tc>
          <w:tcPr>
            <w:tcW w:w="1738" w:type="dxa"/>
            <w:tcBorders/>
          </w:tcPr>
          <w:p>
            <w:pPr>
              <w:pStyle w:val="Normal"/>
              <w:keepNext w:val="true"/>
              <w:keepLines/>
              <w:numPr>
                <w:ilvl w:val="0"/>
                <w:numId w:val="0"/>
              </w:numPr>
              <w:tabs>
                <w:tab w:val="clear" w:pos="720"/>
                <w:tab w:val="decimal" w:pos="899" w:leader="none"/>
              </w:tabs>
              <w:ind w:hanging="0" w:start="439" w:end="439"/>
              <w:rPr/>
            </w:pPr>
            <w:r>
              <w:rPr/>
              <w:t>1.85x</w:t>
            </w:r>
          </w:p>
        </w:tc>
      </w:tr>
      <w:tr>
        <w:trPr/>
        <w:tc>
          <w:tcPr>
            <w:tcW w:w="4133" w:type="dxa"/>
            <w:tcBorders>
              <w:bottom w:val="single" w:sz="4" w:space="0" w:color="000000"/>
            </w:tcBorders>
          </w:tcPr>
          <w:p>
            <w:pPr>
              <w:pStyle w:val="Normal"/>
              <w:keepNext w:val="true"/>
              <w:keepLines/>
              <w:numPr>
                <w:ilvl w:val="0"/>
                <w:numId w:val="0"/>
              </w:numPr>
              <w:ind w:hanging="0" w:start="0"/>
              <w:rPr/>
            </w:pPr>
            <w:r>
              <w:rPr/>
              <w:t>Total debt/EBITDA</w:t>
            </w:r>
          </w:p>
        </w:tc>
        <w:tc>
          <w:tcPr>
            <w:tcW w:w="1738" w:type="dxa"/>
            <w:tcBorders>
              <w:bottom w:val="single" w:sz="4" w:space="0" w:color="000000"/>
            </w:tcBorders>
          </w:tcPr>
          <w:p>
            <w:pPr>
              <w:pStyle w:val="Normal"/>
              <w:keepNext w:val="true"/>
              <w:keepLines/>
              <w:numPr>
                <w:ilvl w:val="0"/>
                <w:numId w:val="0"/>
              </w:numPr>
              <w:tabs>
                <w:tab w:val="clear" w:pos="720"/>
                <w:tab w:val="decimal" w:pos="899" w:leader="none"/>
              </w:tabs>
              <w:ind w:hanging="0" w:start="439" w:end="439"/>
              <w:rPr/>
            </w:pPr>
            <w:r>
              <w:rPr/>
              <w:t>2.62x</w:t>
            </w:r>
          </w:p>
        </w:tc>
        <w:tc>
          <w:tcPr>
            <w:tcW w:w="1738" w:type="dxa"/>
            <w:tcBorders>
              <w:bottom w:val="single" w:sz="4" w:space="0" w:color="000000"/>
            </w:tcBorders>
          </w:tcPr>
          <w:p>
            <w:pPr>
              <w:pStyle w:val="Normal"/>
              <w:keepNext w:val="true"/>
              <w:keepLines/>
              <w:numPr>
                <w:ilvl w:val="0"/>
                <w:numId w:val="0"/>
              </w:numPr>
              <w:tabs>
                <w:tab w:val="clear" w:pos="720"/>
                <w:tab w:val="decimal" w:pos="899" w:leader="none"/>
              </w:tabs>
              <w:ind w:hanging="0" w:start="439" w:end="439"/>
              <w:rPr/>
            </w:pPr>
            <w:r>
              <w:rPr/>
              <w:t>2.70x</w:t>
            </w:r>
          </w:p>
        </w:tc>
        <w:tc>
          <w:tcPr>
            <w:tcW w:w="1738" w:type="dxa"/>
            <w:tcBorders>
              <w:bottom w:val="single" w:sz="4" w:space="0" w:color="000000"/>
            </w:tcBorders>
          </w:tcPr>
          <w:p>
            <w:pPr>
              <w:pStyle w:val="Normal"/>
              <w:keepNext w:val="true"/>
              <w:keepLines/>
              <w:numPr>
                <w:ilvl w:val="0"/>
                <w:numId w:val="0"/>
              </w:numPr>
              <w:tabs>
                <w:tab w:val="clear" w:pos="720"/>
                <w:tab w:val="decimal" w:pos="1179" w:leader="none"/>
              </w:tabs>
              <w:ind w:hanging="0" w:start="439" w:end="439"/>
              <w:rPr/>
            </w:pPr>
            <w:r>
              <w:rPr/>
              <w:t>N/A</w:t>
            </w:r>
          </w:p>
        </w:tc>
      </w:tr>
    </w:tbl>
    <w:p>
      <w:pPr>
        <w:pStyle w:val="Spacerhalf"/>
        <w:keepNext w:val="true"/>
        <w:rPr/>
      </w:pPr>
      <w:r>
        <w:rPr/>
      </w:r>
    </w:p>
    <w:p>
      <w:pPr>
        <w:pStyle w:val="TableFootnote"/>
        <w:keepNext w:val="true"/>
        <w:keepLines/>
        <w:numPr>
          <w:ilvl w:val="0"/>
          <w:numId w:val="0"/>
        </w:numPr>
        <w:ind w:hanging="360" w:start="360" w:end="0"/>
        <w:rPr/>
      </w:pPr>
      <w:r>
        <w:rPr/>
        <w:t>(a)</w:t>
        <w:tab/>
        <w:t>Ps/US$ exchange rates at December 31, 1999, 1998 and 1997 were Ps9.498/US$, Ps9.897/US$, and Ps8.055/US$ respectively.</w:t>
      </w:r>
    </w:p>
    <w:p>
      <w:pPr>
        <w:pStyle w:val="Spacerhalf"/>
        <w:rPr/>
      </w:pPr>
      <w:r>
        <w:rPr/>
      </w:r>
    </w:p>
    <w:p>
      <w:pPr>
        <w:pStyle w:val="Textbold"/>
        <w:rPr/>
      </w:pPr>
      <w:r>
        <w:rPr/>
        <w:t>Vitro Restructuring</w:t>
      </w:r>
    </w:p>
    <w:p>
      <w:pPr>
        <w:pStyle w:val="WW-Text"/>
        <w:rPr/>
      </w:pPr>
      <w:r>
        <w:rPr/>
        <w:t>In September 1999, Vitro management announced a series of restructuring steps aimed at reducing debt, cutting costs, and adapting its glass container business to an increasingly challenging market.  The company has set a target of raising US$150 million in free cash flow by December 2000 to be used to reduce debt or invest in growth businesses.  The plan includes cutting SG&amp;A expenses by US$30 million, divesting some non-core businesses, and decreasing working capital and capital expenditures.</w:t>
      </w:r>
    </w:p>
    <w:p>
      <w:pPr>
        <w:pStyle w:val="Textboldbreak"/>
        <w:rPr/>
      </w:pPr>
      <w:r>
        <w:rPr/>
        <w:t xml:space="preserve">4. </w:t>
        <w:tab/>
        <w:t>Petróleos Mexicanos (Pemex)</w:t>
      </w:r>
    </w:p>
    <w:p>
      <w:pPr>
        <w:pStyle w:val="Textbold"/>
        <w:rPr/>
      </w:pPr>
      <w:r>
        <w:rPr/>
        <w:t>Company Description</w:t>
      </w:r>
    </w:p>
    <w:p>
      <w:pPr>
        <w:pStyle w:val="WW-Text"/>
        <w:rPr/>
      </w:pPr>
      <w:r>
        <w:rPr/>
        <w:t>Petróleos Mexicanos (“Pemex”) is the largest company in Mexico and one of the largest in the world.  Since 1938, Mexican federal laws and regulations have entrusted Pemex with the central planning and management of Mexico’s petroleum industry.  The operating functions of Pemex are carried out by the four subsidiary entities: Pemex-Exploración y Producción (“Pemex-Exploration and Production”), Pemex-Refinación (“Pemex-Refining”), Pemex-Gas y Petroquímica Básica (“Pemex-Gas and Basic Petrochemicals”), and Pemex-Petroquímica (“Pemex-Petrochemicals”).  Like Pemex, the subsidiary entities are decentralized public entities of the Government of Mexico.</w:t>
      </w:r>
    </w:p>
    <w:p>
      <w:pPr>
        <w:pStyle w:val="Textbold"/>
        <w:rPr/>
      </w:pPr>
      <w:r>
        <w:rPr/>
        <w:t>Exploration and Production</w:t>
      </w:r>
    </w:p>
    <w:p>
      <w:pPr>
        <w:pStyle w:val="WW-Text"/>
        <w:rPr/>
      </w:pPr>
      <w:r>
        <w:rPr/>
        <w:t>Pemex-Exploration and Production explores for and produces crude oil and natural gas, primarily in the northeastern and southeastern regions of Mexico and offshore in the Gulf of Mexico.  Measured in dollars, Pemex increased its capital investment in exploration and production activities by 29.5% in 1998 by financing an array of programs to expand production capacity and efficiency.  As a result of its investments in previous years, last year Pemex’s total hydrocarbon production reached a record level of approximately 4.24 million barrels of oil equivalent per day.  Pemex’s crude oil production increased by 1.6% from 1997 to 1998, averaging 3,070 thousand barrels per day in 1998.  Pemex-Exploration and Production’s natural gas production (excluding natural gas liquids) increased by 7.25% from 1997 to 1998, averaging 4,791 million cubic feet per day in 1998.</w:t>
      </w:r>
    </w:p>
    <w:p>
      <w:pPr>
        <w:pStyle w:val="Textbold"/>
        <w:rPr/>
      </w:pPr>
      <w:r>
        <w:rPr/>
        <w:t>Refining</w:t>
      </w:r>
    </w:p>
    <w:p>
      <w:pPr>
        <w:pStyle w:val="WW-Text"/>
        <w:rPr>
          <w:b/>
        </w:rPr>
      </w:pPr>
      <w:r>
        <w:rPr/>
        <w:t xml:space="preserve">Pemex-Refining converts crude oil into gasoline, jet fuel, diesel, fuel oil, asphalt and lubricants.  It also distributes and markets most of these products throughout Mexico, where it experiences a significant demand for its refined products.  Pemex-Refining’s atmospheric distillation refining capacity was approximately 1.3 million barrels per day in 1999.  Production of refined products totaled 1.5 million barrels per day in 1999.  </w:t>
      </w:r>
    </w:p>
    <w:p>
      <w:pPr>
        <w:pStyle w:val="Textbold"/>
        <w:rPr/>
      </w:pPr>
      <w:r>
        <w:rPr/>
        <w:t>Gas and Basic Petrochemicals</w:t>
      </w:r>
    </w:p>
    <w:p>
      <w:pPr>
        <w:pStyle w:val="WW-Text"/>
        <w:rPr/>
      </w:pPr>
      <w:r>
        <w:rPr/>
        <w:t>Pemex-Gas and Basic Petrochemicals processes natural gas liquids, transports, distributes and sells natural gas and liquefied petroleum gas throughout Mexico and produces and sells several basic petrochemical feedstocks.  Pemex-Gas and Basic Petrochemicals’ total sour natural gas processing capacity was approximately 3,753 million cubic feet per day during 1998, as compared to 3,553 million cubic feet per day during 1997.  Pemex-Gas and Basic Petrochemicals produced 440 thousand barrels per day of natural gas liquids in 1998, a 10% increase from 1997 natural gas liquid production of 400 thousand barrels per day.  PGPB is the supplier of natural gas under the Fuel Supply Agreement.</w:t>
      </w:r>
    </w:p>
    <w:p>
      <w:pPr>
        <w:pStyle w:val="Textbold"/>
        <w:rPr/>
      </w:pPr>
      <w:r>
        <w:rPr/>
        <w:t>Petrochemicals</w:t>
      </w:r>
    </w:p>
    <w:p>
      <w:pPr>
        <w:pStyle w:val="WW-Text"/>
        <w:rPr/>
      </w:pPr>
      <w:r>
        <w:rPr/>
        <w:t>Pemex-Petrochemicals manufactures 55 different petrochemical products, including: (1) methane and its derivatives, (2) ethane and its derivatives, such as ammonia, methanol and polyethylenes, as well as other olefins, (3) aromatics and their derivatives and (4) polypropylene and its derivatives.  Pemex-Petrochemicals’ total annual petrochemical production (excluding ethane and butane gases) decreased by 8.3% in 1998, from 15,980 thousand tonnes in 1997 to 14,656 thousand tonnes in 1998.  To develop the petrochemical sector, the Mexican Government has pursued a private sector participation strategy to achieve 49% private ownership of the individual manufacturing assets of Pemex-Petrochemicals.  Currently, however, the Ministry of Energy and Pemex are reevaluating this strategy for introducing private sector participation in non-basic petrochemical operations of Pemex.</w:t>
      </w:r>
    </w:p>
    <w:p>
      <w:pPr>
        <w:pStyle w:val="Textbold"/>
        <w:rPr/>
      </w:pPr>
      <w:r>
        <w:rPr/>
        <w:t>International Trading</w:t>
      </w:r>
    </w:p>
    <w:p>
      <w:pPr>
        <w:pStyle w:val="WW-Text"/>
        <w:rPr/>
      </w:pPr>
      <w:r>
        <w:rPr/>
        <w:t>PMI, P.M.I. Trading Ltd. (“PMI Group”), and their affiliates provide Pemex and a number of independent customers with international trading, distribution and related services.  PMI Group also provides related risk management, insurance, transportation and storage services to Pemex.  The PMI Group has offices in Mexico City, Houston and London.  The PMI Group’s trading volume of sales and imports totaled US$9.4 billion in 1998, including US$6.4 billion in crude oil sales.</w:t>
      </w:r>
    </w:p>
    <w:p>
      <w:pPr>
        <w:pStyle w:val="Textbold"/>
        <w:rPr/>
      </w:pPr>
      <w:r>
        <w:rPr/>
        <w:t>Financial Results</w:t>
      </w:r>
    </w:p>
    <w:p>
      <w:pPr>
        <w:pStyle w:val="Spacer"/>
        <w:rPr/>
      </w:pPr>
      <w:r>
        <w:rPr/>
      </w:r>
    </w:p>
    <w:tbl>
      <w:tblPr>
        <w:tblW w:w="9347" w:type="dxa"/>
        <w:jc w:val="start"/>
        <w:tblInd w:w="0" w:type="dxa"/>
        <w:tblLayout w:type="fixed"/>
        <w:tblCellMar>
          <w:top w:w="0" w:type="dxa"/>
          <w:start w:w="0" w:type="dxa"/>
          <w:bottom w:w="0" w:type="dxa"/>
          <w:end w:w="0" w:type="dxa"/>
        </w:tblCellMar>
      </w:tblPr>
      <w:tblGrid>
        <w:gridCol w:w="4133"/>
        <w:gridCol w:w="1738"/>
        <w:gridCol w:w="1738"/>
        <w:gridCol w:w="1738"/>
      </w:tblGrid>
      <w:tr>
        <w:trPr/>
        <w:tc>
          <w:tcPr>
            <w:tcW w:w="4133" w:type="dxa"/>
            <w:tcBorders>
              <w:bottom w:val="single" w:sz="6" w:space="0" w:color="000000"/>
            </w:tcBorders>
          </w:tcPr>
          <w:p>
            <w:pPr>
              <w:pStyle w:val="Normal"/>
              <w:keepNext w:val="true"/>
              <w:keepLines/>
              <w:numPr>
                <w:ilvl w:val="0"/>
                <w:numId w:val="0"/>
              </w:numPr>
              <w:spacing w:before="60" w:after="60"/>
              <w:ind w:hanging="0" w:start="0"/>
              <w:rPr>
                <w:b/>
                <w:sz w:val="20"/>
              </w:rPr>
            </w:pPr>
            <w:r>
              <w:rPr>
                <w:b/>
                <w:sz w:val="20"/>
              </w:rPr>
              <w:t>Unaudited Consolidated Financial Summary (millions of constant Mexican pesos)</w:t>
            </w:r>
            <w:r>
              <w:rPr>
                <w:b/>
                <w:sz w:val="20"/>
                <w:vertAlign w:val="superscript"/>
              </w:rPr>
              <w:t>(a)</w:t>
            </w:r>
          </w:p>
        </w:tc>
        <w:tc>
          <w:tcPr>
            <w:tcW w:w="1738" w:type="dxa"/>
            <w:tcBorders>
              <w:bottom w:val="single" w:sz="6" w:space="0" w:color="000000"/>
            </w:tcBorders>
          </w:tcPr>
          <w:p>
            <w:pPr>
              <w:pStyle w:val="Normal"/>
              <w:keepNext w:val="true"/>
              <w:keepLines/>
              <w:numPr>
                <w:ilvl w:val="0"/>
                <w:numId w:val="0"/>
              </w:numPr>
              <w:spacing w:before="60" w:after="60"/>
              <w:ind w:hanging="0" w:start="0"/>
              <w:jc w:val="center"/>
              <w:rPr>
                <w:b/>
                <w:sz w:val="20"/>
              </w:rPr>
            </w:pPr>
            <w:r>
              <w:rPr>
                <w:b/>
                <w:sz w:val="20"/>
              </w:rPr>
              <w:br/>
              <w:t>1999</w:t>
            </w:r>
          </w:p>
        </w:tc>
        <w:tc>
          <w:tcPr>
            <w:tcW w:w="1738" w:type="dxa"/>
            <w:tcBorders>
              <w:bottom w:val="single" w:sz="6" w:space="0" w:color="000000"/>
            </w:tcBorders>
          </w:tcPr>
          <w:p>
            <w:pPr>
              <w:pStyle w:val="Normal"/>
              <w:keepNext w:val="true"/>
              <w:keepLines/>
              <w:numPr>
                <w:ilvl w:val="0"/>
                <w:numId w:val="0"/>
              </w:numPr>
              <w:spacing w:before="60" w:after="60"/>
              <w:ind w:hanging="0" w:start="0"/>
              <w:jc w:val="center"/>
              <w:rPr>
                <w:b/>
                <w:sz w:val="20"/>
              </w:rPr>
            </w:pPr>
            <w:r>
              <w:rPr>
                <w:b/>
                <w:sz w:val="20"/>
              </w:rPr>
              <w:br/>
              <w:t>1998</w:t>
            </w:r>
          </w:p>
        </w:tc>
        <w:tc>
          <w:tcPr>
            <w:tcW w:w="1738" w:type="dxa"/>
            <w:tcBorders>
              <w:bottom w:val="single" w:sz="6" w:space="0" w:color="000000"/>
            </w:tcBorders>
          </w:tcPr>
          <w:p>
            <w:pPr>
              <w:pStyle w:val="Normal"/>
              <w:keepNext w:val="true"/>
              <w:keepLines/>
              <w:numPr>
                <w:ilvl w:val="0"/>
                <w:numId w:val="0"/>
              </w:numPr>
              <w:spacing w:before="60" w:after="60"/>
              <w:ind w:hanging="0" w:start="0"/>
              <w:jc w:val="center"/>
              <w:rPr>
                <w:b/>
                <w:sz w:val="20"/>
              </w:rPr>
            </w:pPr>
            <w:r>
              <w:rPr>
                <w:b/>
                <w:sz w:val="20"/>
              </w:rPr>
              <w:br/>
              <w:t>1997</w:t>
            </w:r>
          </w:p>
        </w:tc>
      </w:tr>
      <w:tr>
        <w:trPr/>
        <w:tc>
          <w:tcPr>
            <w:tcW w:w="4133" w:type="dxa"/>
            <w:tcBorders/>
          </w:tcPr>
          <w:p>
            <w:pPr>
              <w:pStyle w:val="Normal"/>
              <w:keepNext w:val="true"/>
              <w:keepLines/>
              <w:numPr>
                <w:ilvl w:val="0"/>
                <w:numId w:val="0"/>
              </w:numPr>
              <w:spacing w:before="120" w:after="0"/>
              <w:ind w:hanging="0" w:start="0"/>
              <w:rPr/>
            </w:pPr>
            <w:r>
              <w:rPr/>
              <w:t>Total Revenue</w:t>
            </w:r>
          </w:p>
        </w:tc>
        <w:tc>
          <w:tcPr>
            <w:tcW w:w="1738" w:type="dxa"/>
            <w:tcBorders/>
          </w:tcPr>
          <w:p>
            <w:pPr>
              <w:pStyle w:val="Normal"/>
              <w:keepNext w:val="true"/>
              <w:keepLines/>
              <w:numPr>
                <w:ilvl w:val="0"/>
                <w:numId w:val="0"/>
              </w:numPr>
              <w:tabs>
                <w:tab w:val="clear" w:pos="720"/>
                <w:tab w:val="decimal" w:pos="1267" w:leader="none"/>
              </w:tabs>
              <w:spacing w:before="120" w:after="0"/>
              <w:ind w:hanging="0" w:start="0"/>
              <w:rPr/>
            </w:pPr>
            <w:r>
              <w:rPr/>
              <w:t>344,979</w:t>
            </w:r>
          </w:p>
        </w:tc>
        <w:tc>
          <w:tcPr>
            <w:tcW w:w="1738" w:type="dxa"/>
            <w:tcBorders/>
          </w:tcPr>
          <w:p>
            <w:pPr>
              <w:pStyle w:val="Header"/>
              <w:keepNext w:val="true"/>
              <w:keepLines/>
              <w:numPr>
                <w:ilvl w:val="0"/>
                <w:numId w:val="0"/>
              </w:numPr>
              <w:tabs>
                <w:tab w:val="clear" w:pos="4320"/>
                <w:tab w:val="clear" w:pos="8640"/>
                <w:tab w:val="decimal" w:pos="1267" w:leader="none"/>
              </w:tabs>
              <w:spacing w:before="120" w:after="0"/>
              <w:ind w:hanging="0" w:start="0"/>
              <w:rPr/>
            </w:pPr>
            <w:r>
              <w:rPr/>
              <w:t>265,749</w:t>
            </w:r>
          </w:p>
        </w:tc>
        <w:tc>
          <w:tcPr>
            <w:tcW w:w="1738" w:type="dxa"/>
            <w:tcBorders/>
          </w:tcPr>
          <w:p>
            <w:pPr>
              <w:pStyle w:val="Normal"/>
              <w:keepNext w:val="true"/>
              <w:keepLines/>
              <w:numPr>
                <w:ilvl w:val="0"/>
                <w:numId w:val="0"/>
              </w:numPr>
              <w:tabs>
                <w:tab w:val="clear" w:pos="720"/>
                <w:tab w:val="decimal" w:pos="1267" w:leader="none"/>
              </w:tabs>
              <w:spacing w:before="120" w:after="0"/>
              <w:ind w:hanging="0" w:start="0"/>
              <w:rPr/>
            </w:pPr>
            <w:r>
              <w:rPr/>
              <w:t>269,507</w:t>
            </w:r>
          </w:p>
        </w:tc>
      </w:tr>
      <w:tr>
        <w:trPr/>
        <w:tc>
          <w:tcPr>
            <w:tcW w:w="4133" w:type="dxa"/>
            <w:tcBorders/>
          </w:tcPr>
          <w:p>
            <w:pPr>
              <w:pStyle w:val="Normal"/>
              <w:keepNext w:val="true"/>
              <w:keepLines/>
              <w:numPr>
                <w:ilvl w:val="0"/>
                <w:numId w:val="0"/>
              </w:numPr>
              <w:ind w:hanging="0" w:start="0"/>
              <w:rPr/>
            </w:pPr>
            <w:r>
              <w:rPr/>
              <w:t>EBITDA</w:t>
            </w:r>
          </w:p>
        </w:tc>
        <w:tc>
          <w:tcPr>
            <w:tcW w:w="1738" w:type="dxa"/>
            <w:tcBorders/>
          </w:tcPr>
          <w:p>
            <w:pPr>
              <w:pStyle w:val="Normal"/>
              <w:keepNext w:val="true"/>
              <w:keepLines/>
              <w:numPr>
                <w:ilvl w:val="0"/>
                <w:numId w:val="0"/>
              </w:numPr>
              <w:tabs>
                <w:tab w:val="clear" w:pos="720"/>
                <w:tab w:val="decimal" w:pos="1267" w:leader="none"/>
              </w:tabs>
              <w:ind w:hanging="0" w:start="0"/>
              <w:rPr/>
            </w:pPr>
            <w:r>
              <w:rPr/>
              <w:t>75,672</w:t>
            </w:r>
          </w:p>
        </w:tc>
        <w:tc>
          <w:tcPr>
            <w:tcW w:w="1738" w:type="dxa"/>
            <w:tcBorders/>
          </w:tcPr>
          <w:p>
            <w:pPr>
              <w:pStyle w:val="Normal"/>
              <w:keepNext w:val="true"/>
              <w:keepLines/>
              <w:numPr>
                <w:ilvl w:val="0"/>
                <w:numId w:val="0"/>
              </w:numPr>
              <w:tabs>
                <w:tab w:val="clear" w:pos="720"/>
                <w:tab w:val="decimal" w:pos="1267" w:leader="none"/>
              </w:tabs>
              <w:ind w:hanging="0" w:start="0"/>
              <w:rPr/>
            </w:pPr>
            <w:r>
              <w:rPr/>
              <w:t>58,611</w:t>
            </w:r>
          </w:p>
        </w:tc>
        <w:tc>
          <w:tcPr>
            <w:tcW w:w="1738" w:type="dxa"/>
            <w:tcBorders/>
          </w:tcPr>
          <w:p>
            <w:pPr>
              <w:pStyle w:val="Normal"/>
              <w:keepNext w:val="true"/>
              <w:keepLines/>
              <w:numPr>
                <w:ilvl w:val="0"/>
                <w:numId w:val="0"/>
              </w:numPr>
              <w:tabs>
                <w:tab w:val="clear" w:pos="720"/>
                <w:tab w:val="decimal" w:pos="1267" w:leader="none"/>
              </w:tabs>
              <w:ind w:hanging="0" w:start="0"/>
              <w:rPr/>
            </w:pPr>
            <w:r>
              <w:rPr/>
              <w:t>15,345</w:t>
            </w:r>
          </w:p>
        </w:tc>
      </w:tr>
      <w:tr>
        <w:trPr/>
        <w:tc>
          <w:tcPr>
            <w:tcW w:w="4133" w:type="dxa"/>
            <w:tcBorders/>
          </w:tcPr>
          <w:p>
            <w:pPr>
              <w:pStyle w:val="Normal"/>
              <w:keepNext w:val="true"/>
              <w:keepLines/>
              <w:numPr>
                <w:ilvl w:val="0"/>
                <w:numId w:val="0"/>
              </w:numPr>
              <w:ind w:hanging="0" w:start="0"/>
              <w:rPr/>
            </w:pPr>
            <w:r>
              <w:rPr/>
              <w:t>Total Assets</w:t>
            </w:r>
          </w:p>
        </w:tc>
        <w:tc>
          <w:tcPr>
            <w:tcW w:w="1738" w:type="dxa"/>
            <w:tcBorders/>
          </w:tcPr>
          <w:p>
            <w:pPr>
              <w:pStyle w:val="Normal"/>
              <w:keepNext w:val="true"/>
              <w:keepLines/>
              <w:numPr>
                <w:ilvl w:val="0"/>
                <w:numId w:val="0"/>
              </w:numPr>
              <w:tabs>
                <w:tab w:val="clear" w:pos="720"/>
                <w:tab w:val="decimal" w:pos="1267" w:leader="none"/>
              </w:tabs>
              <w:ind w:hanging="0" w:start="0"/>
              <w:rPr/>
            </w:pPr>
            <w:r>
              <w:rPr/>
              <w:t>490,046</w:t>
            </w:r>
          </w:p>
        </w:tc>
        <w:tc>
          <w:tcPr>
            <w:tcW w:w="1738" w:type="dxa"/>
            <w:tcBorders/>
          </w:tcPr>
          <w:p>
            <w:pPr>
              <w:pStyle w:val="Normal"/>
              <w:keepNext w:val="true"/>
              <w:keepLines/>
              <w:numPr>
                <w:ilvl w:val="0"/>
                <w:numId w:val="0"/>
              </w:numPr>
              <w:tabs>
                <w:tab w:val="clear" w:pos="720"/>
                <w:tab w:val="decimal" w:pos="1267" w:leader="none"/>
              </w:tabs>
              <w:ind w:hanging="0" w:start="0"/>
              <w:rPr/>
            </w:pPr>
            <w:r>
              <w:rPr/>
              <w:t>423,167</w:t>
            </w:r>
          </w:p>
        </w:tc>
        <w:tc>
          <w:tcPr>
            <w:tcW w:w="1738" w:type="dxa"/>
            <w:tcBorders/>
          </w:tcPr>
          <w:p>
            <w:pPr>
              <w:pStyle w:val="Normal"/>
              <w:keepNext w:val="true"/>
              <w:keepLines/>
              <w:numPr>
                <w:ilvl w:val="0"/>
                <w:numId w:val="0"/>
              </w:numPr>
              <w:tabs>
                <w:tab w:val="clear" w:pos="720"/>
                <w:tab w:val="decimal" w:pos="1267" w:leader="none"/>
              </w:tabs>
              <w:ind w:hanging="0" w:start="0"/>
              <w:rPr/>
            </w:pPr>
            <w:r>
              <w:rPr/>
              <w:t>376,706</w:t>
            </w:r>
          </w:p>
        </w:tc>
      </w:tr>
      <w:tr>
        <w:trPr/>
        <w:tc>
          <w:tcPr>
            <w:tcW w:w="4133" w:type="dxa"/>
            <w:tcBorders/>
          </w:tcPr>
          <w:p>
            <w:pPr>
              <w:pStyle w:val="Normal"/>
              <w:keepNext w:val="true"/>
              <w:keepLines/>
              <w:numPr>
                <w:ilvl w:val="0"/>
                <w:numId w:val="0"/>
              </w:numPr>
              <w:ind w:hanging="0" w:start="0"/>
              <w:rPr/>
            </w:pPr>
            <w:r>
              <w:rPr/>
              <w:t>Total Equity</w:t>
            </w:r>
          </w:p>
        </w:tc>
        <w:tc>
          <w:tcPr>
            <w:tcW w:w="1738" w:type="dxa"/>
            <w:tcBorders/>
          </w:tcPr>
          <w:p>
            <w:pPr>
              <w:pStyle w:val="Normal"/>
              <w:keepNext w:val="true"/>
              <w:keepLines/>
              <w:numPr>
                <w:ilvl w:val="0"/>
                <w:numId w:val="0"/>
              </w:numPr>
              <w:tabs>
                <w:tab w:val="clear" w:pos="720"/>
                <w:tab w:val="decimal" w:pos="1267" w:leader="none"/>
              </w:tabs>
              <w:ind w:hanging="0" w:start="0"/>
              <w:rPr/>
            </w:pPr>
            <w:r>
              <w:rPr/>
              <w:t>170,875</w:t>
            </w:r>
          </w:p>
        </w:tc>
        <w:tc>
          <w:tcPr>
            <w:tcW w:w="1738" w:type="dxa"/>
            <w:tcBorders/>
          </w:tcPr>
          <w:p>
            <w:pPr>
              <w:pStyle w:val="Normal"/>
              <w:keepNext w:val="true"/>
              <w:keepLines/>
              <w:numPr>
                <w:ilvl w:val="0"/>
                <w:numId w:val="0"/>
              </w:numPr>
              <w:tabs>
                <w:tab w:val="clear" w:pos="720"/>
                <w:tab w:val="decimal" w:pos="1267" w:leader="none"/>
              </w:tabs>
              <w:ind w:hanging="0" w:start="0"/>
              <w:rPr/>
            </w:pPr>
            <w:r>
              <w:rPr/>
              <w:t>173,615</w:t>
            </w:r>
          </w:p>
        </w:tc>
        <w:tc>
          <w:tcPr>
            <w:tcW w:w="1738" w:type="dxa"/>
            <w:tcBorders/>
          </w:tcPr>
          <w:p>
            <w:pPr>
              <w:pStyle w:val="Normal"/>
              <w:keepNext w:val="true"/>
              <w:keepLines/>
              <w:numPr>
                <w:ilvl w:val="0"/>
                <w:numId w:val="0"/>
              </w:numPr>
              <w:tabs>
                <w:tab w:val="clear" w:pos="720"/>
                <w:tab w:val="decimal" w:pos="1267" w:leader="none"/>
              </w:tabs>
              <w:ind w:hanging="0" w:start="0"/>
              <w:rPr/>
            </w:pPr>
            <w:r>
              <w:rPr/>
              <w:t>145,407</w:t>
            </w:r>
          </w:p>
        </w:tc>
      </w:tr>
      <w:tr>
        <w:trPr/>
        <w:tc>
          <w:tcPr>
            <w:tcW w:w="4133" w:type="dxa"/>
            <w:tcBorders/>
          </w:tcPr>
          <w:p>
            <w:pPr>
              <w:pStyle w:val="Normal"/>
              <w:keepNext w:val="true"/>
              <w:keepLines/>
              <w:numPr>
                <w:ilvl w:val="0"/>
                <w:numId w:val="0"/>
              </w:numPr>
              <w:ind w:hanging="0" w:start="0"/>
              <w:rPr/>
            </w:pPr>
            <w:r>
              <w:rPr/>
              <w:t>EBITDA/Interest</w:t>
            </w:r>
          </w:p>
        </w:tc>
        <w:tc>
          <w:tcPr>
            <w:tcW w:w="1738" w:type="dxa"/>
            <w:tcBorders/>
          </w:tcPr>
          <w:p>
            <w:pPr>
              <w:pStyle w:val="Normal"/>
              <w:keepNext w:val="true"/>
              <w:keepLines/>
              <w:numPr>
                <w:ilvl w:val="0"/>
                <w:numId w:val="0"/>
              </w:numPr>
              <w:ind w:hanging="0" w:start="0"/>
              <w:jc w:val="center"/>
              <w:rPr/>
            </w:pPr>
            <w:r>
              <w:rPr/>
              <w:t>13.64</w:t>
            </w:r>
          </w:p>
        </w:tc>
        <w:tc>
          <w:tcPr>
            <w:tcW w:w="1738" w:type="dxa"/>
            <w:tcBorders/>
          </w:tcPr>
          <w:p>
            <w:pPr>
              <w:pStyle w:val="Normal"/>
              <w:keepNext w:val="true"/>
              <w:keepLines/>
              <w:numPr>
                <w:ilvl w:val="0"/>
                <w:numId w:val="0"/>
              </w:numPr>
              <w:ind w:hanging="0" w:start="0"/>
              <w:jc w:val="center"/>
              <w:rPr/>
            </w:pPr>
            <w:r>
              <w:rPr/>
              <w:t>20.26</w:t>
            </w:r>
          </w:p>
        </w:tc>
        <w:tc>
          <w:tcPr>
            <w:tcW w:w="1738" w:type="dxa"/>
            <w:tcBorders/>
          </w:tcPr>
          <w:p>
            <w:pPr>
              <w:pStyle w:val="Normal"/>
              <w:keepNext w:val="true"/>
              <w:keepLines/>
              <w:numPr>
                <w:ilvl w:val="0"/>
                <w:numId w:val="0"/>
              </w:numPr>
              <w:ind w:hanging="0" w:start="0"/>
              <w:jc w:val="center"/>
              <w:rPr/>
            </w:pPr>
            <w:r>
              <w:rPr/>
              <w:t>17.50</w:t>
            </w:r>
          </w:p>
        </w:tc>
      </w:tr>
      <w:tr>
        <w:trPr/>
        <w:tc>
          <w:tcPr>
            <w:tcW w:w="4133" w:type="dxa"/>
            <w:tcBorders>
              <w:bottom w:val="single" w:sz="4" w:space="0" w:color="000000"/>
            </w:tcBorders>
          </w:tcPr>
          <w:p>
            <w:pPr>
              <w:pStyle w:val="Normal"/>
              <w:keepNext w:val="true"/>
              <w:keepLines/>
              <w:numPr>
                <w:ilvl w:val="0"/>
                <w:numId w:val="0"/>
              </w:numPr>
              <w:ind w:hanging="0" w:start="0"/>
              <w:rPr/>
            </w:pPr>
            <w:r>
              <w:rPr/>
              <w:t>Total Debt/EBITDA</w:t>
            </w:r>
          </w:p>
        </w:tc>
        <w:tc>
          <w:tcPr>
            <w:tcW w:w="1738" w:type="dxa"/>
            <w:tcBorders>
              <w:bottom w:val="single" w:sz="4" w:space="0" w:color="000000"/>
            </w:tcBorders>
          </w:tcPr>
          <w:p>
            <w:pPr>
              <w:pStyle w:val="Normal"/>
              <w:keepNext w:val="true"/>
              <w:keepLines/>
              <w:numPr>
                <w:ilvl w:val="0"/>
                <w:numId w:val="0"/>
              </w:numPr>
              <w:ind w:hanging="0" w:start="0"/>
              <w:jc w:val="center"/>
              <w:rPr/>
            </w:pPr>
            <w:r>
              <w:rPr/>
              <w:t>2.05</w:t>
            </w:r>
          </w:p>
        </w:tc>
        <w:tc>
          <w:tcPr>
            <w:tcW w:w="1738" w:type="dxa"/>
            <w:tcBorders>
              <w:bottom w:val="single" w:sz="4" w:space="0" w:color="000000"/>
            </w:tcBorders>
          </w:tcPr>
          <w:p>
            <w:pPr>
              <w:pStyle w:val="Normal"/>
              <w:keepNext w:val="true"/>
              <w:keepLines/>
              <w:numPr>
                <w:ilvl w:val="0"/>
                <w:numId w:val="0"/>
              </w:numPr>
              <w:ind w:hanging="0" w:start="0"/>
              <w:jc w:val="center"/>
              <w:rPr/>
            </w:pPr>
            <w:r>
              <w:rPr/>
              <w:t>1.75</w:t>
            </w:r>
          </w:p>
        </w:tc>
        <w:tc>
          <w:tcPr>
            <w:tcW w:w="1738" w:type="dxa"/>
            <w:tcBorders>
              <w:bottom w:val="single" w:sz="4" w:space="0" w:color="000000"/>
            </w:tcBorders>
          </w:tcPr>
          <w:p>
            <w:pPr>
              <w:pStyle w:val="Normal"/>
              <w:keepNext w:val="true"/>
              <w:keepLines/>
              <w:numPr>
                <w:ilvl w:val="0"/>
                <w:numId w:val="0"/>
              </w:numPr>
              <w:ind w:hanging="0" w:start="0"/>
              <w:jc w:val="center"/>
              <w:rPr/>
            </w:pPr>
            <w:r>
              <w:rPr/>
              <w:t>6.00</w:t>
            </w:r>
          </w:p>
        </w:tc>
      </w:tr>
    </w:tbl>
    <w:p>
      <w:pPr>
        <w:pStyle w:val="Spacerhalf"/>
        <w:keepNext w:val="true"/>
        <w:rPr/>
      </w:pPr>
      <w:r>
        <w:rPr/>
      </w:r>
    </w:p>
    <w:p>
      <w:pPr>
        <w:pStyle w:val="TableFootnote"/>
        <w:keepNext w:val="true"/>
        <w:numPr>
          <w:ilvl w:val="0"/>
          <w:numId w:val="0"/>
        </w:numPr>
        <w:ind w:hanging="360" w:start="360" w:end="0"/>
        <w:rPr/>
      </w:pPr>
      <w:r>
        <w:rPr/>
        <w:t>(a)</w:t>
        <w:tab/>
        <w:t>Ps/US$ exchange rates at December 31, 1999, 1998 and 1997 were Ps9.498/US$, Ps9.897/US$, and Ps8.055/US$ respectively.</w:t>
      </w:r>
    </w:p>
    <w:p>
      <w:pPr>
        <w:pStyle w:val="Spacerhalf"/>
        <w:rPr/>
      </w:pPr>
      <w:r>
        <w:rPr/>
      </w:r>
    </w:p>
    <w:p>
      <w:pPr>
        <w:pStyle w:val="Textboldbreak"/>
        <w:rPr/>
      </w:pPr>
      <w:r>
        <w:rPr/>
        <w:t>5.</w:t>
        <w:tab/>
        <w:t>Comisión Federal de Electricidad (CFE)</w:t>
      </w:r>
    </w:p>
    <w:p>
      <w:pPr>
        <w:pStyle w:val="WW-Text"/>
        <w:rPr/>
      </w:pPr>
      <w:r>
        <w:rPr/>
        <w:t>Comisión Federal de Electricidad (“CFE”), the transmission and energy back-up supplier for the Project, is Mexico’s principal state-owned electricity generation, transmission and distribution company, providing service to Mexico’s approximately 90 million people.  It was established on August 14, 1937 by a presidential decree and is a decentralized public agency wholly-owned by the Federal Government of Mexico.  The Government has delegated to CFE its constitutional authority to generate, distribute, and supply electricity throughout the entire country (except Mexico City and adjacent areas).</w:t>
      </w:r>
    </w:p>
    <w:p>
      <w:pPr>
        <w:pStyle w:val="WW-Text"/>
        <w:rPr/>
      </w:pPr>
      <w:r>
        <w:rPr/>
        <w:t>CFE is, both in terms of total net worth and total capitalization, the second largest company in Mexico, after Pemex.  CFE is also one of the largest utilities in North America in terms of net worth and assets and the second largest (behind only Ontario Hydro) in terms of generating capacity, with a total installed capacity of approximately 35,000 MW and total energy sales for 1999 of approximately 179,068 GWh.</w:t>
      </w:r>
    </w:p>
    <w:p>
      <w:pPr>
        <w:pStyle w:val="WW-Text"/>
        <w:rPr/>
      </w:pPr>
      <w:r>
        <w:rPr/>
        <w:t>Obligations of CFE are not entitled to the full faith and credit of Mexico.</w:t>
      </w:r>
    </w:p>
    <w:p>
      <w:pPr>
        <w:pStyle w:val="Textbold"/>
        <w:rPr/>
      </w:pPr>
      <w:r>
        <w:rPr/>
        <w:t>Financial Results</w:t>
      </w:r>
    </w:p>
    <w:p>
      <w:pPr>
        <w:pStyle w:val="Spacer"/>
        <w:numPr>
          <w:ilvl w:val="0"/>
          <w:numId w:val="0"/>
        </w:numPr>
        <w:ind w:hanging="0" w:start="0"/>
        <w:rPr/>
      </w:pPr>
      <w:r>
        <w:rPr/>
      </w:r>
    </w:p>
    <w:tbl>
      <w:tblPr>
        <w:tblW w:w="9347" w:type="dxa"/>
        <w:jc w:val="start"/>
        <w:tblInd w:w="0" w:type="dxa"/>
        <w:tblLayout w:type="fixed"/>
        <w:tblCellMar>
          <w:top w:w="0" w:type="dxa"/>
          <w:start w:w="0" w:type="dxa"/>
          <w:bottom w:w="0" w:type="dxa"/>
          <w:end w:w="0" w:type="dxa"/>
        </w:tblCellMar>
      </w:tblPr>
      <w:tblGrid>
        <w:gridCol w:w="4133"/>
        <w:gridCol w:w="1738"/>
        <w:gridCol w:w="1738"/>
        <w:gridCol w:w="1738"/>
      </w:tblGrid>
      <w:tr>
        <w:trPr/>
        <w:tc>
          <w:tcPr>
            <w:tcW w:w="4133" w:type="dxa"/>
            <w:tcBorders>
              <w:bottom w:val="single" w:sz="6" w:space="0" w:color="000000"/>
            </w:tcBorders>
          </w:tcPr>
          <w:p>
            <w:pPr>
              <w:pStyle w:val="Normal"/>
              <w:keepNext w:val="true"/>
              <w:numPr>
                <w:ilvl w:val="0"/>
                <w:numId w:val="0"/>
              </w:numPr>
              <w:spacing w:before="60" w:after="60"/>
              <w:ind w:hanging="0" w:start="0"/>
              <w:rPr>
                <w:b/>
                <w:sz w:val="20"/>
              </w:rPr>
            </w:pPr>
            <w:r>
              <w:rPr>
                <w:b/>
                <w:sz w:val="20"/>
              </w:rPr>
              <w:t xml:space="preserve">Consolidated Financial Summary </w:t>
              <w:br/>
              <w:t>(millions of constant Mexican pesos)</w:t>
            </w:r>
            <w:r>
              <w:rPr>
                <w:b/>
                <w:sz w:val="20"/>
                <w:vertAlign w:val="superscript"/>
              </w:rPr>
              <w:t>(a)</w:t>
            </w:r>
          </w:p>
        </w:tc>
        <w:tc>
          <w:tcPr>
            <w:tcW w:w="1738"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1999</w:t>
            </w:r>
          </w:p>
        </w:tc>
        <w:tc>
          <w:tcPr>
            <w:tcW w:w="1738"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1998</w:t>
            </w:r>
          </w:p>
        </w:tc>
        <w:tc>
          <w:tcPr>
            <w:tcW w:w="1738"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1997</w:t>
            </w:r>
          </w:p>
        </w:tc>
      </w:tr>
      <w:tr>
        <w:trPr/>
        <w:tc>
          <w:tcPr>
            <w:tcW w:w="4133" w:type="dxa"/>
            <w:tcBorders/>
          </w:tcPr>
          <w:p>
            <w:pPr>
              <w:pStyle w:val="Normal"/>
              <w:keepNext w:val="true"/>
              <w:numPr>
                <w:ilvl w:val="0"/>
                <w:numId w:val="0"/>
              </w:numPr>
              <w:spacing w:before="120" w:after="0"/>
              <w:ind w:hanging="0" w:start="0"/>
              <w:rPr/>
            </w:pPr>
            <w:r>
              <w:rPr/>
              <w:t>Revenue</w:t>
            </w:r>
          </w:p>
        </w:tc>
        <w:tc>
          <w:tcPr>
            <w:tcW w:w="1738" w:type="dxa"/>
            <w:tcBorders/>
          </w:tcPr>
          <w:p>
            <w:pPr>
              <w:pStyle w:val="Normal"/>
              <w:keepNext w:val="true"/>
              <w:numPr>
                <w:ilvl w:val="0"/>
                <w:numId w:val="0"/>
              </w:numPr>
              <w:tabs>
                <w:tab w:val="clear" w:pos="720"/>
                <w:tab w:val="decimal" w:pos="1179" w:leader="none"/>
              </w:tabs>
              <w:spacing w:before="120" w:after="0"/>
              <w:ind w:hanging="0" w:start="439" w:end="439"/>
              <w:rPr/>
            </w:pPr>
            <w:r>
              <w:rPr/>
              <w:t>8,632</w:t>
            </w:r>
          </w:p>
        </w:tc>
        <w:tc>
          <w:tcPr>
            <w:tcW w:w="1738" w:type="dxa"/>
            <w:tcBorders/>
          </w:tcPr>
          <w:p>
            <w:pPr>
              <w:pStyle w:val="Normal"/>
              <w:keepNext w:val="true"/>
              <w:numPr>
                <w:ilvl w:val="0"/>
                <w:numId w:val="0"/>
              </w:numPr>
              <w:tabs>
                <w:tab w:val="clear" w:pos="720"/>
                <w:tab w:val="decimal" w:pos="1179" w:leader="none"/>
              </w:tabs>
              <w:spacing w:before="120" w:after="0"/>
              <w:ind w:hanging="0" w:start="439" w:end="439"/>
              <w:rPr/>
            </w:pPr>
            <w:r>
              <w:rPr/>
              <w:t>8,624</w:t>
            </w:r>
          </w:p>
        </w:tc>
        <w:tc>
          <w:tcPr>
            <w:tcW w:w="1738" w:type="dxa"/>
            <w:tcBorders/>
          </w:tcPr>
          <w:p>
            <w:pPr>
              <w:pStyle w:val="Normal"/>
              <w:keepNext w:val="true"/>
              <w:numPr>
                <w:ilvl w:val="0"/>
                <w:numId w:val="0"/>
              </w:numPr>
              <w:tabs>
                <w:tab w:val="clear" w:pos="720"/>
                <w:tab w:val="decimal" w:pos="1179" w:leader="none"/>
              </w:tabs>
              <w:spacing w:before="120" w:after="0"/>
              <w:ind w:hanging="0" w:start="439" w:end="439"/>
              <w:rPr/>
            </w:pPr>
            <w:r>
              <w:rPr/>
              <w:t>7,555</w:t>
            </w:r>
          </w:p>
        </w:tc>
      </w:tr>
      <w:tr>
        <w:trPr/>
        <w:tc>
          <w:tcPr>
            <w:tcW w:w="4133" w:type="dxa"/>
            <w:tcBorders/>
          </w:tcPr>
          <w:p>
            <w:pPr>
              <w:pStyle w:val="Normal"/>
              <w:keepNext w:val="true"/>
              <w:numPr>
                <w:ilvl w:val="0"/>
                <w:numId w:val="0"/>
              </w:numPr>
              <w:ind w:hanging="0" w:start="0"/>
              <w:rPr/>
            </w:pPr>
            <w:r>
              <w:rPr/>
              <w:t>EBITDA</w:t>
            </w:r>
          </w:p>
        </w:tc>
        <w:tc>
          <w:tcPr>
            <w:tcW w:w="1738" w:type="dxa"/>
            <w:tcBorders/>
          </w:tcPr>
          <w:p>
            <w:pPr>
              <w:pStyle w:val="Normal"/>
              <w:keepNext w:val="true"/>
              <w:numPr>
                <w:ilvl w:val="0"/>
                <w:numId w:val="0"/>
              </w:numPr>
              <w:tabs>
                <w:tab w:val="clear" w:pos="720"/>
                <w:tab w:val="decimal" w:pos="1179" w:leader="none"/>
              </w:tabs>
              <w:ind w:hanging="0" w:start="439" w:end="439"/>
              <w:rPr/>
            </w:pPr>
            <w:r>
              <w:rPr/>
              <w:t>3,303</w:t>
            </w:r>
          </w:p>
        </w:tc>
        <w:tc>
          <w:tcPr>
            <w:tcW w:w="1738" w:type="dxa"/>
            <w:tcBorders/>
          </w:tcPr>
          <w:p>
            <w:pPr>
              <w:pStyle w:val="Normal"/>
              <w:keepNext w:val="true"/>
              <w:numPr>
                <w:ilvl w:val="0"/>
                <w:numId w:val="0"/>
              </w:numPr>
              <w:tabs>
                <w:tab w:val="clear" w:pos="720"/>
                <w:tab w:val="decimal" w:pos="1179" w:leader="none"/>
              </w:tabs>
              <w:ind w:hanging="0" w:start="439" w:end="439"/>
              <w:rPr/>
            </w:pPr>
            <w:r>
              <w:rPr/>
              <w:t>2,371</w:t>
            </w:r>
          </w:p>
        </w:tc>
        <w:tc>
          <w:tcPr>
            <w:tcW w:w="1738" w:type="dxa"/>
            <w:tcBorders/>
          </w:tcPr>
          <w:p>
            <w:pPr>
              <w:pStyle w:val="Normal"/>
              <w:keepNext w:val="true"/>
              <w:numPr>
                <w:ilvl w:val="0"/>
                <w:numId w:val="0"/>
              </w:numPr>
              <w:tabs>
                <w:tab w:val="clear" w:pos="720"/>
                <w:tab w:val="decimal" w:pos="1179" w:leader="none"/>
              </w:tabs>
              <w:ind w:hanging="0" w:start="0" w:end="439"/>
              <w:rPr/>
            </w:pPr>
            <w:r>
              <w:rPr/>
              <w:t>(864)</w:t>
            </w:r>
          </w:p>
        </w:tc>
      </w:tr>
      <w:tr>
        <w:trPr/>
        <w:tc>
          <w:tcPr>
            <w:tcW w:w="4133" w:type="dxa"/>
            <w:tcBorders/>
          </w:tcPr>
          <w:p>
            <w:pPr>
              <w:pStyle w:val="Normal"/>
              <w:keepNext w:val="true"/>
              <w:numPr>
                <w:ilvl w:val="0"/>
                <w:numId w:val="0"/>
              </w:numPr>
              <w:ind w:hanging="0" w:start="0"/>
              <w:rPr/>
            </w:pPr>
            <w:r>
              <w:rPr/>
              <w:t>Total Assets</w:t>
            </w:r>
          </w:p>
        </w:tc>
        <w:tc>
          <w:tcPr>
            <w:tcW w:w="1738" w:type="dxa"/>
            <w:tcBorders/>
          </w:tcPr>
          <w:p>
            <w:pPr>
              <w:pStyle w:val="Normal"/>
              <w:keepNext w:val="true"/>
              <w:numPr>
                <w:ilvl w:val="0"/>
                <w:numId w:val="0"/>
              </w:numPr>
              <w:tabs>
                <w:tab w:val="clear" w:pos="720"/>
                <w:tab w:val="decimal" w:pos="1179" w:leader="none"/>
              </w:tabs>
              <w:ind w:hanging="0" w:start="439" w:end="439"/>
              <w:rPr/>
            </w:pPr>
            <w:r>
              <w:rPr/>
              <w:t>48,948</w:t>
            </w:r>
          </w:p>
        </w:tc>
        <w:tc>
          <w:tcPr>
            <w:tcW w:w="1738" w:type="dxa"/>
            <w:tcBorders/>
          </w:tcPr>
          <w:p>
            <w:pPr>
              <w:pStyle w:val="Normal"/>
              <w:keepNext w:val="true"/>
              <w:numPr>
                <w:ilvl w:val="0"/>
                <w:numId w:val="0"/>
              </w:numPr>
              <w:tabs>
                <w:tab w:val="clear" w:pos="720"/>
                <w:tab w:val="decimal" w:pos="1179" w:leader="none"/>
              </w:tabs>
              <w:ind w:hanging="0" w:start="439" w:end="439"/>
              <w:rPr/>
            </w:pPr>
            <w:r>
              <w:rPr/>
              <w:t>48,288</w:t>
            </w:r>
          </w:p>
        </w:tc>
        <w:tc>
          <w:tcPr>
            <w:tcW w:w="1738" w:type="dxa"/>
            <w:tcBorders/>
          </w:tcPr>
          <w:p>
            <w:pPr>
              <w:pStyle w:val="Normal"/>
              <w:keepNext w:val="true"/>
              <w:numPr>
                <w:ilvl w:val="0"/>
                <w:numId w:val="0"/>
              </w:numPr>
              <w:tabs>
                <w:tab w:val="clear" w:pos="720"/>
                <w:tab w:val="decimal" w:pos="1179" w:leader="none"/>
              </w:tabs>
              <w:ind w:hanging="0" w:start="439" w:end="439"/>
              <w:rPr/>
            </w:pPr>
            <w:r>
              <w:rPr/>
              <w:t>45,287</w:t>
            </w:r>
          </w:p>
        </w:tc>
      </w:tr>
      <w:tr>
        <w:trPr/>
        <w:tc>
          <w:tcPr>
            <w:tcW w:w="4133" w:type="dxa"/>
            <w:tcBorders/>
          </w:tcPr>
          <w:p>
            <w:pPr>
              <w:pStyle w:val="Normal"/>
              <w:keepNext w:val="true"/>
              <w:numPr>
                <w:ilvl w:val="0"/>
                <w:numId w:val="0"/>
              </w:numPr>
              <w:ind w:hanging="0" w:start="0"/>
              <w:rPr/>
            </w:pPr>
            <w:r>
              <w:rPr/>
              <w:t>Total Equity</w:t>
            </w:r>
          </w:p>
        </w:tc>
        <w:tc>
          <w:tcPr>
            <w:tcW w:w="1738" w:type="dxa"/>
            <w:tcBorders/>
          </w:tcPr>
          <w:p>
            <w:pPr>
              <w:pStyle w:val="Normal"/>
              <w:keepNext w:val="true"/>
              <w:numPr>
                <w:ilvl w:val="0"/>
                <w:numId w:val="0"/>
              </w:numPr>
              <w:tabs>
                <w:tab w:val="clear" w:pos="720"/>
                <w:tab w:val="decimal" w:pos="1179" w:leader="none"/>
              </w:tabs>
              <w:ind w:hanging="0" w:start="439" w:end="439"/>
              <w:rPr/>
            </w:pPr>
            <w:r>
              <w:rPr/>
              <w:t>36,790</w:t>
            </w:r>
          </w:p>
        </w:tc>
        <w:tc>
          <w:tcPr>
            <w:tcW w:w="1738" w:type="dxa"/>
            <w:tcBorders/>
          </w:tcPr>
          <w:p>
            <w:pPr>
              <w:pStyle w:val="Normal"/>
              <w:keepNext w:val="true"/>
              <w:numPr>
                <w:ilvl w:val="0"/>
                <w:numId w:val="0"/>
              </w:numPr>
              <w:tabs>
                <w:tab w:val="clear" w:pos="720"/>
                <w:tab w:val="decimal" w:pos="1179" w:leader="none"/>
              </w:tabs>
              <w:ind w:hanging="0" w:start="439" w:end="439"/>
              <w:rPr/>
            </w:pPr>
            <w:r>
              <w:rPr/>
              <w:t>35,689</w:t>
            </w:r>
          </w:p>
        </w:tc>
        <w:tc>
          <w:tcPr>
            <w:tcW w:w="1738" w:type="dxa"/>
            <w:tcBorders/>
          </w:tcPr>
          <w:p>
            <w:pPr>
              <w:pStyle w:val="Normal"/>
              <w:keepNext w:val="true"/>
              <w:numPr>
                <w:ilvl w:val="0"/>
                <w:numId w:val="0"/>
              </w:numPr>
              <w:tabs>
                <w:tab w:val="clear" w:pos="720"/>
                <w:tab w:val="decimal" w:pos="1179" w:leader="none"/>
              </w:tabs>
              <w:ind w:hanging="0" w:start="439" w:end="439"/>
              <w:rPr/>
            </w:pPr>
            <w:r>
              <w:rPr/>
              <w:t>37,076</w:t>
            </w:r>
          </w:p>
        </w:tc>
      </w:tr>
      <w:tr>
        <w:trPr/>
        <w:tc>
          <w:tcPr>
            <w:tcW w:w="4133" w:type="dxa"/>
            <w:tcBorders/>
          </w:tcPr>
          <w:p>
            <w:pPr>
              <w:pStyle w:val="Normal"/>
              <w:keepNext w:val="true"/>
              <w:numPr>
                <w:ilvl w:val="0"/>
                <w:numId w:val="0"/>
              </w:numPr>
              <w:ind w:hanging="0" w:start="0"/>
              <w:rPr/>
            </w:pPr>
            <w:r>
              <w:rPr/>
              <w:t>EBITDA/Interest</w:t>
            </w:r>
          </w:p>
        </w:tc>
        <w:tc>
          <w:tcPr>
            <w:tcW w:w="1738" w:type="dxa"/>
            <w:tcBorders/>
          </w:tcPr>
          <w:p>
            <w:pPr>
              <w:pStyle w:val="Normal"/>
              <w:keepNext w:val="true"/>
              <w:numPr>
                <w:ilvl w:val="0"/>
                <w:numId w:val="0"/>
              </w:numPr>
              <w:tabs>
                <w:tab w:val="clear" w:pos="720"/>
                <w:tab w:val="decimal" w:pos="899" w:leader="none"/>
              </w:tabs>
              <w:ind w:hanging="0" w:start="439" w:end="439"/>
              <w:rPr/>
            </w:pPr>
            <w:r>
              <w:rPr/>
              <w:t>6.38</w:t>
            </w:r>
          </w:p>
        </w:tc>
        <w:tc>
          <w:tcPr>
            <w:tcW w:w="1738" w:type="dxa"/>
            <w:tcBorders/>
          </w:tcPr>
          <w:p>
            <w:pPr>
              <w:pStyle w:val="Normal"/>
              <w:keepNext w:val="true"/>
              <w:numPr>
                <w:ilvl w:val="0"/>
                <w:numId w:val="0"/>
              </w:numPr>
              <w:tabs>
                <w:tab w:val="clear" w:pos="720"/>
                <w:tab w:val="decimal" w:pos="899" w:leader="none"/>
              </w:tabs>
              <w:ind w:hanging="0" w:start="439" w:end="439"/>
              <w:rPr/>
            </w:pPr>
            <w:r>
              <w:rPr/>
              <w:t>5.49</w:t>
            </w:r>
          </w:p>
        </w:tc>
        <w:tc>
          <w:tcPr>
            <w:tcW w:w="1738" w:type="dxa"/>
            <w:tcBorders/>
          </w:tcPr>
          <w:p>
            <w:pPr>
              <w:pStyle w:val="Normal"/>
              <w:keepNext w:val="true"/>
              <w:numPr>
                <w:ilvl w:val="0"/>
                <w:numId w:val="0"/>
              </w:numPr>
              <w:tabs>
                <w:tab w:val="clear" w:pos="720"/>
                <w:tab w:val="decimal" w:pos="899" w:leader="none"/>
              </w:tabs>
              <w:ind w:hanging="0" w:start="439" w:end="439"/>
              <w:rPr/>
            </w:pPr>
            <w:r>
              <w:rPr/>
              <w:t>(1.37)</w:t>
            </w:r>
          </w:p>
        </w:tc>
      </w:tr>
      <w:tr>
        <w:trPr/>
        <w:tc>
          <w:tcPr>
            <w:tcW w:w="4133" w:type="dxa"/>
            <w:tcBorders>
              <w:bottom w:val="single" w:sz="4" w:space="0" w:color="000000"/>
            </w:tcBorders>
          </w:tcPr>
          <w:p>
            <w:pPr>
              <w:pStyle w:val="Normal"/>
              <w:keepNext w:val="true"/>
              <w:numPr>
                <w:ilvl w:val="0"/>
                <w:numId w:val="0"/>
              </w:numPr>
              <w:ind w:hanging="0" w:start="0"/>
              <w:rPr/>
            </w:pPr>
            <w:r>
              <w:rPr/>
              <w:t>Total Debt/EBITDA</w:t>
            </w:r>
          </w:p>
        </w:tc>
        <w:tc>
          <w:tcPr>
            <w:tcW w:w="1738" w:type="dxa"/>
            <w:tcBorders>
              <w:bottom w:val="single" w:sz="4" w:space="0" w:color="000000"/>
            </w:tcBorders>
          </w:tcPr>
          <w:p>
            <w:pPr>
              <w:pStyle w:val="Normal"/>
              <w:keepNext w:val="true"/>
              <w:numPr>
                <w:ilvl w:val="0"/>
                <w:numId w:val="0"/>
              </w:numPr>
              <w:tabs>
                <w:tab w:val="clear" w:pos="720"/>
                <w:tab w:val="decimal" w:pos="899" w:leader="none"/>
              </w:tabs>
              <w:ind w:hanging="0" w:start="439" w:end="439"/>
              <w:rPr/>
            </w:pPr>
            <w:r>
              <w:rPr/>
              <w:t>1.59</w:t>
            </w:r>
          </w:p>
        </w:tc>
        <w:tc>
          <w:tcPr>
            <w:tcW w:w="1738" w:type="dxa"/>
            <w:tcBorders>
              <w:bottom w:val="single" w:sz="4" w:space="0" w:color="000000"/>
            </w:tcBorders>
          </w:tcPr>
          <w:p>
            <w:pPr>
              <w:pStyle w:val="Normal"/>
              <w:keepNext w:val="true"/>
              <w:numPr>
                <w:ilvl w:val="0"/>
                <w:numId w:val="0"/>
              </w:numPr>
              <w:tabs>
                <w:tab w:val="clear" w:pos="720"/>
                <w:tab w:val="decimal" w:pos="899" w:leader="none"/>
              </w:tabs>
              <w:ind w:hanging="0" w:start="439" w:end="439"/>
              <w:rPr/>
            </w:pPr>
            <w:r>
              <w:rPr/>
              <w:t>2.75</w:t>
            </w:r>
          </w:p>
        </w:tc>
        <w:tc>
          <w:tcPr>
            <w:tcW w:w="1738" w:type="dxa"/>
            <w:tcBorders>
              <w:bottom w:val="single" w:sz="4" w:space="0" w:color="000000"/>
            </w:tcBorders>
          </w:tcPr>
          <w:p>
            <w:pPr>
              <w:pStyle w:val="Normal"/>
              <w:keepNext w:val="true"/>
              <w:numPr>
                <w:ilvl w:val="0"/>
                <w:numId w:val="0"/>
              </w:numPr>
              <w:ind w:hanging="0" w:start="311" w:end="0"/>
              <w:jc w:val="center"/>
              <w:rPr/>
            </w:pPr>
            <w:r>
              <w:rPr/>
              <w:t>(7.70)</w:t>
            </w:r>
          </w:p>
        </w:tc>
      </w:tr>
    </w:tbl>
    <w:p>
      <w:pPr>
        <w:pStyle w:val="Spacerhalf"/>
        <w:keepNext w:val="true"/>
        <w:rPr/>
      </w:pPr>
      <w:r>
        <w:rPr/>
      </w:r>
    </w:p>
    <w:p>
      <w:pPr>
        <w:pStyle w:val="TableFootnote"/>
        <w:keepNext w:val="true"/>
        <w:numPr>
          <w:ilvl w:val="0"/>
          <w:numId w:val="0"/>
        </w:numPr>
        <w:ind w:hanging="360" w:start="360" w:end="0"/>
        <w:rPr/>
      </w:pPr>
      <w:r>
        <w:rPr/>
        <w:t>(a)</w:t>
        <w:tab/>
        <w:t>Ps/US$ exchange rates at December 31, 1999, 1998 and 1997 were Ps9.498/US$, Ps9.897/US$, and Ps8.055/US$, respectively.</w:t>
      </w:r>
    </w:p>
    <w:p>
      <w:pPr>
        <w:pStyle w:val="Spacerhalf"/>
        <w:rPr/>
      </w:pPr>
      <w:r>
        <w:rPr/>
      </w:r>
    </w:p>
    <w:p>
      <w:pPr>
        <w:pStyle w:val="Textboldbreak"/>
        <w:rPr/>
      </w:pPr>
      <w:r>
        <w:rPr/>
        <w:t>6.</w:t>
        <w:tab/>
        <w:t>Mitsui &amp; Co., Ltd.</w:t>
      </w:r>
    </w:p>
    <w:p>
      <w:pPr>
        <w:pStyle w:val="Textbold"/>
        <w:rPr/>
      </w:pPr>
      <w:r>
        <w:rPr/>
        <w:t>Company Description</w:t>
      </w:r>
    </w:p>
    <w:p>
      <w:pPr>
        <w:pStyle w:val="WW-Text"/>
        <w:rPr/>
      </w:pPr>
      <w:r>
        <w:rPr/>
        <w:t xml:space="preserve">Mitsui &amp; Co., Ltd. (“Mitsui”), the Contractor and guarantor of the EPC Contract, was founded in 1876, and is one of Japan’s largest general trading companies with 900 consolidated subsidiaries and associated companies.  Its activities include worldwide trading in various commodities, arranging financing for customers and suppliers to facilitate such trading activities, and organizing industrial projects on an international basis in connection with trading activities.   </w:t>
      </w:r>
    </w:p>
    <w:p>
      <w:pPr>
        <w:pStyle w:val="WW-Text"/>
        <w:rPr/>
      </w:pPr>
      <w:r>
        <w:rPr/>
        <w:t>Mitsui’s basic activity is providing transaction services by acting as an intermediary between buyers and sellers who want to import, export, or engage in offshore or domestic trading activities.  Typically, the company is involved throughout the course of the transactions, assuming risks accompanying the transfer of goods and collecting payments. The scope of the company’s industrial and product portfolio includes iron and steel, non-ferrous metals, machinery, chemicals, energy, foods, textiles, general merchandise, real estate and property development, and overseas project development.</w:t>
      </w:r>
    </w:p>
    <w:p>
      <w:pPr>
        <w:pStyle w:val="WW-Text"/>
        <w:rPr/>
      </w:pPr>
      <w:r>
        <w:rPr/>
        <w:t xml:space="preserve">Mitsui has played an active role as developer, lead contractor, equipment supplier and financier of independent power projects worldwide.  Mitsui has been supplying equipment or building power plants in Japan and overseas since 1951.  From the early 1990’s, the company began to take an active role in major power projects as an equity investor as well as a contractor and arranger of financing.  The company has been involved in projects using thermal, hydro, combined-cycle and gas-turbine technologies under turnkey, build-operate-transfer, build-own-operate and build-lease-transfer arrangements. The following table details Mitsui’s major EPC contracts. </w:t>
      </w:r>
    </w:p>
    <w:p>
      <w:pPr>
        <w:pStyle w:val="Spacer"/>
        <w:numPr>
          <w:ilvl w:val="0"/>
          <w:numId w:val="0"/>
        </w:numPr>
        <w:ind w:hanging="0" w:start="0"/>
        <w:rPr/>
      </w:pPr>
      <w:r>
        <w:rPr/>
      </w:r>
    </w:p>
    <w:tbl>
      <w:tblPr>
        <w:tblW w:w="9346" w:type="dxa"/>
        <w:jc w:val="start"/>
        <w:tblInd w:w="0" w:type="dxa"/>
        <w:tblLayout w:type="fixed"/>
        <w:tblCellMar>
          <w:top w:w="0" w:type="dxa"/>
          <w:start w:w="0" w:type="dxa"/>
          <w:bottom w:w="0" w:type="dxa"/>
          <w:end w:w="0" w:type="dxa"/>
        </w:tblCellMar>
      </w:tblPr>
      <w:tblGrid>
        <w:gridCol w:w="900"/>
        <w:gridCol w:w="1260"/>
        <w:gridCol w:w="4500"/>
        <w:gridCol w:w="1051"/>
        <w:gridCol w:w="1635"/>
      </w:tblGrid>
      <w:tr>
        <w:trPr/>
        <w:tc>
          <w:tcPr>
            <w:tcW w:w="900" w:type="dxa"/>
            <w:tcBorders>
              <w:bottom w:val="single" w:sz="6" w:space="0" w:color="000000"/>
            </w:tcBorders>
          </w:tcPr>
          <w:p>
            <w:pPr>
              <w:pStyle w:val="Normal"/>
              <w:keepNext w:val="true"/>
              <w:numPr>
                <w:ilvl w:val="0"/>
                <w:numId w:val="0"/>
              </w:numPr>
              <w:spacing w:before="60" w:after="60"/>
              <w:ind w:hanging="0" w:start="0"/>
              <w:rPr>
                <w:b/>
                <w:sz w:val="20"/>
              </w:rPr>
            </w:pPr>
            <w:r>
              <w:rPr>
                <w:b/>
                <w:sz w:val="20"/>
              </w:rPr>
              <w:br/>
              <w:t>Year</w:t>
            </w:r>
          </w:p>
        </w:tc>
        <w:tc>
          <w:tcPr>
            <w:tcW w:w="1260" w:type="dxa"/>
            <w:tcBorders>
              <w:bottom w:val="single" w:sz="6" w:space="0" w:color="000000"/>
            </w:tcBorders>
          </w:tcPr>
          <w:p>
            <w:pPr>
              <w:pStyle w:val="Normal"/>
              <w:keepNext w:val="true"/>
              <w:numPr>
                <w:ilvl w:val="0"/>
                <w:numId w:val="0"/>
              </w:numPr>
              <w:spacing w:before="60" w:after="60"/>
              <w:ind w:hanging="0" w:start="0"/>
              <w:rPr>
                <w:b/>
                <w:sz w:val="20"/>
              </w:rPr>
            </w:pPr>
            <w:r>
              <w:rPr>
                <w:b/>
                <w:sz w:val="20"/>
              </w:rPr>
              <w:br/>
              <w:t>Country</w:t>
            </w:r>
          </w:p>
        </w:tc>
        <w:tc>
          <w:tcPr>
            <w:tcW w:w="4500" w:type="dxa"/>
            <w:tcBorders>
              <w:bottom w:val="single" w:sz="6" w:space="0" w:color="000000"/>
            </w:tcBorders>
          </w:tcPr>
          <w:p>
            <w:pPr>
              <w:pStyle w:val="Normal"/>
              <w:keepNext w:val="true"/>
              <w:numPr>
                <w:ilvl w:val="0"/>
                <w:numId w:val="0"/>
              </w:numPr>
              <w:spacing w:before="60" w:after="60"/>
              <w:ind w:hanging="0" w:start="0"/>
              <w:rPr>
                <w:b/>
                <w:sz w:val="20"/>
              </w:rPr>
            </w:pPr>
            <w:r>
              <w:rPr>
                <w:b/>
                <w:sz w:val="20"/>
              </w:rPr>
              <w:br/>
              <w:t>Supplied to</w:t>
            </w:r>
          </w:p>
        </w:tc>
        <w:tc>
          <w:tcPr>
            <w:tcW w:w="1051" w:type="dxa"/>
            <w:tcBorders>
              <w:bottom w:val="single" w:sz="6" w:space="0" w:color="000000"/>
            </w:tcBorders>
            <w:vAlign w:val="center"/>
          </w:tcPr>
          <w:p>
            <w:pPr>
              <w:pStyle w:val="Normal"/>
              <w:keepNext w:val="true"/>
              <w:numPr>
                <w:ilvl w:val="0"/>
                <w:numId w:val="0"/>
              </w:numPr>
              <w:spacing w:before="60" w:after="60"/>
              <w:ind w:hanging="0" w:start="0"/>
              <w:jc w:val="center"/>
              <w:rPr>
                <w:b/>
                <w:sz w:val="20"/>
              </w:rPr>
            </w:pPr>
            <w:r>
              <w:rPr>
                <w:b/>
                <w:sz w:val="20"/>
              </w:rPr>
              <w:t>Capacity (MW)</w:t>
            </w:r>
          </w:p>
        </w:tc>
        <w:tc>
          <w:tcPr>
            <w:tcW w:w="1635" w:type="dxa"/>
            <w:tcBorders>
              <w:bottom w:val="single" w:sz="6" w:space="0" w:color="000000"/>
            </w:tcBorders>
            <w:vAlign w:val="center"/>
          </w:tcPr>
          <w:p>
            <w:pPr>
              <w:pStyle w:val="Normal"/>
              <w:keepNext w:val="true"/>
              <w:numPr>
                <w:ilvl w:val="0"/>
                <w:numId w:val="0"/>
              </w:numPr>
              <w:spacing w:before="60" w:after="60"/>
              <w:ind w:hanging="0" w:start="0"/>
              <w:jc w:val="center"/>
              <w:rPr>
                <w:b/>
                <w:sz w:val="20"/>
              </w:rPr>
            </w:pPr>
            <w:r>
              <w:rPr>
                <w:b/>
                <w:sz w:val="20"/>
              </w:rPr>
              <w:t xml:space="preserve">Value </w:t>
              <w:br/>
              <w:t>(US$ millions)</w:t>
            </w:r>
          </w:p>
        </w:tc>
      </w:tr>
      <w:tr>
        <w:trPr/>
        <w:tc>
          <w:tcPr>
            <w:tcW w:w="900" w:type="dxa"/>
            <w:tcBorders/>
          </w:tcPr>
          <w:p>
            <w:pPr>
              <w:pStyle w:val="Normal"/>
              <w:keepNext w:val="true"/>
              <w:numPr>
                <w:ilvl w:val="0"/>
                <w:numId w:val="0"/>
              </w:numPr>
              <w:spacing w:before="120" w:after="0"/>
              <w:ind w:hanging="0" w:start="0"/>
              <w:rPr>
                <w:sz w:val="20"/>
              </w:rPr>
            </w:pPr>
            <w:r>
              <w:rPr>
                <w:sz w:val="20"/>
              </w:rPr>
              <w:t>2000</w:t>
            </w:r>
          </w:p>
        </w:tc>
        <w:tc>
          <w:tcPr>
            <w:tcW w:w="1260" w:type="dxa"/>
            <w:tcBorders/>
          </w:tcPr>
          <w:p>
            <w:pPr>
              <w:pStyle w:val="Normal"/>
              <w:keepNext w:val="true"/>
              <w:numPr>
                <w:ilvl w:val="0"/>
                <w:numId w:val="0"/>
              </w:numPr>
              <w:spacing w:before="120" w:after="0"/>
              <w:ind w:hanging="0" w:start="0"/>
              <w:rPr>
                <w:sz w:val="20"/>
              </w:rPr>
            </w:pPr>
            <w:r>
              <w:rPr>
                <w:sz w:val="20"/>
              </w:rPr>
              <w:t>Australia</w:t>
            </w:r>
          </w:p>
        </w:tc>
        <w:tc>
          <w:tcPr>
            <w:tcW w:w="4500" w:type="dxa"/>
            <w:tcBorders/>
          </w:tcPr>
          <w:p>
            <w:pPr>
              <w:pStyle w:val="Normal"/>
              <w:keepNext w:val="true"/>
              <w:numPr>
                <w:ilvl w:val="0"/>
                <w:numId w:val="0"/>
              </w:numPr>
              <w:spacing w:before="120" w:after="0"/>
              <w:ind w:hanging="0" w:start="0"/>
              <w:rPr>
                <w:sz w:val="20"/>
              </w:rPr>
            </w:pPr>
            <w:r>
              <w:rPr>
                <w:sz w:val="20"/>
              </w:rPr>
              <w:t>Tarong Energy Corp.</w:t>
            </w:r>
          </w:p>
        </w:tc>
        <w:tc>
          <w:tcPr>
            <w:tcW w:w="1051" w:type="dxa"/>
            <w:tcBorders/>
          </w:tcPr>
          <w:p>
            <w:pPr>
              <w:pStyle w:val="Normal"/>
              <w:keepNext w:val="true"/>
              <w:numPr>
                <w:ilvl w:val="0"/>
                <w:numId w:val="0"/>
              </w:numPr>
              <w:tabs>
                <w:tab w:val="clear" w:pos="720"/>
                <w:tab w:val="decimal" w:pos="810" w:leader="none"/>
              </w:tabs>
              <w:spacing w:before="120" w:after="0"/>
              <w:ind w:hanging="0" w:start="0"/>
              <w:rPr>
                <w:sz w:val="20"/>
              </w:rPr>
            </w:pPr>
            <w:r>
              <w:rPr>
                <w:sz w:val="20"/>
              </w:rPr>
              <w:t>900</w:t>
            </w:r>
          </w:p>
        </w:tc>
        <w:tc>
          <w:tcPr>
            <w:tcW w:w="1635" w:type="dxa"/>
            <w:tcBorders/>
          </w:tcPr>
          <w:p>
            <w:pPr>
              <w:pStyle w:val="Normal"/>
              <w:keepNext w:val="true"/>
              <w:numPr>
                <w:ilvl w:val="0"/>
                <w:numId w:val="0"/>
              </w:numPr>
              <w:tabs>
                <w:tab w:val="clear" w:pos="720"/>
                <w:tab w:val="decimal" w:pos="1019" w:leader="none"/>
              </w:tabs>
              <w:spacing w:before="120" w:after="0"/>
              <w:ind w:hanging="0" w:start="0"/>
              <w:rPr>
                <w:sz w:val="20"/>
              </w:rPr>
            </w:pPr>
            <w:r>
              <w:rPr>
                <w:sz w:val="20"/>
              </w:rPr>
              <w:t>788</w:t>
            </w:r>
          </w:p>
        </w:tc>
      </w:tr>
      <w:tr>
        <w:trPr/>
        <w:tc>
          <w:tcPr>
            <w:tcW w:w="900" w:type="dxa"/>
            <w:tcBorders/>
          </w:tcPr>
          <w:p>
            <w:pPr>
              <w:pStyle w:val="Normal"/>
              <w:keepNext w:val="true"/>
              <w:numPr>
                <w:ilvl w:val="0"/>
                <w:numId w:val="0"/>
              </w:numPr>
              <w:ind w:hanging="0" w:start="0"/>
              <w:rPr>
                <w:sz w:val="20"/>
              </w:rPr>
            </w:pPr>
            <w:r>
              <w:rPr>
                <w:sz w:val="20"/>
              </w:rPr>
              <w:t>2000</w:t>
            </w:r>
          </w:p>
        </w:tc>
        <w:tc>
          <w:tcPr>
            <w:tcW w:w="1260" w:type="dxa"/>
            <w:tcBorders/>
          </w:tcPr>
          <w:p>
            <w:pPr>
              <w:pStyle w:val="Normal"/>
              <w:keepNext w:val="true"/>
              <w:numPr>
                <w:ilvl w:val="0"/>
                <w:numId w:val="0"/>
              </w:numPr>
              <w:ind w:hanging="0" w:start="0"/>
              <w:rPr>
                <w:sz w:val="20"/>
              </w:rPr>
            </w:pPr>
            <w:r>
              <w:rPr>
                <w:sz w:val="20"/>
              </w:rPr>
              <w:t>Taiwan</w:t>
            </w:r>
          </w:p>
        </w:tc>
        <w:tc>
          <w:tcPr>
            <w:tcW w:w="4500" w:type="dxa"/>
            <w:tcBorders/>
          </w:tcPr>
          <w:p>
            <w:pPr>
              <w:pStyle w:val="Normal"/>
              <w:keepNext w:val="true"/>
              <w:numPr>
                <w:ilvl w:val="0"/>
                <w:numId w:val="0"/>
              </w:numPr>
              <w:ind w:hanging="0" w:start="0"/>
              <w:rPr>
                <w:sz w:val="20"/>
              </w:rPr>
            </w:pPr>
            <w:r>
              <w:rPr>
                <w:sz w:val="20"/>
              </w:rPr>
              <w:t>Hi-Doer Power Company</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1,000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505</w:t>
            </w:r>
          </w:p>
        </w:tc>
      </w:tr>
      <w:tr>
        <w:trPr/>
        <w:tc>
          <w:tcPr>
            <w:tcW w:w="900" w:type="dxa"/>
            <w:tcBorders/>
          </w:tcPr>
          <w:p>
            <w:pPr>
              <w:pStyle w:val="Normal"/>
              <w:keepNext w:val="true"/>
              <w:numPr>
                <w:ilvl w:val="0"/>
                <w:numId w:val="0"/>
              </w:numPr>
              <w:ind w:hanging="0" w:start="0"/>
              <w:rPr>
                <w:sz w:val="20"/>
              </w:rPr>
            </w:pPr>
            <w:r>
              <w:rPr>
                <w:sz w:val="20"/>
              </w:rPr>
              <w:t>2000</w:t>
            </w:r>
          </w:p>
        </w:tc>
        <w:tc>
          <w:tcPr>
            <w:tcW w:w="1260" w:type="dxa"/>
            <w:tcBorders/>
          </w:tcPr>
          <w:p>
            <w:pPr>
              <w:pStyle w:val="Normal"/>
              <w:keepNext w:val="true"/>
              <w:numPr>
                <w:ilvl w:val="0"/>
                <w:numId w:val="0"/>
              </w:numPr>
              <w:ind w:hanging="0" w:start="0"/>
              <w:rPr>
                <w:sz w:val="20"/>
              </w:rPr>
            </w:pPr>
            <w:r>
              <w:rPr>
                <w:sz w:val="20"/>
              </w:rPr>
              <w:t>Australia</w:t>
            </w:r>
          </w:p>
        </w:tc>
        <w:tc>
          <w:tcPr>
            <w:tcW w:w="4500" w:type="dxa"/>
            <w:tcBorders/>
          </w:tcPr>
          <w:p>
            <w:pPr>
              <w:pStyle w:val="Normal"/>
              <w:keepNext w:val="true"/>
              <w:numPr>
                <w:ilvl w:val="0"/>
                <w:numId w:val="0"/>
              </w:numPr>
              <w:ind w:hanging="0" w:start="0"/>
              <w:rPr>
                <w:sz w:val="20"/>
              </w:rPr>
            </w:pPr>
            <w:r>
              <w:rPr>
                <w:sz w:val="20"/>
              </w:rPr>
              <w:t>Callide Valley Power</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840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500</w:t>
            </w:r>
          </w:p>
        </w:tc>
      </w:tr>
      <w:tr>
        <w:trPr/>
        <w:tc>
          <w:tcPr>
            <w:tcW w:w="900" w:type="dxa"/>
            <w:tcBorders/>
          </w:tcPr>
          <w:p>
            <w:pPr>
              <w:pStyle w:val="Normal"/>
              <w:keepNext w:val="true"/>
              <w:numPr>
                <w:ilvl w:val="0"/>
                <w:numId w:val="0"/>
              </w:numPr>
              <w:ind w:hanging="0" w:start="0"/>
              <w:rPr>
                <w:sz w:val="20"/>
              </w:rPr>
            </w:pPr>
            <w:r>
              <w:rPr>
                <w:sz w:val="20"/>
              </w:rPr>
              <w:t>1999</w:t>
            </w:r>
          </w:p>
        </w:tc>
        <w:tc>
          <w:tcPr>
            <w:tcW w:w="1260" w:type="dxa"/>
            <w:tcBorders/>
          </w:tcPr>
          <w:p>
            <w:pPr>
              <w:pStyle w:val="Normal"/>
              <w:keepNext w:val="true"/>
              <w:numPr>
                <w:ilvl w:val="0"/>
                <w:numId w:val="0"/>
              </w:numPr>
              <w:ind w:hanging="0" w:start="0"/>
              <w:rPr>
                <w:sz w:val="20"/>
              </w:rPr>
            </w:pPr>
            <w:r>
              <w:rPr>
                <w:sz w:val="20"/>
              </w:rPr>
              <w:t>Indonesia</w:t>
            </w:r>
          </w:p>
        </w:tc>
        <w:tc>
          <w:tcPr>
            <w:tcW w:w="4500" w:type="dxa"/>
            <w:tcBorders/>
          </w:tcPr>
          <w:p>
            <w:pPr>
              <w:pStyle w:val="Normal"/>
              <w:keepNext w:val="true"/>
              <w:numPr>
                <w:ilvl w:val="0"/>
                <w:numId w:val="0"/>
              </w:numPr>
              <w:ind w:hanging="0" w:start="0"/>
              <w:rPr>
                <w:sz w:val="20"/>
              </w:rPr>
            </w:pPr>
            <w:r>
              <w:rPr>
                <w:sz w:val="20"/>
              </w:rPr>
              <w:t>Paiton</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1,230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2,000</w:t>
            </w:r>
          </w:p>
        </w:tc>
      </w:tr>
      <w:tr>
        <w:trPr/>
        <w:tc>
          <w:tcPr>
            <w:tcW w:w="900" w:type="dxa"/>
            <w:tcBorders/>
          </w:tcPr>
          <w:p>
            <w:pPr>
              <w:pStyle w:val="Normal"/>
              <w:keepNext w:val="true"/>
              <w:numPr>
                <w:ilvl w:val="0"/>
                <w:numId w:val="0"/>
              </w:numPr>
              <w:ind w:hanging="0" w:start="0"/>
              <w:rPr>
                <w:sz w:val="20"/>
              </w:rPr>
            </w:pPr>
            <w:r>
              <w:rPr>
                <w:sz w:val="20"/>
              </w:rPr>
              <w:t>1997</w:t>
            </w:r>
          </w:p>
        </w:tc>
        <w:tc>
          <w:tcPr>
            <w:tcW w:w="1260" w:type="dxa"/>
            <w:tcBorders/>
          </w:tcPr>
          <w:p>
            <w:pPr>
              <w:pStyle w:val="Normal"/>
              <w:keepNext w:val="true"/>
              <w:numPr>
                <w:ilvl w:val="0"/>
                <w:numId w:val="0"/>
              </w:numPr>
              <w:ind w:hanging="0" w:start="0"/>
              <w:rPr>
                <w:sz w:val="20"/>
              </w:rPr>
            </w:pPr>
            <w:r>
              <w:rPr>
                <w:sz w:val="20"/>
              </w:rPr>
              <w:t>Pakistan</w:t>
            </w:r>
          </w:p>
        </w:tc>
        <w:tc>
          <w:tcPr>
            <w:tcW w:w="4500" w:type="dxa"/>
            <w:tcBorders/>
          </w:tcPr>
          <w:p>
            <w:pPr>
              <w:pStyle w:val="Normal"/>
              <w:keepNext w:val="true"/>
              <w:numPr>
                <w:ilvl w:val="0"/>
                <w:numId w:val="0"/>
              </w:numPr>
              <w:ind w:hanging="0" w:start="0"/>
              <w:rPr>
                <w:sz w:val="20"/>
              </w:rPr>
            </w:pPr>
            <w:r>
              <w:rPr>
                <w:sz w:val="20"/>
              </w:rPr>
              <w:t>HUBCO</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1,292</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1,000</w:t>
            </w:r>
          </w:p>
        </w:tc>
      </w:tr>
      <w:tr>
        <w:trPr/>
        <w:tc>
          <w:tcPr>
            <w:tcW w:w="900" w:type="dxa"/>
            <w:tcBorders/>
          </w:tcPr>
          <w:p>
            <w:pPr>
              <w:pStyle w:val="Normal"/>
              <w:keepNext w:val="true"/>
              <w:numPr>
                <w:ilvl w:val="0"/>
                <w:numId w:val="0"/>
              </w:numPr>
              <w:ind w:hanging="0" w:start="0"/>
              <w:rPr>
                <w:sz w:val="20"/>
              </w:rPr>
            </w:pPr>
            <w:r>
              <w:rPr>
                <w:sz w:val="20"/>
              </w:rPr>
              <w:t>1996</w:t>
            </w:r>
          </w:p>
        </w:tc>
        <w:tc>
          <w:tcPr>
            <w:tcW w:w="1260" w:type="dxa"/>
            <w:tcBorders/>
          </w:tcPr>
          <w:p>
            <w:pPr>
              <w:pStyle w:val="Normal"/>
              <w:keepNext w:val="true"/>
              <w:numPr>
                <w:ilvl w:val="0"/>
                <w:numId w:val="0"/>
              </w:numPr>
              <w:ind w:hanging="0" w:start="0"/>
              <w:rPr>
                <w:sz w:val="20"/>
              </w:rPr>
            </w:pPr>
            <w:r>
              <w:rPr>
                <w:sz w:val="20"/>
              </w:rPr>
              <w:t>China</w:t>
            </w:r>
          </w:p>
        </w:tc>
        <w:tc>
          <w:tcPr>
            <w:tcW w:w="4500" w:type="dxa"/>
            <w:tcBorders/>
          </w:tcPr>
          <w:p>
            <w:pPr>
              <w:pStyle w:val="Header"/>
              <w:keepNext w:val="true"/>
              <w:numPr>
                <w:ilvl w:val="0"/>
                <w:numId w:val="0"/>
              </w:numPr>
              <w:tabs>
                <w:tab w:val="clear" w:pos="4320"/>
                <w:tab w:val="clear" w:pos="8640"/>
              </w:tabs>
              <w:ind w:hanging="0" w:start="0"/>
              <w:rPr>
                <w:sz w:val="20"/>
              </w:rPr>
            </w:pPr>
            <w:r>
              <w:rPr>
                <w:sz w:val="20"/>
              </w:rPr>
              <w:t>Heilongjiang Provincial Electric Power Company</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700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N/A</w:t>
            </w:r>
          </w:p>
        </w:tc>
      </w:tr>
      <w:tr>
        <w:trPr/>
        <w:tc>
          <w:tcPr>
            <w:tcW w:w="900" w:type="dxa"/>
            <w:tcBorders/>
          </w:tcPr>
          <w:p>
            <w:pPr>
              <w:pStyle w:val="Normal"/>
              <w:keepNext w:val="true"/>
              <w:numPr>
                <w:ilvl w:val="0"/>
                <w:numId w:val="0"/>
              </w:numPr>
              <w:ind w:hanging="0" w:start="0"/>
              <w:rPr>
                <w:sz w:val="20"/>
              </w:rPr>
            </w:pPr>
            <w:r>
              <w:rPr>
                <w:sz w:val="20"/>
              </w:rPr>
              <w:t>1995</w:t>
            </w:r>
          </w:p>
        </w:tc>
        <w:tc>
          <w:tcPr>
            <w:tcW w:w="1260" w:type="dxa"/>
            <w:tcBorders/>
          </w:tcPr>
          <w:p>
            <w:pPr>
              <w:pStyle w:val="Normal"/>
              <w:keepNext w:val="true"/>
              <w:numPr>
                <w:ilvl w:val="0"/>
                <w:numId w:val="0"/>
              </w:numPr>
              <w:ind w:hanging="0" w:start="0"/>
              <w:rPr>
                <w:sz w:val="20"/>
              </w:rPr>
            </w:pPr>
            <w:r>
              <w:rPr>
                <w:sz w:val="20"/>
              </w:rPr>
              <w:t>Mexico</w:t>
            </w:r>
          </w:p>
        </w:tc>
        <w:tc>
          <w:tcPr>
            <w:tcW w:w="4500" w:type="dxa"/>
            <w:tcBorders/>
          </w:tcPr>
          <w:p>
            <w:pPr>
              <w:pStyle w:val="Normal"/>
              <w:keepNext w:val="true"/>
              <w:numPr>
                <w:ilvl w:val="0"/>
                <w:numId w:val="0"/>
              </w:numPr>
              <w:ind w:hanging="0" w:start="0"/>
              <w:rPr>
                <w:sz w:val="20"/>
              </w:rPr>
            </w:pPr>
            <w:r>
              <w:rPr>
                <w:sz w:val="20"/>
              </w:rPr>
              <w:t>CFE</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320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300</w:t>
            </w:r>
          </w:p>
        </w:tc>
      </w:tr>
      <w:tr>
        <w:trPr/>
        <w:tc>
          <w:tcPr>
            <w:tcW w:w="900" w:type="dxa"/>
            <w:tcBorders/>
          </w:tcPr>
          <w:p>
            <w:pPr>
              <w:pStyle w:val="Normal"/>
              <w:keepNext w:val="true"/>
              <w:numPr>
                <w:ilvl w:val="0"/>
                <w:numId w:val="0"/>
              </w:numPr>
              <w:ind w:hanging="0" w:start="0"/>
              <w:rPr>
                <w:sz w:val="20"/>
              </w:rPr>
            </w:pPr>
            <w:r>
              <w:rPr>
                <w:sz w:val="20"/>
              </w:rPr>
              <w:t>1995</w:t>
            </w:r>
          </w:p>
        </w:tc>
        <w:tc>
          <w:tcPr>
            <w:tcW w:w="1260" w:type="dxa"/>
            <w:tcBorders/>
          </w:tcPr>
          <w:p>
            <w:pPr>
              <w:pStyle w:val="Normal"/>
              <w:keepNext w:val="true"/>
              <w:numPr>
                <w:ilvl w:val="0"/>
                <w:numId w:val="0"/>
              </w:numPr>
              <w:ind w:hanging="0" w:start="0"/>
              <w:rPr>
                <w:sz w:val="20"/>
              </w:rPr>
            </w:pPr>
            <w:r>
              <w:rPr>
                <w:sz w:val="20"/>
              </w:rPr>
              <w:t>Thailand</w:t>
            </w:r>
          </w:p>
        </w:tc>
        <w:tc>
          <w:tcPr>
            <w:tcW w:w="4500" w:type="dxa"/>
            <w:tcBorders/>
          </w:tcPr>
          <w:p>
            <w:pPr>
              <w:pStyle w:val="Normal"/>
              <w:keepNext w:val="true"/>
              <w:numPr>
                <w:ilvl w:val="0"/>
                <w:numId w:val="0"/>
              </w:numPr>
              <w:ind w:hanging="0" w:start="0"/>
              <w:rPr>
                <w:sz w:val="20"/>
              </w:rPr>
            </w:pPr>
            <w:r>
              <w:rPr>
                <w:sz w:val="20"/>
              </w:rPr>
              <w:t>EGAT</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600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400</w:t>
            </w:r>
          </w:p>
        </w:tc>
      </w:tr>
      <w:tr>
        <w:trPr/>
        <w:tc>
          <w:tcPr>
            <w:tcW w:w="900" w:type="dxa"/>
            <w:tcBorders/>
          </w:tcPr>
          <w:p>
            <w:pPr>
              <w:pStyle w:val="Normal"/>
              <w:keepNext w:val="true"/>
              <w:numPr>
                <w:ilvl w:val="0"/>
                <w:numId w:val="0"/>
              </w:numPr>
              <w:ind w:hanging="0" w:start="0"/>
              <w:rPr>
                <w:sz w:val="20"/>
              </w:rPr>
            </w:pPr>
            <w:r>
              <w:rPr>
                <w:sz w:val="20"/>
              </w:rPr>
              <w:t>1994</w:t>
            </w:r>
          </w:p>
        </w:tc>
        <w:tc>
          <w:tcPr>
            <w:tcW w:w="1260" w:type="dxa"/>
            <w:tcBorders/>
          </w:tcPr>
          <w:p>
            <w:pPr>
              <w:pStyle w:val="Normal"/>
              <w:keepNext w:val="true"/>
              <w:numPr>
                <w:ilvl w:val="0"/>
                <w:numId w:val="0"/>
              </w:numPr>
              <w:ind w:hanging="0" w:start="0"/>
              <w:rPr>
                <w:sz w:val="20"/>
              </w:rPr>
            </w:pPr>
            <w:r>
              <w:rPr>
                <w:sz w:val="20"/>
              </w:rPr>
              <w:t>India</w:t>
            </w:r>
          </w:p>
        </w:tc>
        <w:tc>
          <w:tcPr>
            <w:tcW w:w="4500" w:type="dxa"/>
            <w:tcBorders/>
          </w:tcPr>
          <w:p>
            <w:pPr>
              <w:pStyle w:val="Normal"/>
              <w:keepNext w:val="true"/>
              <w:numPr>
                <w:ilvl w:val="0"/>
                <w:numId w:val="0"/>
              </w:numPr>
              <w:ind w:hanging="0" w:start="0"/>
              <w:rPr>
                <w:sz w:val="20"/>
              </w:rPr>
            </w:pPr>
            <w:r>
              <w:rPr>
                <w:sz w:val="20"/>
              </w:rPr>
              <w:t>Uttar Pradesh State Electricity Board</w:t>
            </w:r>
          </w:p>
        </w:tc>
        <w:tc>
          <w:tcPr>
            <w:tcW w:w="1051" w:type="dxa"/>
            <w:tcBorders/>
          </w:tcPr>
          <w:p>
            <w:pPr>
              <w:pStyle w:val="Normal"/>
              <w:keepNext w:val="true"/>
              <w:numPr>
                <w:ilvl w:val="0"/>
                <w:numId w:val="0"/>
              </w:numPr>
              <w:tabs>
                <w:tab w:val="clear" w:pos="720"/>
                <w:tab w:val="decimal" w:pos="810" w:leader="none"/>
              </w:tabs>
              <w:ind w:hanging="0" w:start="0"/>
              <w:rPr>
                <w:sz w:val="20"/>
              </w:rPr>
            </w:pPr>
            <w:r>
              <w:rPr>
                <w:sz w:val="20"/>
              </w:rPr>
              <w:t>1,000</w:t>
            </w:r>
          </w:p>
        </w:tc>
        <w:tc>
          <w:tcPr>
            <w:tcW w:w="1635" w:type="dxa"/>
            <w:tcBorders/>
          </w:tcPr>
          <w:p>
            <w:pPr>
              <w:pStyle w:val="Normal"/>
              <w:keepNext w:val="true"/>
              <w:numPr>
                <w:ilvl w:val="0"/>
                <w:numId w:val="0"/>
              </w:numPr>
              <w:tabs>
                <w:tab w:val="clear" w:pos="720"/>
                <w:tab w:val="decimal" w:pos="1019" w:leader="none"/>
              </w:tabs>
              <w:ind w:hanging="0" w:start="0"/>
              <w:rPr>
                <w:sz w:val="20"/>
              </w:rPr>
            </w:pPr>
            <w:r>
              <w:rPr>
                <w:sz w:val="20"/>
              </w:rPr>
              <w:t>1,400</w:t>
            </w:r>
          </w:p>
        </w:tc>
      </w:tr>
      <w:tr>
        <w:trPr/>
        <w:tc>
          <w:tcPr>
            <w:tcW w:w="900" w:type="dxa"/>
            <w:tcBorders>
              <w:bottom w:val="single" w:sz="4" w:space="0" w:color="000000"/>
            </w:tcBorders>
          </w:tcPr>
          <w:p>
            <w:pPr>
              <w:pStyle w:val="Normal"/>
              <w:keepNext w:val="true"/>
              <w:numPr>
                <w:ilvl w:val="0"/>
                <w:numId w:val="0"/>
              </w:numPr>
              <w:ind w:hanging="0" w:start="0"/>
              <w:rPr>
                <w:sz w:val="20"/>
              </w:rPr>
            </w:pPr>
            <w:r>
              <w:rPr>
                <w:sz w:val="20"/>
              </w:rPr>
              <w:t>1994</w:t>
            </w:r>
          </w:p>
        </w:tc>
        <w:tc>
          <w:tcPr>
            <w:tcW w:w="1260" w:type="dxa"/>
            <w:tcBorders>
              <w:bottom w:val="single" w:sz="4" w:space="0" w:color="000000"/>
            </w:tcBorders>
          </w:tcPr>
          <w:p>
            <w:pPr>
              <w:pStyle w:val="Normal"/>
              <w:keepNext w:val="true"/>
              <w:numPr>
                <w:ilvl w:val="0"/>
                <w:numId w:val="0"/>
              </w:numPr>
              <w:ind w:hanging="0" w:start="0"/>
              <w:rPr>
                <w:sz w:val="20"/>
              </w:rPr>
            </w:pPr>
            <w:r>
              <w:rPr>
                <w:sz w:val="20"/>
              </w:rPr>
              <w:t>Canada</w:t>
            </w:r>
          </w:p>
        </w:tc>
        <w:tc>
          <w:tcPr>
            <w:tcW w:w="4500" w:type="dxa"/>
            <w:tcBorders>
              <w:bottom w:val="single" w:sz="4" w:space="0" w:color="000000"/>
            </w:tcBorders>
          </w:tcPr>
          <w:p>
            <w:pPr>
              <w:pStyle w:val="Normal"/>
              <w:keepNext w:val="true"/>
              <w:numPr>
                <w:ilvl w:val="0"/>
                <w:numId w:val="0"/>
              </w:numPr>
              <w:ind w:hanging="0" w:start="0"/>
              <w:rPr>
                <w:sz w:val="20"/>
              </w:rPr>
            </w:pPr>
            <w:r>
              <w:rPr>
                <w:sz w:val="20"/>
              </w:rPr>
              <w:t>NSPI</w:t>
            </w:r>
          </w:p>
        </w:tc>
        <w:tc>
          <w:tcPr>
            <w:tcW w:w="1051" w:type="dxa"/>
            <w:tcBorders>
              <w:bottom w:val="single" w:sz="4" w:space="0" w:color="000000"/>
            </w:tcBorders>
          </w:tcPr>
          <w:p>
            <w:pPr>
              <w:pStyle w:val="Normal"/>
              <w:keepNext w:val="true"/>
              <w:numPr>
                <w:ilvl w:val="0"/>
                <w:numId w:val="0"/>
              </w:numPr>
              <w:tabs>
                <w:tab w:val="clear" w:pos="720"/>
                <w:tab w:val="decimal" w:pos="810" w:leader="none"/>
              </w:tabs>
              <w:ind w:hanging="0" w:start="0"/>
              <w:rPr>
                <w:sz w:val="20"/>
              </w:rPr>
            </w:pPr>
            <w:r>
              <w:rPr>
                <w:sz w:val="20"/>
              </w:rPr>
              <w:t>165</w:t>
            </w:r>
          </w:p>
        </w:tc>
        <w:tc>
          <w:tcPr>
            <w:tcW w:w="1635" w:type="dxa"/>
            <w:tcBorders>
              <w:bottom w:val="single" w:sz="4" w:space="0" w:color="000000"/>
            </w:tcBorders>
          </w:tcPr>
          <w:p>
            <w:pPr>
              <w:pStyle w:val="Normal"/>
              <w:keepNext w:val="true"/>
              <w:numPr>
                <w:ilvl w:val="0"/>
                <w:numId w:val="0"/>
              </w:numPr>
              <w:tabs>
                <w:tab w:val="clear" w:pos="720"/>
                <w:tab w:val="decimal" w:pos="1019" w:leader="none"/>
              </w:tabs>
              <w:ind w:hanging="0" w:start="0"/>
              <w:rPr>
                <w:sz w:val="20"/>
              </w:rPr>
            </w:pPr>
            <w:r>
              <w:rPr>
                <w:sz w:val="20"/>
              </w:rPr>
              <w:t>300</w:t>
            </w:r>
          </w:p>
        </w:tc>
      </w:tr>
    </w:tbl>
    <w:p>
      <w:pPr>
        <w:pStyle w:val="Spacerhalf"/>
        <w:rPr/>
      </w:pPr>
      <w:r>
        <w:rPr/>
      </w:r>
    </w:p>
    <w:p>
      <w:pPr>
        <w:pStyle w:val="Textbold"/>
        <w:rPr/>
      </w:pPr>
      <w:r>
        <w:rPr/>
        <w:t>Summary Financials (Consolidated Data)</w:t>
      </w:r>
    </w:p>
    <w:p>
      <w:pPr>
        <w:pStyle w:val="WW-Text"/>
        <w:rPr/>
      </w:pPr>
      <w:r>
        <w:rPr/>
        <w:t>Mitsui’s strong credit profile is reflected in Moody’s senior unsecured long-term debt rating of A3.  The rating reflects the strong business profile of the company’s core trading activities.  Mitsui’s trading activities spanning numerous industry sectors have ensured relatively stable earnings during past economic downturns.  For the fiscal year ended March 31, 1999, Mitsui’s total trading transactions and revenue reached US$118.5 billion and US$4.8 billion, respectively.  The company’s market capitalization as of April 16 stands at US$12.0 billion.  The company is listed both on the Tokyo Stock Exchange and the NASDAQ as well as other foreign securities exchanges.</w:t>
      </w:r>
    </w:p>
    <w:p>
      <w:pPr>
        <w:pStyle w:val="Spacer"/>
        <w:numPr>
          <w:ilvl w:val="0"/>
          <w:numId w:val="0"/>
        </w:numPr>
        <w:ind w:hanging="0" w:start="0"/>
        <w:rPr/>
      </w:pPr>
      <w:r>
        <w:rPr/>
      </w:r>
    </w:p>
    <w:tbl>
      <w:tblPr>
        <w:tblW w:w="9347" w:type="dxa"/>
        <w:jc w:val="start"/>
        <w:tblInd w:w="0" w:type="dxa"/>
        <w:tblLayout w:type="fixed"/>
        <w:tblCellMar>
          <w:top w:w="0" w:type="dxa"/>
          <w:start w:w="0" w:type="dxa"/>
          <w:bottom w:w="0" w:type="dxa"/>
          <w:end w:w="0" w:type="dxa"/>
        </w:tblCellMar>
      </w:tblPr>
      <w:tblGrid>
        <w:gridCol w:w="3866"/>
        <w:gridCol w:w="1923"/>
        <w:gridCol w:w="1731"/>
        <w:gridCol w:w="1827"/>
      </w:tblGrid>
      <w:tr>
        <w:trPr/>
        <w:tc>
          <w:tcPr>
            <w:tcW w:w="3866" w:type="dxa"/>
            <w:tcBorders>
              <w:bottom w:val="single" w:sz="6" w:space="0" w:color="000000"/>
            </w:tcBorders>
          </w:tcPr>
          <w:p>
            <w:pPr>
              <w:pStyle w:val="Normal"/>
              <w:keepNext w:val="true"/>
              <w:numPr>
                <w:ilvl w:val="0"/>
                <w:numId w:val="0"/>
              </w:numPr>
              <w:spacing w:before="60" w:after="60"/>
              <w:ind w:hanging="0" w:start="0"/>
              <w:rPr>
                <w:b/>
                <w:sz w:val="20"/>
              </w:rPr>
            </w:pPr>
            <w:r>
              <w:rPr>
                <w:b/>
                <w:sz w:val="20"/>
              </w:rPr>
              <w:t xml:space="preserve">Consolidated Financial Summary </w:t>
              <w:br/>
              <w:t>(millions of Yen)</w:t>
            </w:r>
            <w:r>
              <w:rPr>
                <w:b/>
                <w:sz w:val="20"/>
                <w:vertAlign w:val="superscript"/>
              </w:rPr>
              <w:t>(a)</w:t>
            </w:r>
          </w:p>
        </w:tc>
        <w:tc>
          <w:tcPr>
            <w:tcW w:w="1923"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1999</w:t>
            </w:r>
          </w:p>
        </w:tc>
        <w:tc>
          <w:tcPr>
            <w:tcW w:w="1731"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1998</w:t>
            </w:r>
          </w:p>
        </w:tc>
        <w:tc>
          <w:tcPr>
            <w:tcW w:w="1827" w:type="dxa"/>
            <w:tcBorders>
              <w:bottom w:val="single" w:sz="6" w:space="0" w:color="000000"/>
            </w:tcBorders>
          </w:tcPr>
          <w:p>
            <w:pPr>
              <w:pStyle w:val="Normal"/>
              <w:keepNext w:val="true"/>
              <w:numPr>
                <w:ilvl w:val="0"/>
                <w:numId w:val="0"/>
              </w:numPr>
              <w:spacing w:before="60" w:after="60"/>
              <w:ind w:hanging="0" w:start="0"/>
              <w:jc w:val="center"/>
              <w:rPr>
                <w:b/>
                <w:sz w:val="20"/>
              </w:rPr>
            </w:pPr>
            <w:r>
              <w:rPr>
                <w:b/>
                <w:sz w:val="20"/>
              </w:rPr>
              <w:br/>
              <w:t>1997</w:t>
            </w:r>
          </w:p>
        </w:tc>
      </w:tr>
      <w:tr>
        <w:trPr/>
        <w:tc>
          <w:tcPr>
            <w:tcW w:w="3866" w:type="dxa"/>
            <w:tcBorders/>
          </w:tcPr>
          <w:p>
            <w:pPr>
              <w:pStyle w:val="Normal"/>
              <w:keepNext w:val="true"/>
              <w:numPr>
                <w:ilvl w:val="0"/>
                <w:numId w:val="0"/>
              </w:numPr>
              <w:spacing w:before="120" w:after="0"/>
              <w:ind w:hanging="0" w:start="0"/>
              <w:rPr/>
            </w:pPr>
            <w:r>
              <w:rPr/>
              <w:t>Revenue – Gross Trading Profit</w:t>
            </w:r>
          </w:p>
        </w:tc>
        <w:tc>
          <w:tcPr>
            <w:tcW w:w="1923" w:type="dxa"/>
            <w:tcBorders/>
          </w:tcPr>
          <w:p>
            <w:pPr>
              <w:pStyle w:val="Normal"/>
              <w:keepNext w:val="true"/>
              <w:numPr>
                <w:ilvl w:val="0"/>
                <w:numId w:val="0"/>
              </w:numPr>
              <w:tabs>
                <w:tab w:val="clear" w:pos="720"/>
                <w:tab w:val="decimal" w:pos="1471" w:leader="none"/>
              </w:tabs>
              <w:spacing w:before="120" w:after="0"/>
              <w:ind w:hanging="0" w:start="332" w:end="332"/>
              <w:rPr/>
            </w:pPr>
            <w:r>
              <w:rPr/>
              <w:t>565,050</w:t>
            </w:r>
          </w:p>
        </w:tc>
        <w:tc>
          <w:tcPr>
            <w:tcW w:w="1731" w:type="dxa"/>
            <w:tcBorders/>
          </w:tcPr>
          <w:p>
            <w:pPr>
              <w:pStyle w:val="Normal"/>
              <w:keepNext w:val="true"/>
              <w:numPr>
                <w:ilvl w:val="0"/>
                <w:numId w:val="0"/>
              </w:numPr>
              <w:tabs>
                <w:tab w:val="clear" w:pos="720"/>
                <w:tab w:val="decimal" w:pos="1376" w:leader="none"/>
              </w:tabs>
              <w:spacing w:before="120" w:after="0"/>
              <w:ind w:hanging="0" w:start="236" w:end="236"/>
              <w:rPr/>
            </w:pPr>
            <w:r>
              <w:rPr/>
              <w:t>593,112</w:t>
            </w:r>
          </w:p>
        </w:tc>
        <w:tc>
          <w:tcPr>
            <w:tcW w:w="1827" w:type="dxa"/>
            <w:tcBorders/>
          </w:tcPr>
          <w:p>
            <w:pPr>
              <w:pStyle w:val="Normal"/>
              <w:keepNext w:val="true"/>
              <w:numPr>
                <w:ilvl w:val="0"/>
                <w:numId w:val="0"/>
              </w:numPr>
              <w:tabs>
                <w:tab w:val="clear" w:pos="720"/>
                <w:tab w:val="decimal" w:pos="1424" w:leader="none"/>
              </w:tabs>
              <w:spacing w:before="120" w:after="0"/>
              <w:ind w:hanging="0" w:start="283" w:end="283"/>
              <w:rPr/>
            </w:pPr>
            <w:r>
              <w:rPr/>
              <w:t>581,398</w:t>
            </w:r>
          </w:p>
        </w:tc>
      </w:tr>
      <w:tr>
        <w:trPr/>
        <w:tc>
          <w:tcPr>
            <w:tcW w:w="3866" w:type="dxa"/>
            <w:tcBorders/>
          </w:tcPr>
          <w:p>
            <w:pPr>
              <w:pStyle w:val="Normal"/>
              <w:keepNext w:val="true"/>
              <w:numPr>
                <w:ilvl w:val="0"/>
                <w:numId w:val="0"/>
              </w:numPr>
              <w:ind w:hanging="0" w:start="0"/>
              <w:rPr/>
            </w:pPr>
            <w:r>
              <w:rPr/>
              <w:t>EBITDA</w:t>
            </w:r>
          </w:p>
        </w:tc>
        <w:tc>
          <w:tcPr>
            <w:tcW w:w="1923" w:type="dxa"/>
            <w:tcBorders/>
          </w:tcPr>
          <w:p>
            <w:pPr>
              <w:pStyle w:val="Normal"/>
              <w:keepNext w:val="true"/>
              <w:numPr>
                <w:ilvl w:val="0"/>
                <w:numId w:val="0"/>
              </w:numPr>
              <w:tabs>
                <w:tab w:val="clear" w:pos="720"/>
                <w:tab w:val="decimal" w:pos="1471" w:leader="none"/>
              </w:tabs>
              <w:ind w:hanging="0" w:start="332" w:end="332"/>
              <w:rPr/>
            </w:pPr>
            <w:r>
              <w:rPr/>
              <w:t>136,015</w:t>
            </w:r>
          </w:p>
        </w:tc>
        <w:tc>
          <w:tcPr>
            <w:tcW w:w="1731" w:type="dxa"/>
            <w:tcBorders/>
          </w:tcPr>
          <w:p>
            <w:pPr>
              <w:pStyle w:val="Normal"/>
              <w:keepNext w:val="true"/>
              <w:numPr>
                <w:ilvl w:val="0"/>
                <w:numId w:val="0"/>
              </w:numPr>
              <w:tabs>
                <w:tab w:val="clear" w:pos="720"/>
                <w:tab w:val="decimal" w:pos="1376" w:leader="none"/>
              </w:tabs>
              <w:ind w:hanging="0" w:start="236" w:end="236"/>
              <w:rPr/>
            </w:pPr>
            <w:r>
              <w:rPr/>
              <w:t>150,450</w:t>
            </w:r>
          </w:p>
        </w:tc>
        <w:tc>
          <w:tcPr>
            <w:tcW w:w="1827" w:type="dxa"/>
            <w:tcBorders/>
          </w:tcPr>
          <w:p>
            <w:pPr>
              <w:pStyle w:val="Normal"/>
              <w:keepNext w:val="true"/>
              <w:numPr>
                <w:ilvl w:val="0"/>
                <w:numId w:val="0"/>
              </w:numPr>
              <w:tabs>
                <w:tab w:val="clear" w:pos="720"/>
                <w:tab w:val="decimal" w:pos="1424" w:leader="none"/>
              </w:tabs>
              <w:ind w:hanging="0" w:start="283" w:end="283"/>
              <w:rPr/>
            </w:pPr>
            <w:r>
              <w:rPr/>
              <w:t>135,091</w:t>
            </w:r>
          </w:p>
        </w:tc>
      </w:tr>
      <w:tr>
        <w:trPr/>
        <w:tc>
          <w:tcPr>
            <w:tcW w:w="3866" w:type="dxa"/>
            <w:tcBorders/>
          </w:tcPr>
          <w:p>
            <w:pPr>
              <w:pStyle w:val="Normal"/>
              <w:keepNext w:val="true"/>
              <w:numPr>
                <w:ilvl w:val="0"/>
                <w:numId w:val="0"/>
              </w:numPr>
              <w:ind w:hanging="0" w:start="0"/>
              <w:rPr/>
            </w:pPr>
            <w:r>
              <w:rPr/>
              <w:t>Total Assets</w:t>
            </w:r>
          </w:p>
        </w:tc>
        <w:tc>
          <w:tcPr>
            <w:tcW w:w="1923" w:type="dxa"/>
            <w:tcBorders/>
          </w:tcPr>
          <w:p>
            <w:pPr>
              <w:pStyle w:val="Normal"/>
              <w:keepNext w:val="true"/>
              <w:numPr>
                <w:ilvl w:val="0"/>
                <w:numId w:val="0"/>
              </w:numPr>
              <w:tabs>
                <w:tab w:val="clear" w:pos="720"/>
                <w:tab w:val="decimal" w:pos="1471" w:leader="none"/>
              </w:tabs>
              <w:ind w:hanging="0" w:start="332" w:end="332"/>
              <w:rPr/>
            </w:pPr>
            <w:r>
              <w:rPr/>
              <w:t>6,664,010</w:t>
            </w:r>
          </w:p>
        </w:tc>
        <w:tc>
          <w:tcPr>
            <w:tcW w:w="1731" w:type="dxa"/>
            <w:tcBorders/>
          </w:tcPr>
          <w:p>
            <w:pPr>
              <w:pStyle w:val="Normal"/>
              <w:keepNext w:val="true"/>
              <w:numPr>
                <w:ilvl w:val="0"/>
                <w:numId w:val="0"/>
              </w:numPr>
              <w:tabs>
                <w:tab w:val="clear" w:pos="720"/>
                <w:tab w:val="decimal" w:pos="1376" w:leader="none"/>
              </w:tabs>
              <w:ind w:hanging="0" w:start="236" w:end="236"/>
              <w:rPr/>
            </w:pPr>
            <w:r>
              <w:rPr/>
              <w:t>7,343,718</w:t>
            </w:r>
          </w:p>
        </w:tc>
        <w:tc>
          <w:tcPr>
            <w:tcW w:w="1827" w:type="dxa"/>
            <w:tcBorders/>
          </w:tcPr>
          <w:p>
            <w:pPr>
              <w:pStyle w:val="Normal"/>
              <w:keepNext w:val="true"/>
              <w:numPr>
                <w:ilvl w:val="0"/>
                <w:numId w:val="0"/>
              </w:numPr>
              <w:tabs>
                <w:tab w:val="clear" w:pos="720"/>
                <w:tab w:val="decimal" w:pos="1424" w:leader="none"/>
              </w:tabs>
              <w:ind w:hanging="0" w:start="283" w:end="283"/>
              <w:rPr/>
            </w:pPr>
            <w:r>
              <w:rPr/>
              <w:t>7,584,976</w:t>
            </w:r>
          </w:p>
        </w:tc>
      </w:tr>
      <w:tr>
        <w:trPr/>
        <w:tc>
          <w:tcPr>
            <w:tcW w:w="3866" w:type="dxa"/>
            <w:tcBorders/>
          </w:tcPr>
          <w:p>
            <w:pPr>
              <w:pStyle w:val="Normal"/>
              <w:keepNext w:val="true"/>
              <w:numPr>
                <w:ilvl w:val="0"/>
                <w:numId w:val="0"/>
              </w:numPr>
              <w:ind w:hanging="0" w:start="0"/>
              <w:rPr/>
            </w:pPr>
            <w:r>
              <w:rPr/>
              <w:t>Total Equity</w:t>
            </w:r>
          </w:p>
        </w:tc>
        <w:tc>
          <w:tcPr>
            <w:tcW w:w="1923" w:type="dxa"/>
            <w:tcBorders/>
          </w:tcPr>
          <w:p>
            <w:pPr>
              <w:pStyle w:val="Normal"/>
              <w:keepNext w:val="true"/>
              <w:numPr>
                <w:ilvl w:val="0"/>
                <w:numId w:val="0"/>
              </w:numPr>
              <w:tabs>
                <w:tab w:val="clear" w:pos="720"/>
                <w:tab w:val="decimal" w:pos="1471" w:leader="none"/>
              </w:tabs>
              <w:ind w:hanging="0" w:start="332" w:end="332"/>
              <w:rPr/>
            </w:pPr>
            <w:r>
              <w:rPr/>
              <w:t>672,603</w:t>
            </w:r>
          </w:p>
        </w:tc>
        <w:tc>
          <w:tcPr>
            <w:tcW w:w="1731" w:type="dxa"/>
            <w:tcBorders/>
          </w:tcPr>
          <w:p>
            <w:pPr>
              <w:pStyle w:val="Normal"/>
              <w:keepNext w:val="true"/>
              <w:numPr>
                <w:ilvl w:val="0"/>
                <w:numId w:val="0"/>
              </w:numPr>
              <w:tabs>
                <w:tab w:val="clear" w:pos="720"/>
                <w:tab w:val="decimal" w:pos="1376" w:leader="none"/>
              </w:tabs>
              <w:ind w:hanging="0" w:start="236" w:end="236"/>
              <w:rPr/>
            </w:pPr>
            <w:r>
              <w:rPr/>
              <w:t>703,046</w:t>
            </w:r>
          </w:p>
        </w:tc>
        <w:tc>
          <w:tcPr>
            <w:tcW w:w="1827" w:type="dxa"/>
            <w:tcBorders/>
          </w:tcPr>
          <w:p>
            <w:pPr>
              <w:pStyle w:val="Normal"/>
              <w:keepNext w:val="true"/>
              <w:numPr>
                <w:ilvl w:val="0"/>
                <w:numId w:val="0"/>
              </w:numPr>
              <w:tabs>
                <w:tab w:val="clear" w:pos="720"/>
                <w:tab w:val="decimal" w:pos="1424" w:leader="none"/>
              </w:tabs>
              <w:ind w:hanging="0" w:start="283" w:end="283"/>
              <w:rPr/>
            </w:pPr>
            <w:r>
              <w:rPr/>
              <w:t>668,812</w:t>
            </w:r>
          </w:p>
        </w:tc>
      </w:tr>
      <w:tr>
        <w:trPr/>
        <w:tc>
          <w:tcPr>
            <w:tcW w:w="3866" w:type="dxa"/>
            <w:tcBorders/>
          </w:tcPr>
          <w:p>
            <w:pPr>
              <w:pStyle w:val="Normal"/>
              <w:keepNext w:val="true"/>
              <w:numPr>
                <w:ilvl w:val="0"/>
                <w:numId w:val="0"/>
              </w:numPr>
              <w:ind w:hanging="0" w:start="0"/>
              <w:rPr/>
            </w:pPr>
            <w:r>
              <w:rPr/>
              <w:t>EBITDA/Interest</w:t>
            </w:r>
          </w:p>
        </w:tc>
        <w:tc>
          <w:tcPr>
            <w:tcW w:w="1923" w:type="dxa"/>
            <w:tcBorders/>
          </w:tcPr>
          <w:p>
            <w:pPr>
              <w:pStyle w:val="Normal"/>
              <w:keepNext w:val="true"/>
              <w:numPr>
                <w:ilvl w:val="0"/>
                <w:numId w:val="0"/>
              </w:numPr>
              <w:tabs>
                <w:tab w:val="clear" w:pos="720"/>
                <w:tab w:val="decimal" w:pos="1311" w:leader="none"/>
              </w:tabs>
              <w:ind w:hanging="0" w:start="332" w:end="332"/>
              <w:rPr/>
            </w:pPr>
            <w:r>
              <w:rPr/>
              <w:t>9.5x</w:t>
            </w:r>
          </w:p>
        </w:tc>
        <w:tc>
          <w:tcPr>
            <w:tcW w:w="1731" w:type="dxa"/>
            <w:tcBorders/>
          </w:tcPr>
          <w:p>
            <w:pPr>
              <w:pStyle w:val="Normal"/>
              <w:keepNext w:val="true"/>
              <w:numPr>
                <w:ilvl w:val="0"/>
                <w:numId w:val="0"/>
              </w:numPr>
              <w:tabs>
                <w:tab w:val="clear" w:pos="720"/>
                <w:tab w:val="decimal" w:pos="1216" w:leader="none"/>
              </w:tabs>
              <w:ind w:hanging="0" w:start="236" w:end="236"/>
              <w:rPr/>
            </w:pPr>
            <w:r>
              <w:rPr/>
              <w:t>8.5x</w:t>
            </w:r>
          </w:p>
        </w:tc>
        <w:tc>
          <w:tcPr>
            <w:tcW w:w="1827" w:type="dxa"/>
            <w:tcBorders/>
          </w:tcPr>
          <w:p>
            <w:pPr>
              <w:pStyle w:val="Normal"/>
              <w:keepNext w:val="true"/>
              <w:numPr>
                <w:ilvl w:val="0"/>
                <w:numId w:val="0"/>
              </w:numPr>
              <w:tabs>
                <w:tab w:val="clear" w:pos="720"/>
                <w:tab w:val="decimal" w:pos="1264" w:leader="none"/>
              </w:tabs>
              <w:ind w:hanging="0" w:start="283" w:end="283"/>
              <w:rPr/>
            </w:pPr>
            <w:r>
              <w:rPr/>
              <w:t>6.6x</w:t>
            </w:r>
          </w:p>
        </w:tc>
      </w:tr>
      <w:tr>
        <w:trPr/>
        <w:tc>
          <w:tcPr>
            <w:tcW w:w="3866" w:type="dxa"/>
            <w:tcBorders>
              <w:bottom w:val="single" w:sz="4" w:space="0" w:color="000000"/>
            </w:tcBorders>
          </w:tcPr>
          <w:p>
            <w:pPr>
              <w:pStyle w:val="Normal"/>
              <w:keepNext w:val="true"/>
              <w:numPr>
                <w:ilvl w:val="0"/>
                <w:numId w:val="0"/>
              </w:numPr>
              <w:ind w:hanging="0" w:start="0"/>
              <w:rPr/>
            </w:pPr>
            <w:r>
              <w:rPr/>
              <w:t>Total Debt/EBITDA</w:t>
            </w:r>
          </w:p>
        </w:tc>
        <w:tc>
          <w:tcPr>
            <w:tcW w:w="1923" w:type="dxa"/>
            <w:tcBorders>
              <w:bottom w:val="single" w:sz="4" w:space="0" w:color="000000"/>
            </w:tcBorders>
          </w:tcPr>
          <w:p>
            <w:pPr>
              <w:pStyle w:val="Normal"/>
              <w:keepNext w:val="true"/>
              <w:numPr>
                <w:ilvl w:val="0"/>
                <w:numId w:val="0"/>
              </w:numPr>
              <w:tabs>
                <w:tab w:val="clear" w:pos="720"/>
                <w:tab w:val="decimal" w:pos="1311" w:leader="none"/>
              </w:tabs>
              <w:ind w:hanging="0" w:start="332" w:end="332"/>
              <w:rPr/>
            </w:pPr>
            <w:r>
              <w:rPr/>
              <w:t>28.0x</w:t>
            </w:r>
          </w:p>
        </w:tc>
        <w:tc>
          <w:tcPr>
            <w:tcW w:w="1731" w:type="dxa"/>
            <w:tcBorders>
              <w:bottom w:val="single" w:sz="4" w:space="0" w:color="000000"/>
            </w:tcBorders>
          </w:tcPr>
          <w:p>
            <w:pPr>
              <w:pStyle w:val="Normal"/>
              <w:keepNext w:val="true"/>
              <w:numPr>
                <w:ilvl w:val="0"/>
                <w:numId w:val="0"/>
              </w:numPr>
              <w:tabs>
                <w:tab w:val="clear" w:pos="720"/>
                <w:tab w:val="decimal" w:pos="1216" w:leader="none"/>
              </w:tabs>
              <w:ind w:hanging="0" w:start="236" w:end="236"/>
              <w:rPr/>
            </w:pPr>
            <w:r>
              <w:rPr/>
              <w:t>27.7x</w:t>
            </w:r>
          </w:p>
        </w:tc>
        <w:tc>
          <w:tcPr>
            <w:tcW w:w="1827" w:type="dxa"/>
            <w:tcBorders>
              <w:bottom w:val="single" w:sz="4" w:space="0" w:color="000000"/>
            </w:tcBorders>
          </w:tcPr>
          <w:p>
            <w:pPr>
              <w:pStyle w:val="Normal"/>
              <w:keepNext w:val="true"/>
              <w:numPr>
                <w:ilvl w:val="0"/>
                <w:numId w:val="0"/>
              </w:numPr>
              <w:tabs>
                <w:tab w:val="clear" w:pos="720"/>
                <w:tab w:val="decimal" w:pos="1264" w:leader="none"/>
              </w:tabs>
              <w:ind w:hanging="0" w:start="283" w:end="283"/>
              <w:rPr/>
            </w:pPr>
            <w:r>
              <w:rPr/>
              <w:t>32.8x</w:t>
            </w:r>
          </w:p>
        </w:tc>
      </w:tr>
    </w:tbl>
    <w:p>
      <w:pPr>
        <w:pStyle w:val="Spacerhalf"/>
        <w:keepNext w:val="true"/>
        <w:rPr/>
      </w:pPr>
      <w:r>
        <w:rPr/>
      </w:r>
    </w:p>
    <w:p>
      <w:pPr>
        <w:pStyle w:val="TableFootnote"/>
        <w:keepNext w:val="true"/>
        <w:numPr>
          <w:ilvl w:val="0"/>
          <w:numId w:val="0"/>
        </w:numPr>
        <w:ind w:hanging="360" w:start="360" w:end="0"/>
        <w:rPr/>
      </w:pPr>
      <w:r>
        <w:rPr/>
        <w:t>(a)</w:t>
        <w:tab/>
        <w:t>Fiscal year-ends March 31.  J¥/US$ exchange rate at March 31, 1997, 1998 and 1999 were J¥123.79/US$1, J¥132.98/US$1 and J¥118.85/US$1.</w:t>
      </w:r>
    </w:p>
    <w:p>
      <w:pPr>
        <w:pStyle w:val="Spacerhalf"/>
        <w:rPr/>
      </w:pPr>
      <w:r>
        <w:rPr/>
      </w:r>
    </w:p>
    <w:p>
      <w:pPr>
        <w:pStyle w:val="Textboldbreak"/>
        <w:rPr/>
      </w:pPr>
      <w:r>
        <w:rPr/>
        <w:t>7.</w:t>
        <w:tab/>
        <w:t>Operational Energy Corporation</w:t>
      </w:r>
    </w:p>
    <w:p>
      <w:pPr>
        <w:pStyle w:val="WW-Text"/>
        <w:rPr/>
      </w:pPr>
      <w:r>
        <w:rPr/>
        <w:t>Operational Energy Corporation (“OEC”), a wholly-owned subsidiary of Enron Engineering &amp; Construction Company, is an operations and maintenance (O&amp;M) services company.  OEC’s business focus is to provide complete plant services beginning with the construction phase and continuing through the life of the facility.  Additionally, OEC provides services to plants requiring a “renewed” approach to plant O&amp;M.  In these cases, OEC has been successful at improving plant availability and capacity, plant safety records, and impacts to the environment.</w:t>
      </w:r>
    </w:p>
    <w:p>
      <w:pPr>
        <w:pStyle w:val="WW-Text"/>
        <w:rPr/>
      </w:pPr>
      <w:r>
        <w:rPr/>
        <w:t xml:space="preserve">OEC’s experience is drawn from its role as operator at over 30 plants worldwide.  The types of power plants OEC operates include natural gas-fired simple cycle, combined-cycle and cogeneration plants, as well as wood-fired plants. </w:t>
      </w:r>
    </w:p>
    <w:p>
      <w:pPr>
        <w:pStyle w:val="WW-Text"/>
        <w:rPr/>
      </w:pPr>
      <w:r>
        <w:rPr/>
        <w:t>OEC specializes in providing these services to the electric, thermal, water, and wastewater industries.  OEC was formed in 1985 as a wholly owned subsidiary of National Energy Production Corporation to provide third party O&amp;M services to the industry.  OEC was acquired by Enron in 1997 to provide full O&amp;M services to all Enron-owned facilities in North America and third-party services worldwide.</w:t>
      </w:r>
    </w:p>
    <w:p>
      <w:pPr>
        <w:pStyle w:val="WW-Text"/>
        <w:rPr/>
      </w:pPr>
      <w:r>
        <w:rPr/>
        <w:t xml:space="preserve">Third-party O&amp;M, start-up, training, warranty support and preparation of operations and training manuals are services OEC has provided since 1990.  After-market services include annual turnarounds, retrofits, revamps, decommissioning plant relocation and emergency repairs. </w:t>
      </w:r>
    </w:p>
    <w:p>
      <w:pPr>
        <w:sectPr>
          <w:headerReference w:type="default" r:id="rId43"/>
          <w:headerReference w:type="first" r:id="rId44"/>
          <w:footerReference w:type="default" r:id="rId45"/>
          <w:footerReference w:type="first" r:id="rId46"/>
          <w:type w:val="nextPage"/>
          <w:pgSz w:w="12240" w:h="15840"/>
          <w:pgMar w:left="1584" w:right="1296" w:gutter="0" w:header="288" w:top="1440" w:footer="504" w:bottom="1440"/>
          <w:pgNumType w:fmt="decimal"/>
          <w:formProt w:val="false"/>
          <w:titlePg/>
          <w:textDirection w:val="lrTb"/>
          <w:docGrid w:type="default" w:linePitch="360" w:charSpace="0"/>
        </w:sectPr>
        <w:pStyle w:val="WW-Text"/>
        <w:rPr/>
      </w:pPr>
      <w:r>
        <w:rPr/>
        <w:t>In addition to O&amp;M services, OEC provides due diligence evaluations, asset management services, owner-engineer oversight, O&amp;M personnel training, and the production of operations and maintenance manuals for these facilities.</w:t>
      </w:r>
    </w:p>
    <w:p>
      <w:pPr>
        <w:pStyle w:val="TabPage"/>
        <w:rPr/>
      </w:pPr>
      <w:r>
        <w:rPr/>
        <w:t>OPERATIONal AND ECONOMIC ASSUMPTIONS</w:t>
      </w:r>
      <w:r>
        <w:br w:type="page"/>
      </w:r>
    </w:p>
    <w:p>
      <w:pPr>
        <w:pStyle w:val="Textbold"/>
        <w:rPr/>
      </w:pPr>
      <w:r>
        <w:rPr/>
        <w:t>OPERATIONAL AND ECONOMIC ASSUMPTIONS</w:t>
      </w:r>
    </w:p>
    <w:p>
      <w:pPr>
        <w:sectPr>
          <w:headerReference w:type="default" r:id="rId47"/>
          <w:headerReference w:type="first" r:id="rId48"/>
          <w:footerReference w:type="default" r:id="rId49"/>
          <w:footerReference w:type="first" r:id="rId50"/>
          <w:type w:val="nextPage"/>
          <w:pgSz w:w="12240" w:h="15840"/>
          <w:pgMar w:left="1584" w:right="1296" w:gutter="0" w:header="288" w:top="1440" w:footer="504" w:bottom="1440"/>
          <w:pgNumType w:fmt="decimal"/>
          <w:formProt w:val="false"/>
          <w:titlePg/>
          <w:textDirection w:val="lrTb"/>
          <w:docGrid w:type="default" w:linePitch="360" w:charSpace="0"/>
        </w:sectPr>
        <w:pStyle w:val="Textbold"/>
        <w:rPr/>
      </w:pPr>
      <w:r>
        <w:rPr/>
        <w:t>The projected financial information set forth below is based on estimates and assumptions about circumstances and events that have not yet taken place and which are inherently subject to significant economic, competitive, tax and other uncertainties beyond the parties’ control. These projections are not viewed as facts and should not be relied upon as an accurate representation of future results of operations. Projecting the future operations of any business is inherently difficult. This difficulty is significantly exacerbated in attempting to project the operations of a new business such as Enron Energía Industrial de Mexico B.V.  There can be no assurance that the projected results will be achieved. In addition, there will usually be difference between projected and actual results because events and circumstances frequently do not occur as expected, and these differences may be material. Consequently, prospective purchasers are cautioned not to place undue reliance on the projected financial information or assumptions contained herein. These projections should be read in conjunction with the assumptions set forth elsewhere in this memorandum.</w:t>
      </w:r>
    </w:p>
    <w:p>
      <w:pPr>
        <w:pStyle w:val="OperatorNotes"/>
        <w:rPr/>
      </w:pPr>
      <w:r>
        <w:rPr/>
        <w:t>Tables pasted in as picture as per supervisor.</w:t>
      </w:r>
    </w:p>
    <w:p>
      <w:pPr>
        <w:pStyle w:val="Textbold"/>
        <w:jc w:val="both"/>
        <w:rPr/>
      </w:pPr>
      <w:r>
        <w:rPr/>
        <w:drawing>
          <wp:inline distT="0" distB="0" distL="0" distR="0">
            <wp:extent cx="8227060" cy="5322570"/>
            <wp:effectExtent l="0" t="0" r="0" b="0"/>
            <wp:docPr id="1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pic:cNvPicPr>
                      <a:picLocks noChangeAspect="1" noChangeArrowheads="1"/>
                    </pic:cNvPicPr>
                  </pic:nvPicPr>
                  <pic:blipFill>
                    <a:blip r:embed="rId51"/>
                    <a:srcRect l="-3" t="-5" r="-3" b="-5"/>
                    <a:stretch>
                      <a:fillRect/>
                    </a:stretch>
                  </pic:blipFill>
                  <pic:spPr bwMode="auto">
                    <a:xfrm>
                      <a:off x="0" y="0"/>
                      <a:ext cx="8227060" cy="5322570"/>
                    </a:xfrm>
                    <a:prstGeom prst="rect">
                      <a:avLst/>
                    </a:prstGeom>
                    <a:noFill/>
                  </pic:spPr>
                </pic:pic>
              </a:graphicData>
            </a:graphic>
          </wp:inline>
        </w:drawing>
      </w:r>
      <w:r>
        <w:br w:type="page"/>
      </w:r>
    </w:p>
    <w:p>
      <w:pPr>
        <w:pStyle w:val="OperatorNotes"/>
        <w:rPr/>
      </w:pPr>
      <w:r>
        <w:rPr/>
        <w:t>Tables pasted in as picture as per supervisor.</w:t>
      </w:r>
    </w:p>
    <w:p>
      <w:pPr>
        <w:sectPr>
          <w:headerReference w:type="default" r:id="rId54"/>
          <w:headerReference w:type="first" r:id="rId55"/>
          <w:footerReference w:type="default" r:id="rId56"/>
          <w:footerReference w:type="first" r:id="rId57"/>
          <w:type w:val="nextPage"/>
          <w:pgSz w:orient="landscape" w:w="15840" w:h="12240"/>
          <w:pgMar w:left="1440" w:right="1440" w:gutter="0" w:header="288" w:top="1584" w:footer="504" w:bottom="1296"/>
          <w:pgNumType w:fmt="decimal"/>
          <w:formProt w:val="false"/>
          <w:textDirection w:val="lrTb"/>
          <w:docGrid w:type="default" w:linePitch="360" w:charSpace="0"/>
        </w:sectPr>
        <w:pStyle w:val="Textbold"/>
        <w:rPr/>
      </w:pPr>
      <w:bookmarkStart w:id="1" w:name="_1035632846"/>
      <w:bookmarkStart w:id="2" w:name="_1035632576"/>
      <w:bookmarkStart w:id="3" w:name="_1035632403"/>
      <w:bookmarkStart w:id="4" w:name="_1035632358"/>
      <w:bookmarkEnd w:id="1"/>
      <w:bookmarkEnd w:id="2"/>
      <w:bookmarkEnd w:id="3"/>
      <w:bookmarkEnd w:id="4"/>
      <w:r>
        <w:rPr/>
        <w:object w:dxaOrig="13035" w:dyaOrig="873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651.75pt;height:436.5pt" filled="f" o:ole="">
            <v:imagedata r:id="rId53" o:title=""/>
          </v:shape>
          <o:OLEObject Type="Embed" ProgID="" ShapeID="ole_rId52" DrawAspect="Content" ObjectID="_1222386616" r:id="rId52"/>
        </w:object>
      </w:r>
    </w:p>
    <w:p>
      <w:pPr>
        <w:sectPr>
          <w:headerReference w:type="default" r:id="rId58"/>
          <w:headerReference w:type="first" r:id="rId59"/>
          <w:footerReference w:type="default" r:id="rId60"/>
          <w:footerReference w:type="first" r:id="rId61"/>
          <w:type w:val="nextPage"/>
          <w:pgSz w:w="12240" w:h="15840"/>
          <w:pgMar w:left="1584" w:right="1296" w:gutter="0" w:header="288" w:top="1440" w:footer="504" w:bottom="1440"/>
          <w:pgNumType w:fmt="decimal"/>
          <w:formProt w:val="false"/>
          <w:titlePg/>
          <w:textDirection w:val="lrTb"/>
          <w:docGrid w:type="default" w:linePitch="360" w:charSpace="0"/>
        </w:sectPr>
        <w:pStyle w:val="TabPage"/>
        <w:rPr/>
      </w:pPr>
      <w:r>
        <w:rPr/>
        <w:t>Appendices</w:t>
      </w:r>
    </w:p>
    <w:p>
      <w:pPr>
        <w:pStyle w:val="TabPage"/>
        <w:rPr/>
      </w:pPr>
      <w:r>
        <w:rPr/>
        <w:t>THE MEXICAN POWER sector</w:t>
      </w:r>
      <w:r>
        <w:br w:type="page"/>
      </w:r>
    </w:p>
    <w:p>
      <w:pPr>
        <w:pStyle w:val="Textbold"/>
        <w:rPr/>
      </w:pPr>
      <w:r>
        <w:rPr/>
        <w:t>1.</w:t>
        <w:tab/>
        <w:t>Overview</w:t>
      </w:r>
    </w:p>
    <w:p>
      <w:pPr>
        <w:pStyle w:val="WW-Text"/>
        <w:rPr/>
      </w:pPr>
      <w:r>
        <w:rPr/>
        <w:t xml:space="preserve">The country’s power market is a state-owned monopoly vertically structured under two state-owned enterprises, Comisión Federal de Electricidad (“CFE”) and Luz y Fuerza del Centro (“LFC”).  CFE accounts for 90% of the total installed capacity in Mexico and approximately 99% of all Mexican energy production, and LFC (which serves the Mexico City area) accounts for 2% of the total installed capacity.  CFE covers a service territory of nearly 2 million square kilometers, and provides service to approximately 16 million customers.  LFC has a smaller service territory of approximately 20.5 thousand square kilometers and provides service to nearly 5 million customers; however, CFE is the primary producer of electricity for LFC’s customers.  About 95% of the Mexican population has electrical service.  </w:t>
      </w:r>
    </w:p>
    <w:p>
      <w:pPr>
        <w:pStyle w:val="WW-Text"/>
        <w:rPr/>
      </w:pPr>
      <w:r>
        <w:rPr/>
        <w:t>Electricity generation in Mexico was supplied in 1999 with an installed capacity in the National Electric System of 35,675 MW (27.1% hydro, 59.8% hydrocarbons, 7.3% coal fired plants, 3.7% nuclear, and 2.1% geothermal and wind). In addition, installed capacity of self-generators was around 2,500 MW. Total gross generation was 191,888 GWh in 1999 and CFE estimates future demand growth to be 5.5% per year for the next 10 years (1998 – 2008). The expected requirements of new installed capacity by year 2008 are around 20,800 MW, according to government figures. The government expects that a substantial portion of the investment program is expected to be implemented with private sector participation including, at least in the next several years, investments through the IPP scheme created in the 1992 amendment to the Electricity Law.  Electricity coverage in Mexico is approximately 95%. The Mexican electricity system is completely interconnected and behaves as a market, with the exception of the Baja California Peninsula, which remains isolated due to technical and economical reasons, and the Northwest which has a weak interconnection with the National System.</w:t>
      </w:r>
    </w:p>
    <w:p>
      <w:pPr>
        <w:pStyle w:val="Textbold"/>
        <w:rPr/>
      </w:pPr>
      <w:r>
        <w:rPr/>
        <w:t>2.</w:t>
        <w:tab/>
        <w:t>Legal and Regulatory Framework</w:t>
      </w:r>
    </w:p>
    <w:p>
      <w:pPr>
        <w:pStyle w:val="WW-Text"/>
        <w:rPr/>
      </w:pPr>
      <w:r>
        <w:rPr/>
        <w:t xml:space="preserve">Pursuant to the </w:t>
      </w:r>
      <w:r>
        <w:rPr>
          <w:i/>
        </w:rPr>
        <w:t>Constitución Política de los Estados Unidos Mexicanos</w:t>
      </w:r>
      <w:r>
        <w:rPr/>
        <w:t xml:space="preserve"> (the “Constitution”) and the </w:t>
      </w:r>
      <w:r>
        <w:rPr>
          <w:i/>
        </w:rPr>
        <w:t>Ley del Servicio Público de Energía Eléctrica</w:t>
      </w:r>
      <w:r>
        <w:rPr/>
        <w:t xml:space="preserve"> (the “Electricity Law”), the authority to generate, transmit, distribute and supply electricity for public services is reserved to the Mexican State. </w:t>
      </w:r>
    </w:p>
    <w:p>
      <w:pPr>
        <w:pStyle w:val="WW-Text"/>
        <w:rPr/>
      </w:pPr>
      <w:r>
        <w:rPr/>
        <w:t>During the last decade there have been several legislative actions taken by the Mexican Government which have shaped the energy sector’s development.  The most notable are:</w:t>
      </w:r>
    </w:p>
    <w:p>
      <w:pPr>
        <w:pStyle w:val="Bullet1"/>
        <w:numPr>
          <w:ilvl w:val="0"/>
          <w:numId w:val="12"/>
        </w:numPr>
        <w:ind w:hanging="0" w:start="0"/>
        <w:rPr/>
      </w:pPr>
      <w:r>
        <w:rPr/>
        <w:t xml:space="preserve">In December 1992, the Electricity Law was modified and then revised again in May 1993 to allow for private sector participation in generation through activities defined as “private services”.  Such activities include: </w:t>
      </w:r>
    </w:p>
    <w:p>
      <w:pPr>
        <w:pStyle w:val="Normal"/>
        <w:numPr>
          <w:ilvl w:val="0"/>
          <w:numId w:val="0"/>
        </w:numPr>
        <w:tabs>
          <w:tab w:val="clear" w:pos="720"/>
          <w:tab w:val="left" w:pos="-3060" w:leader="none"/>
          <w:tab w:val="left" w:pos="-2880" w:leader="none"/>
          <w:tab w:val="left" w:pos="900" w:leader="none"/>
        </w:tabs>
        <w:spacing w:before="60" w:after="0"/>
        <w:ind w:hanging="540" w:start="900" w:end="0"/>
        <w:jc w:val="both"/>
        <w:rPr/>
      </w:pPr>
      <w:r>
        <w:rPr/>
        <w:t>(i)</w:t>
        <w:tab/>
        <w:t xml:space="preserve">Independent Power Producers (“IPPs”), such as the Mérida, Hermosillo, Rio Bravo and Saltillo projects.  IPPs are generators with a capacity exceeding 30 MW for sale exclusively to CFE and LFC.  IPP contracts, which are awarded as a result of a competitive process, grant a contractual price to the generators; </w:t>
      </w:r>
    </w:p>
    <w:p>
      <w:pPr>
        <w:pStyle w:val="Normal"/>
        <w:numPr>
          <w:ilvl w:val="0"/>
          <w:numId w:val="0"/>
        </w:numPr>
        <w:tabs>
          <w:tab w:val="clear" w:pos="720"/>
          <w:tab w:val="left" w:pos="-3060" w:leader="none"/>
          <w:tab w:val="left" w:pos="-2880" w:leader="none"/>
          <w:tab w:val="left" w:pos="900" w:leader="none"/>
        </w:tabs>
        <w:spacing w:before="60" w:after="0"/>
        <w:ind w:hanging="540" w:start="900" w:end="0"/>
        <w:jc w:val="both"/>
        <w:rPr/>
      </w:pPr>
      <w:r>
        <w:rPr/>
        <w:t>(ii)</w:t>
        <w:tab/>
        <w:t xml:space="preserve">Self-supply producers such as the Project (dedicated for use within a facility owned by the generator and its partners, as long as it does not impair the national system); </w:t>
      </w:r>
    </w:p>
    <w:p>
      <w:pPr>
        <w:pStyle w:val="Normal"/>
        <w:numPr>
          <w:ilvl w:val="0"/>
          <w:numId w:val="0"/>
        </w:numPr>
        <w:tabs>
          <w:tab w:val="clear" w:pos="720"/>
          <w:tab w:val="left" w:pos="-3060" w:leader="none"/>
          <w:tab w:val="left" w:pos="-2880" w:leader="none"/>
          <w:tab w:val="left" w:pos="900" w:leader="none"/>
        </w:tabs>
        <w:spacing w:before="60" w:after="0"/>
        <w:ind w:hanging="540" w:start="900" w:end="0"/>
        <w:jc w:val="both"/>
        <w:rPr/>
      </w:pPr>
      <w:r>
        <w:rPr/>
        <w:t>(iii)</w:t>
        <w:tab/>
        <w:t xml:space="preserve">Cogenerators; </w:t>
      </w:r>
    </w:p>
    <w:p>
      <w:pPr>
        <w:pStyle w:val="Normal"/>
        <w:numPr>
          <w:ilvl w:val="0"/>
          <w:numId w:val="0"/>
        </w:numPr>
        <w:tabs>
          <w:tab w:val="clear" w:pos="720"/>
          <w:tab w:val="left" w:pos="-3060" w:leader="none"/>
          <w:tab w:val="left" w:pos="-2880" w:leader="none"/>
          <w:tab w:val="left" w:pos="900" w:leader="none"/>
        </w:tabs>
        <w:spacing w:before="60" w:after="0"/>
        <w:ind w:hanging="540" w:start="900" w:end="0"/>
        <w:jc w:val="both"/>
        <w:rPr/>
      </w:pPr>
      <w:r>
        <w:rPr/>
        <w:t>(iv)</w:t>
        <w:tab/>
        <w:t>Small scale producers (under 30 MW capacity permitted where they only serve remote, isolated areas); and</w:t>
      </w:r>
    </w:p>
    <w:p>
      <w:pPr>
        <w:pStyle w:val="Normal"/>
        <w:numPr>
          <w:ilvl w:val="0"/>
          <w:numId w:val="0"/>
        </w:numPr>
        <w:tabs>
          <w:tab w:val="clear" w:pos="720"/>
          <w:tab w:val="left" w:pos="-3060" w:leader="none"/>
          <w:tab w:val="left" w:pos="-2880" w:leader="none"/>
          <w:tab w:val="left" w:pos="900" w:leader="none"/>
        </w:tabs>
        <w:spacing w:before="60" w:after="0"/>
        <w:ind w:hanging="540" w:start="900" w:end="0"/>
        <w:jc w:val="both"/>
        <w:rPr/>
      </w:pPr>
      <w:r>
        <w:rPr/>
        <w:t>(v)</w:t>
        <w:tab/>
        <w:t xml:space="preserve">Importation of power for self-consumption purposes only. </w:t>
      </w:r>
    </w:p>
    <w:p>
      <w:pPr>
        <w:pStyle w:val="WW-Text"/>
        <w:rPr/>
      </w:pPr>
      <w:r>
        <w:rPr/>
        <w:t>CFE and LFC retained their monopoly for electricity transmission and distribution.</w:t>
      </w:r>
    </w:p>
    <w:p>
      <w:pPr>
        <w:pStyle w:val="Bullet1"/>
        <w:numPr>
          <w:ilvl w:val="0"/>
          <w:numId w:val="12"/>
        </w:numPr>
        <w:ind w:hanging="360" w:start="540" w:end="0"/>
        <w:rPr/>
      </w:pPr>
      <w:r>
        <w:rPr/>
        <w:t>In November 1995, the Regulation on Natural Gas was modified to allow the private sector to supply, construct, transport, distribute and provide natural gas storage facilities, as well as import and export this fuel.  Previously, this had been within the monopoly of Pemex.</w:t>
      </w:r>
    </w:p>
    <w:p>
      <w:pPr>
        <w:pStyle w:val="Bullet1"/>
        <w:numPr>
          <w:ilvl w:val="0"/>
          <w:numId w:val="12"/>
        </w:numPr>
        <w:ind w:hanging="360" w:start="540" w:end="0"/>
        <w:rPr/>
      </w:pPr>
      <w:r>
        <w:rPr/>
        <w:t xml:space="preserve">In October 1995, the </w:t>
      </w:r>
      <w:r>
        <w:rPr>
          <w:i/>
        </w:rPr>
        <w:t>Comisión Reguladora de Energía</w:t>
      </w:r>
      <w:r>
        <w:rPr/>
        <w:t xml:space="preserve"> (“CRE”), the Mexican energy regulatory body, was established within the Ministry of Energy to set clear, transparent and objective rules for all participants involved in the electricity and natural gas sectors.</w:t>
      </w:r>
    </w:p>
    <w:p>
      <w:pPr>
        <w:pStyle w:val="Bullet1"/>
        <w:numPr>
          <w:ilvl w:val="0"/>
          <w:numId w:val="12"/>
        </w:numPr>
        <w:ind w:hanging="360" w:start="540" w:end="0"/>
        <w:rPr/>
      </w:pPr>
      <w:r>
        <w:rPr/>
        <w:t>In January 1997, CRE revised the Electricity Law governing transmission tariffs for surplus power and the charges for back-up power from CFE.  Tariffs were also revised to account for changes in fuel and other relevant prices in regards to inflation.</w:t>
      </w:r>
    </w:p>
    <w:p>
      <w:pPr>
        <w:pStyle w:val="Bullet1"/>
        <w:numPr>
          <w:ilvl w:val="0"/>
          <w:numId w:val="12"/>
        </w:numPr>
        <w:ind w:hanging="360" w:start="540" w:end="0"/>
        <w:rPr/>
      </w:pPr>
      <w:r>
        <w:rPr/>
        <w:t>In July 1997, the Electricity Law was once again revised to clarify the use of cogeneration and self-generation in regards to “emergency cases”.  In such cases, CFE would accept power from private generators, and allow the private sector to construct and maintain transmission lines for their own use.</w:t>
      </w:r>
    </w:p>
    <w:p>
      <w:pPr>
        <w:pStyle w:val="Bullet1"/>
        <w:numPr>
          <w:ilvl w:val="0"/>
          <w:numId w:val="12"/>
        </w:numPr>
        <w:ind w:hanging="360" w:start="540" w:end="0"/>
        <w:rPr/>
      </w:pPr>
      <w:r>
        <w:rPr/>
        <w:t xml:space="preserve">In August 1999, the tariff on natural gas imports was lifted. </w:t>
      </w:r>
    </w:p>
    <w:p>
      <w:pPr>
        <w:pStyle w:val="Textbold"/>
        <w:rPr/>
      </w:pPr>
      <w:r>
        <w:rPr/>
        <w:t>Current power sector structure</w:t>
      </w:r>
    </w:p>
    <w:p>
      <w:pPr>
        <w:pStyle w:val="WW-Text"/>
        <w:rPr/>
      </w:pPr>
      <w:r>
        <w:rPr/>
        <w:t xml:space="preserve">The electricity sector is currently organized along the following lines: </w:t>
      </w:r>
    </w:p>
    <w:p>
      <w:pPr>
        <w:pStyle w:val="Bullet1"/>
        <w:numPr>
          <w:ilvl w:val="0"/>
          <w:numId w:val="12"/>
        </w:numPr>
        <w:ind w:hanging="360" w:start="540" w:end="0"/>
        <w:rPr/>
      </w:pPr>
      <w:r>
        <w:rPr>
          <w:b/>
        </w:rPr>
        <w:t>Planning</w:t>
      </w:r>
      <w:r>
        <w:rPr/>
        <w:t xml:space="preserve"> is CFE’s responsibility.  The </w:t>
      </w:r>
      <w:r>
        <w:rPr>
          <w:i/>
        </w:rPr>
        <w:t>Secretaría de Energía</w:t>
      </w:r>
      <w:r>
        <w:rPr/>
        <w:t xml:space="preserve"> oversees the planning of the national electricity sector, while LFC is in charge of planning its own distribution system.</w:t>
      </w:r>
    </w:p>
    <w:p>
      <w:pPr>
        <w:pStyle w:val="Bullet1"/>
        <w:numPr>
          <w:ilvl w:val="0"/>
          <w:numId w:val="12"/>
        </w:numPr>
        <w:ind w:hanging="360" w:start="540" w:end="0"/>
        <w:rPr/>
      </w:pPr>
      <w:r>
        <w:rPr>
          <w:b/>
        </w:rPr>
        <w:t>Generation</w:t>
      </w:r>
      <w:r>
        <w:rPr/>
        <w:t xml:space="preserve"> is carried out by CFE (with 90% of total generation capacity), LFC (with 2.3%), co-generators and self-generators (Pemex 4.4% and privately owned 3.3%).  Six IPP projects (Mérida III, Hermosillo, Rio Bravo, Saltillo, Bajio and Tuxpan) will begin operations in 2000 and 2001.</w:t>
      </w:r>
    </w:p>
    <w:p>
      <w:pPr>
        <w:pStyle w:val="Bullet1"/>
        <w:numPr>
          <w:ilvl w:val="0"/>
          <w:numId w:val="12"/>
        </w:numPr>
        <w:ind w:hanging="360" w:start="540" w:end="0"/>
        <w:rPr/>
      </w:pPr>
      <w:r>
        <w:rPr>
          <w:b/>
        </w:rPr>
        <w:t>Electrical dispatch</w:t>
      </w:r>
      <w:r>
        <w:rPr/>
        <w:t xml:space="preserve"> is the responsibility of CFE.</w:t>
      </w:r>
    </w:p>
    <w:p>
      <w:pPr>
        <w:pStyle w:val="Bullet1"/>
        <w:numPr>
          <w:ilvl w:val="0"/>
          <w:numId w:val="12"/>
        </w:numPr>
        <w:ind w:hanging="360" w:start="540" w:end="0"/>
        <w:rPr/>
      </w:pPr>
      <w:r>
        <w:rPr>
          <w:b/>
        </w:rPr>
        <w:t>Transmission</w:t>
      </w:r>
      <w:r>
        <w:rPr/>
        <w:t xml:space="preserve"> is the responsibility of CFE and LFC.  In the case of private generators, transmission is provided through the national grid under interconnection contracts.</w:t>
      </w:r>
    </w:p>
    <w:p>
      <w:pPr>
        <w:pStyle w:val="Bullet1"/>
        <w:numPr>
          <w:ilvl w:val="0"/>
          <w:numId w:val="12"/>
        </w:numPr>
        <w:ind w:hanging="360" w:start="540" w:end="0"/>
        <w:rPr/>
      </w:pPr>
      <w:r>
        <w:rPr>
          <w:b/>
        </w:rPr>
        <w:t>Distribution</w:t>
      </w:r>
      <w:r>
        <w:rPr/>
        <w:t xml:space="preserve"> is the responsibility of CFE throughout most of the country (90 percent of national distribution capacity) and of LFC in the central area (10 percent).  CFE and LFC have divided their distribution systems into business units with a view to decentralizing operations.</w:t>
      </w:r>
    </w:p>
    <w:p>
      <w:pPr>
        <w:pStyle w:val="Bullet1"/>
        <w:numPr>
          <w:ilvl w:val="0"/>
          <w:numId w:val="12"/>
        </w:numPr>
        <w:ind w:hanging="360" w:start="540" w:end="0"/>
        <w:rPr/>
      </w:pPr>
      <w:r>
        <w:rPr>
          <w:b/>
        </w:rPr>
        <w:t>Marketing</w:t>
      </w:r>
      <w:r>
        <w:rPr/>
        <w:t xml:space="preserve"> is the responsibility of CFE and LFC.  Private co-generators and self-generators are only authorized to sell energy to CFE and they cannot market their electricity directly to third parties.  The IPPs have long-term contracts to sell all their production to CFE.</w:t>
      </w:r>
    </w:p>
    <w:p>
      <w:pPr>
        <w:pStyle w:val="Bullet1"/>
        <w:numPr>
          <w:ilvl w:val="0"/>
          <w:numId w:val="12"/>
        </w:numPr>
        <w:ind w:hanging="360" w:start="540" w:end="0"/>
        <w:rPr/>
      </w:pPr>
      <w:r>
        <w:rPr>
          <w:b/>
        </w:rPr>
        <w:t>End Users.</w:t>
      </w:r>
      <w:r>
        <w:rPr/>
        <w:t xml:space="preserve">  Only CFE and LFC can supply electricity to end consumers.  However, certain industrial users have opted for self-supply or co-generation arrangements.</w:t>
      </w:r>
    </w:p>
    <w:p>
      <w:pPr>
        <w:pStyle w:val="GraphicHead"/>
        <w:rPr/>
      </w:pPr>
      <w:r>
        <w:rPr/>
        <w:t>Current Power Sector Structure</w:t>
      </w:r>
    </w:p>
    <w:p>
      <w:pPr>
        <w:pStyle w:val="OperatorNotes"/>
        <w:ind w:start="540" w:end="0"/>
        <w:rPr>
          <w:rFonts w:ascii="Times New Roman" w:hAnsi="Times New Roman" w:cs="Times New Roman"/>
          <w:sz w:val="22"/>
        </w:rPr>
      </w:pPr>
      <w:r>
        <w:rPr>
          <w:rFonts w:cs="Times New Roman" w:ascii="Times New Roman" w:hAnsi="Times New Roman"/>
          <w:sz w:val="22"/>
        </w:rPr>
        <w:t>P:\pc\docs\e\0110172d.cdr</w:t>
      </w:r>
    </w:p>
    <w:p>
      <w:pPr>
        <w:pStyle w:val="Graphic"/>
        <w:rPr/>
      </w:pPr>
      <w:r>
        <w:rPr/>
        <w:drawing>
          <wp:inline distT="0" distB="0" distL="0" distR="0">
            <wp:extent cx="4615180" cy="3107055"/>
            <wp:effectExtent l="0" t="0" r="0" b="0"/>
            <wp:docPr id="1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pic:cNvPicPr>
                      <a:picLocks noChangeAspect="1" noChangeArrowheads="1"/>
                    </pic:cNvPicPr>
                  </pic:nvPicPr>
                  <pic:blipFill>
                    <a:blip r:embed="rId62"/>
                    <a:srcRect l="-8" t="-12" r="-8" b="-12"/>
                    <a:stretch>
                      <a:fillRect/>
                    </a:stretch>
                  </pic:blipFill>
                  <pic:spPr bwMode="auto">
                    <a:xfrm>
                      <a:off x="0" y="0"/>
                      <a:ext cx="4615180" cy="3107055"/>
                    </a:xfrm>
                    <a:prstGeom prst="rect">
                      <a:avLst/>
                    </a:prstGeom>
                    <a:noFill/>
                  </pic:spPr>
                </pic:pic>
              </a:graphicData>
            </a:graphic>
          </wp:inline>
        </w:drawing>
      </w:r>
    </w:p>
    <w:p>
      <w:pPr>
        <w:pStyle w:val="Spacerhalf"/>
        <w:keepNext w:val="true"/>
        <w:rPr/>
      </w:pPr>
      <w:r>
        <w:rPr/>
      </w:r>
    </w:p>
    <w:p>
      <w:pPr>
        <w:pStyle w:val="Source"/>
        <w:rPr/>
      </w:pPr>
      <w:r>
        <w:rPr/>
        <w:t xml:space="preserve">Source:  </w:t>
      </w:r>
      <w:r>
        <w:rPr>
          <w:i/>
        </w:rPr>
        <w:t>Secretaría de Energía</w:t>
      </w:r>
      <w:r>
        <w:rPr/>
        <w:t>, Mexico, February 1999</w:t>
      </w:r>
    </w:p>
    <w:p>
      <w:pPr>
        <w:pStyle w:val="Spacerhalf"/>
        <w:rPr/>
      </w:pPr>
      <w:r>
        <w:rPr/>
      </w:r>
    </w:p>
    <w:p>
      <w:pPr>
        <w:pStyle w:val="Textbold"/>
        <w:rPr/>
      </w:pPr>
      <w:r>
        <w:rPr/>
        <w:t>Government’s relationship with CFE</w:t>
      </w:r>
    </w:p>
    <w:p>
      <w:pPr>
        <w:pStyle w:val="WW-Text"/>
        <w:rPr/>
      </w:pPr>
      <w:r>
        <w:rPr/>
        <w:t xml:space="preserve">In accordance with the Electricity Law, the Mexican Government maintains close supervision of CFE.  The membership of CFE’s Board of Governors is designated by law and includes the Secretary of the </w:t>
      </w:r>
      <w:r>
        <w:rPr>
          <w:i/>
        </w:rPr>
        <w:t>Secretaría de Energía</w:t>
      </w:r>
      <w:r>
        <w:rPr/>
        <w:t xml:space="preserve"> as Chairman, the Secretary of the Ministry of Finance and Public Credit, the director of Pemex and three labor delegates from the electrical sector union.  Its chief executive officer is appointed by the President of Mexico.</w:t>
      </w:r>
    </w:p>
    <w:p>
      <w:pPr>
        <w:pStyle w:val="WW-Text"/>
        <w:rPr/>
      </w:pPr>
      <w:r>
        <w:rPr/>
        <w:t>The obligations of CFE are not supported the full faith and credit of Mexico.</w:t>
      </w:r>
    </w:p>
    <w:p>
      <w:pPr>
        <w:pStyle w:val="WW-Text"/>
        <w:rPr/>
      </w:pPr>
      <w:r>
        <w:rPr/>
        <w:t>CFE’s activities are monitored by the Ministry of Energy and its annual budget, including its borrowing and capital plans, have to be submitted to, and approved by, the Ministry of Energy and the Ministry of Finance and Public Credit.  CFE’s budget is then incorporated into the Mexican Government’s federal budget and submitted to the Chamber of Deputies of the Mexican Federal Congress for approval.  Additionally, CFE must report periodically on its compliance with operating targets and financial results to the Ministry of the Comptroller and Administrative Development, which is also responsible for the appointment of CFE’s external auditors.</w:t>
      </w:r>
    </w:p>
    <w:p>
      <w:pPr>
        <w:pStyle w:val="Textbold"/>
        <w:rPr/>
      </w:pPr>
      <w:r>
        <w:rPr/>
        <w:t>3.</w:t>
        <w:tab/>
        <w:t>Electricity Demand</w:t>
      </w:r>
    </w:p>
    <w:p>
      <w:pPr>
        <w:pStyle w:val="Textbold"/>
        <w:rPr/>
      </w:pPr>
      <w:r>
        <w:rPr/>
        <w:t>Historical data</w:t>
      </w:r>
    </w:p>
    <w:p>
      <w:pPr>
        <w:pStyle w:val="WW-Text"/>
        <w:rPr/>
      </w:pPr>
      <w:r>
        <w:rPr/>
        <w:t>During the five years ended December 31, 1998, CFE’s energy sales grew at an average annual rate of 4.5%, from 115,117</w:t>
      </w:r>
      <w:r>
        <w:rPr>
          <w:b/>
        </w:rPr>
        <w:t xml:space="preserve"> </w:t>
      </w:r>
      <w:r>
        <w:rPr/>
        <w:t>GWh in 1994 to 143,307</w:t>
      </w:r>
      <w:r>
        <w:rPr>
          <w:b/>
        </w:rPr>
        <w:t xml:space="preserve"> </w:t>
      </w:r>
      <w:r>
        <w:rPr/>
        <w:t xml:space="preserve">GWh in 1998. </w:t>
      </w:r>
    </w:p>
    <w:p>
      <w:pPr>
        <w:pStyle w:val="WW-Text"/>
        <w:rPr/>
      </w:pPr>
      <w:r>
        <w:rPr/>
        <w:t>There are five primary types of customers: industrial (60% of energy sales), residential (23%), commercial (7%), agricultural (6%), and public services (4%).  Historically, energy sales growth was driven mainly by the industrial customer base.  Next was the residential customer base, the commercial customer base, the public service base, and finally the agricultural customer base.</w:t>
      </w:r>
    </w:p>
    <w:p>
      <w:pPr>
        <w:pStyle w:val="WW-Text"/>
        <w:rPr/>
      </w:pPr>
      <w:r>
        <w:rPr/>
        <w:t>The Public Sector gross electricity consumption in Mexico in 1999 (estimated by CFE) was 181,173 GWh representing a 5.5% increase over 1998. The historical trend of electricity demand is summarized as follows:</w:t>
      </w:r>
    </w:p>
    <w:p>
      <w:pPr>
        <w:pStyle w:val="Spacer"/>
        <w:rPr/>
      </w:pPr>
      <w:r>
        <w:rPr/>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00FF" w:val="clear"/>
          </w:tcPr>
          <w:p>
            <w:pPr>
              <w:pStyle w:val="Texthead"/>
              <w:keepNext w:val="true"/>
              <w:keepLines/>
              <w:numPr>
                <w:ilvl w:val="0"/>
                <w:numId w:val="0"/>
              </w:numPr>
              <w:spacing w:before="120" w:after="60"/>
              <w:ind w:hanging="0" w:start="72" w:end="72"/>
              <w:rPr/>
            </w:pPr>
            <w:r>
              <w:rPr/>
              <w:t>Mexico Historical Electricity Demand — Public Sector</w:t>
            </w:r>
          </w:p>
        </w:tc>
      </w:tr>
    </w:tbl>
    <w:p>
      <w:pPr>
        <w:pStyle w:val="Hidden"/>
        <w:keepLines/>
        <w:numPr>
          <w:ilvl w:val="0"/>
          <w:numId w:val="0"/>
        </w:numPr>
        <w:ind w:hanging="0" w:start="0"/>
        <w:rPr>
          <w:rFonts w:ascii="Times New Roman" w:hAnsi="Times New Roman" w:cs="Times New Roman"/>
        </w:rPr>
      </w:pPr>
      <w:r>
        <w:rPr>
          <w:rFonts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2160"/>
        <w:gridCol w:w="1200"/>
        <w:gridCol w:w="1200"/>
        <w:gridCol w:w="1200"/>
        <w:gridCol w:w="1200"/>
        <w:gridCol w:w="1200"/>
        <w:gridCol w:w="1200"/>
      </w:tblGrid>
      <w:tr>
        <w:trPr/>
        <w:tc>
          <w:tcPr>
            <w:tcW w:w="2160" w:type="dxa"/>
            <w:tcBorders>
              <w:bottom w:val="single" w:sz="6" w:space="0" w:color="000000"/>
            </w:tcBorders>
          </w:tcPr>
          <w:p>
            <w:pPr>
              <w:pStyle w:val="Normal"/>
              <w:keepNext w:val="true"/>
              <w:keepLines/>
              <w:numPr>
                <w:ilvl w:val="0"/>
                <w:numId w:val="0"/>
              </w:numPr>
              <w:snapToGrid w:val="false"/>
              <w:spacing w:before="60" w:after="60"/>
              <w:ind w:hanging="0" w:start="0"/>
              <w:rPr>
                <w:b/>
                <w:sz w:val="18"/>
              </w:rPr>
            </w:pPr>
            <w:r>
              <w:rPr>
                <w:b/>
                <w:sz w:val="18"/>
              </w:rPr>
            </w:r>
          </w:p>
        </w:tc>
        <w:tc>
          <w:tcPr>
            <w:tcW w:w="1200" w:type="dxa"/>
            <w:tcBorders>
              <w:bottom w:val="single" w:sz="6" w:space="0" w:color="000000"/>
            </w:tcBorders>
          </w:tcPr>
          <w:p>
            <w:pPr>
              <w:pStyle w:val="Normal"/>
              <w:keepNext w:val="true"/>
              <w:keepLines/>
              <w:numPr>
                <w:ilvl w:val="0"/>
                <w:numId w:val="0"/>
              </w:numPr>
              <w:spacing w:before="60" w:after="60"/>
              <w:ind w:hanging="0" w:start="0"/>
              <w:jc w:val="center"/>
              <w:rPr>
                <w:b/>
                <w:sz w:val="18"/>
              </w:rPr>
            </w:pPr>
            <w:r>
              <w:rPr>
                <w:b/>
                <w:sz w:val="18"/>
              </w:rPr>
              <w:t>1994</w:t>
            </w:r>
          </w:p>
        </w:tc>
        <w:tc>
          <w:tcPr>
            <w:tcW w:w="1200" w:type="dxa"/>
            <w:tcBorders>
              <w:bottom w:val="single" w:sz="6" w:space="0" w:color="000000"/>
            </w:tcBorders>
          </w:tcPr>
          <w:p>
            <w:pPr>
              <w:pStyle w:val="Normal"/>
              <w:keepNext w:val="true"/>
              <w:keepLines/>
              <w:numPr>
                <w:ilvl w:val="0"/>
                <w:numId w:val="0"/>
              </w:numPr>
              <w:spacing w:before="60" w:after="60"/>
              <w:ind w:hanging="0" w:start="0"/>
              <w:jc w:val="center"/>
              <w:rPr>
                <w:b/>
                <w:sz w:val="18"/>
              </w:rPr>
            </w:pPr>
            <w:r>
              <w:rPr>
                <w:b/>
                <w:sz w:val="18"/>
              </w:rPr>
              <w:t>1995</w:t>
            </w:r>
          </w:p>
        </w:tc>
        <w:tc>
          <w:tcPr>
            <w:tcW w:w="1200" w:type="dxa"/>
            <w:tcBorders>
              <w:bottom w:val="single" w:sz="6" w:space="0" w:color="000000"/>
            </w:tcBorders>
          </w:tcPr>
          <w:p>
            <w:pPr>
              <w:pStyle w:val="Normal"/>
              <w:keepNext w:val="true"/>
              <w:keepLines/>
              <w:numPr>
                <w:ilvl w:val="0"/>
                <w:numId w:val="0"/>
              </w:numPr>
              <w:spacing w:before="60" w:after="60"/>
              <w:ind w:hanging="0" w:start="0"/>
              <w:jc w:val="center"/>
              <w:rPr>
                <w:b/>
                <w:sz w:val="18"/>
              </w:rPr>
            </w:pPr>
            <w:r>
              <w:rPr>
                <w:b/>
                <w:sz w:val="18"/>
              </w:rPr>
              <w:t>1996</w:t>
            </w:r>
          </w:p>
        </w:tc>
        <w:tc>
          <w:tcPr>
            <w:tcW w:w="1200" w:type="dxa"/>
            <w:tcBorders>
              <w:bottom w:val="single" w:sz="6" w:space="0" w:color="000000"/>
            </w:tcBorders>
          </w:tcPr>
          <w:p>
            <w:pPr>
              <w:pStyle w:val="Normal"/>
              <w:keepNext w:val="true"/>
              <w:keepLines/>
              <w:numPr>
                <w:ilvl w:val="0"/>
                <w:numId w:val="0"/>
              </w:numPr>
              <w:spacing w:before="60" w:after="60"/>
              <w:ind w:hanging="0" w:start="0"/>
              <w:jc w:val="center"/>
              <w:rPr>
                <w:b/>
                <w:sz w:val="18"/>
              </w:rPr>
            </w:pPr>
            <w:r>
              <w:rPr>
                <w:b/>
                <w:sz w:val="18"/>
              </w:rPr>
              <w:t>1997</w:t>
            </w:r>
          </w:p>
        </w:tc>
        <w:tc>
          <w:tcPr>
            <w:tcW w:w="1200" w:type="dxa"/>
            <w:tcBorders>
              <w:bottom w:val="single" w:sz="6" w:space="0" w:color="000000"/>
            </w:tcBorders>
          </w:tcPr>
          <w:p>
            <w:pPr>
              <w:pStyle w:val="Normal"/>
              <w:keepNext w:val="true"/>
              <w:keepLines/>
              <w:numPr>
                <w:ilvl w:val="0"/>
                <w:numId w:val="0"/>
              </w:numPr>
              <w:spacing w:before="60" w:after="60"/>
              <w:ind w:hanging="0" w:start="0"/>
              <w:jc w:val="center"/>
              <w:rPr>
                <w:b/>
                <w:sz w:val="18"/>
              </w:rPr>
            </w:pPr>
            <w:r>
              <w:rPr>
                <w:b/>
                <w:sz w:val="18"/>
              </w:rPr>
              <w:t>1998</w:t>
            </w:r>
          </w:p>
        </w:tc>
        <w:tc>
          <w:tcPr>
            <w:tcW w:w="1200" w:type="dxa"/>
            <w:tcBorders>
              <w:bottom w:val="single" w:sz="6" w:space="0" w:color="000000"/>
            </w:tcBorders>
          </w:tcPr>
          <w:p>
            <w:pPr>
              <w:pStyle w:val="Normal"/>
              <w:keepNext w:val="true"/>
              <w:keepLines/>
              <w:numPr>
                <w:ilvl w:val="0"/>
                <w:numId w:val="0"/>
              </w:numPr>
              <w:spacing w:before="60" w:after="60"/>
              <w:ind w:hanging="0" w:start="0"/>
              <w:jc w:val="center"/>
              <w:rPr>
                <w:b/>
                <w:sz w:val="18"/>
              </w:rPr>
            </w:pPr>
            <w:r>
              <w:rPr>
                <w:b/>
                <w:sz w:val="18"/>
              </w:rPr>
              <w:t>1999</w:t>
            </w:r>
            <w:r>
              <w:rPr>
                <w:b/>
                <w:sz w:val="18"/>
                <w:vertAlign w:val="superscript"/>
              </w:rPr>
              <w:t>(a)</w:t>
            </w:r>
          </w:p>
        </w:tc>
      </w:tr>
      <w:tr>
        <w:trPr/>
        <w:tc>
          <w:tcPr>
            <w:tcW w:w="2160" w:type="dxa"/>
            <w:tcBorders/>
          </w:tcPr>
          <w:p>
            <w:pPr>
              <w:pStyle w:val="Normal"/>
              <w:keepNext w:val="true"/>
              <w:keepLines/>
              <w:numPr>
                <w:ilvl w:val="0"/>
                <w:numId w:val="0"/>
              </w:numPr>
              <w:spacing w:before="120" w:after="0"/>
              <w:ind w:hanging="0" w:start="0"/>
              <w:rPr>
                <w:b/>
                <w:sz w:val="18"/>
              </w:rPr>
            </w:pPr>
            <w:r>
              <w:rPr>
                <w:b/>
                <w:sz w:val="18"/>
              </w:rPr>
              <w:t>Power (MW)</w:t>
            </w:r>
          </w:p>
        </w:tc>
        <w:tc>
          <w:tcPr>
            <w:tcW w:w="1200" w:type="dxa"/>
            <w:tcBorders/>
          </w:tcPr>
          <w:p>
            <w:pPr>
              <w:pStyle w:val="Normal"/>
              <w:keepNext w:val="true"/>
              <w:keepLines/>
              <w:numPr>
                <w:ilvl w:val="0"/>
                <w:numId w:val="0"/>
              </w:numPr>
              <w:tabs>
                <w:tab w:val="clear" w:pos="720"/>
                <w:tab w:val="left" w:pos="478" w:leader="none"/>
                <w:tab w:val="decimal" w:pos="918" w:leader="none"/>
              </w:tabs>
              <w:snapToGrid w:val="false"/>
              <w:spacing w:before="120" w:after="0"/>
              <w:ind w:hanging="0" w:start="158" w:end="158"/>
              <w:rPr>
                <w:b/>
                <w:sz w:val="18"/>
              </w:rPr>
            </w:pPr>
            <w:r>
              <w:rPr>
                <w:b/>
                <w:sz w:val="18"/>
              </w:rPr>
            </w:r>
          </w:p>
        </w:tc>
        <w:tc>
          <w:tcPr>
            <w:tcW w:w="1200" w:type="dxa"/>
            <w:tcBorders/>
          </w:tcPr>
          <w:p>
            <w:pPr>
              <w:pStyle w:val="Normal"/>
              <w:keepNext w:val="true"/>
              <w:keepLines/>
              <w:numPr>
                <w:ilvl w:val="0"/>
                <w:numId w:val="0"/>
              </w:numPr>
              <w:tabs>
                <w:tab w:val="clear" w:pos="720"/>
                <w:tab w:val="decimal" w:pos="908" w:leader="none"/>
              </w:tabs>
              <w:snapToGrid w:val="false"/>
              <w:spacing w:before="120" w:after="0"/>
              <w:ind w:hanging="0" w:start="388" w:end="388"/>
              <w:rPr>
                <w:b/>
                <w:sz w:val="18"/>
              </w:rPr>
            </w:pPr>
            <w:r>
              <w:rPr>
                <w:b/>
                <w:sz w:val="18"/>
              </w:rPr>
            </w:r>
          </w:p>
        </w:tc>
        <w:tc>
          <w:tcPr>
            <w:tcW w:w="1200" w:type="dxa"/>
            <w:tcBorders/>
          </w:tcPr>
          <w:p>
            <w:pPr>
              <w:pStyle w:val="Normal"/>
              <w:keepNext w:val="true"/>
              <w:keepLines/>
              <w:numPr>
                <w:ilvl w:val="0"/>
                <w:numId w:val="0"/>
              </w:numPr>
              <w:tabs>
                <w:tab w:val="clear" w:pos="720"/>
                <w:tab w:val="decimal" w:pos="908" w:leader="none"/>
              </w:tabs>
              <w:snapToGrid w:val="false"/>
              <w:spacing w:before="120" w:after="0"/>
              <w:ind w:hanging="0" w:start="388" w:end="388"/>
              <w:rPr>
                <w:b/>
                <w:sz w:val="18"/>
              </w:rPr>
            </w:pPr>
            <w:r>
              <w:rPr>
                <w:b/>
                <w:sz w:val="18"/>
              </w:rPr>
            </w:r>
          </w:p>
        </w:tc>
        <w:tc>
          <w:tcPr>
            <w:tcW w:w="1200" w:type="dxa"/>
            <w:tcBorders/>
          </w:tcPr>
          <w:p>
            <w:pPr>
              <w:pStyle w:val="Normal"/>
              <w:keepNext w:val="true"/>
              <w:keepLines/>
              <w:numPr>
                <w:ilvl w:val="0"/>
                <w:numId w:val="0"/>
              </w:numPr>
              <w:tabs>
                <w:tab w:val="clear" w:pos="720"/>
                <w:tab w:val="decimal" w:pos="858" w:leader="none"/>
              </w:tabs>
              <w:snapToGrid w:val="false"/>
              <w:spacing w:before="120" w:after="0"/>
              <w:ind w:hanging="0" w:start="438" w:end="438"/>
              <w:rPr>
                <w:b/>
                <w:sz w:val="18"/>
              </w:rPr>
            </w:pPr>
            <w:r>
              <w:rPr>
                <w:b/>
                <w:sz w:val="18"/>
              </w:rPr>
            </w:r>
          </w:p>
        </w:tc>
        <w:tc>
          <w:tcPr>
            <w:tcW w:w="1200" w:type="dxa"/>
            <w:tcBorders/>
          </w:tcPr>
          <w:p>
            <w:pPr>
              <w:pStyle w:val="Normal"/>
              <w:keepNext w:val="true"/>
              <w:keepLines/>
              <w:numPr>
                <w:ilvl w:val="0"/>
                <w:numId w:val="0"/>
              </w:numPr>
              <w:tabs>
                <w:tab w:val="clear" w:pos="720"/>
                <w:tab w:val="left" w:pos="478" w:leader="none"/>
                <w:tab w:val="decimal" w:pos="918" w:leader="none"/>
              </w:tabs>
              <w:snapToGrid w:val="false"/>
              <w:spacing w:before="120" w:after="0"/>
              <w:ind w:hanging="0" w:start="208" w:end="208"/>
              <w:rPr>
                <w:b/>
                <w:sz w:val="18"/>
              </w:rPr>
            </w:pPr>
            <w:r>
              <w:rPr>
                <w:b/>
                <w:sz w:val="18"/>
              </w:rPr>
            </w:r>
          </w:p>
        </w:tc>
        <w:tc>
          <w:tcPr>
            <w:tcW w:w="1200" w:type="dxa"/>
            <w:tcBorders/>
          </w:tcPr>
          <w:p>
            <w:pPr>
              <w:pStyle w:val="Normal"/>
              <w:keepNext w:val="true"/>
              <w:keepLines/>
              <w:numPr>
                <w:ilvl w:val="0"/>
                <w:numId w:val="0"/>
              </w:numPr>
              <w:tabs>
                <w:tab w:val="clear" w:pos="720"/>
                <w:tab w:val="left" w:pos="478" w:leader="none"/>
                <w:tab w:val="decimal" w:pos="918" w:leader="none"/>
              </w:tabs>
              <w:snapToGrid w:val="false"/>
              <w:spacing w:before="120" w:after="0"/>
              <w:ind w:hanging="0" w:start="208" w:end="208"/>
              <w:rPr>
                <w:b/>
                <w:sz w:val="18"/>
              </w:rPr>
            </w:pPr>
            <w:r>
              <w:rPr>
                <w:b/>
                <w:sz w:val="18"/>
              </w:rPr>
            </w:r>
          </w:p>
        </w:tc>
      </w:tr>
      <w:tr>
        <w:trPr/>
        <w:tc>
          <w:tcPr>
            <w:tcW w:w="2160" w:type="dxa"/>
            <w:tcBorders/>
          </w:tcPr>
          <w:p>
            <w:pPr>
              <w:pStyle w:val="Normal"/>
              <w:keepNext w:val="true"/>
              <w:keepLines/>
              <w:numPr>
                <w:ilvl w:val="0"/>
                <w:numId w:val="0"/>
              </w:numPr>
              <w:ind w:hanging="0" w:start="0"/>
              <w:rPr>
                <w:sz w:val="20"/>
              </w:rPr>
            </w:pPr>
            <w:r>
              <w:rPr>
                <w:sz w:val="20"/>
              </w:rPr>
              <w:t>Net Peak Demand</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20,673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21,323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22,456</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23,673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24,506</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25,905</w:t>
            </w:r>
          </w:p>
        </w:tc>
      </w:tr>
      <w:tr>
        <w:trPr/>
        <w:tc>
          <w:tcPr>
            <w:tcW w:w="2160" w:type="dxa"/>
            <w:tcBorders/>
          </w:tcPr>
          <w:p>
            <w:pPr>
              <w:pStyle w:val="Normal"/>
              <w:keepNext w:val="true"/>
              <w:keepLines/>
              <w:numPr>
                <w:ilvl w:val="0"/>
                <w:numId w:val="0"/>
              </w:numPr>
              <w:ind w:hanging="0" w:start="0"/>
              <w:rPr>
                <w:sz w:val="20"/>
              </w:rPr>
            </w:pPr>
            <w:r>
              <w:rPr>
                <w:sz w:val="20"/>
              </w:rPr>
              <w:t>Self Consumption</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1,259</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1,255</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1,240</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1,394</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1,487</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1,528</w:t>
            </w:r>
          </w:p>
        </w:tc>
      </w:tr>
      <w:tr>
        <w:trPr/>
        <w:tc>
          <w:tcPr>
            <w:tcW w:w="2160" w:type="dxa"/>
            <w:tcBorders/>
          </w:tcPr>
          <w:p>
            <w:pPr>
              <w:pStyle w:val="Normal"/>
              <w:keepNext w:val="true"/>
              <w:keepLines/>
              <w:numPr>
                <w:ilvl w:val="0"/>
                <w:numId w:val="0"/>
              </w:numPr>
              <w:ind w:hanging="0" w:start="0"/>
              <w:rPr>
                <w:sz w:val="20"/>
              </w:rPr>
            </w:pPr>
            <w:r>
              <w:rPr>
                <w:sz w:val="20"/>
              </w:rPr>
              <w:t>Gross Peak Demand</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21,932</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22,578</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23,696</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25,067</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25,993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27,433</w:t>
            </w:r>
          </w:p>
        </w:tc>
      </w:tr>
      <w:tr>
        <w:trPr/>
        <w:tc>
          <w:tcPr>
            <w:tcW w:w="2160" w:type="dxa"/>
            <w:tcBorders/>
          </w:tcPr>
          <w:p>
            <w:pPr>
              <w:pStyle w:val="Normal"/>
              <w:keepNext w:val="true"/>
              <w:keepLines/>
              <w:numPr>
                <w:ilvl w:val="0"/>
                <w:numId w:val="0"/>
              </w:numPr>
              <w:ind w:hanging="0" w:start="0"/>
              <w:rPr>
                <w:sz w:val="20"/>
              </w:rPr>
            </w:pPr>
            <w:r>
              <w:rPr>
                <w:sz w:val="20"/>
              </w:rPr>
              <w:t>Annual Increase</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9.6%</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2.9%</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5.0%</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5.8%</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3.7%</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5.5%</w:t>
            </w:r>
          </w:p>
        </w:tc>
      </w:tr>
      <w:tr>
        <w:trPr/>
        <w:tc>
          <w:tcPr>
            <w:tcW w:w="2160" w:type="dxa"/>
            <w:tcBorders/>
          </w:tcPr>
          <w:p>
            <w:pPr>
              <w:pStyle w:val="Normal"/>
              <w:keepNext w:val="true"/>
              <w:keepLines/>
              <w:numPr>
                <w:ilvl w:val="0"/>
                <w:numId w:val="0"/>
              </w:numPr>
              <w:spacing w:before="120" w:after="0"/>
              <w:ind w:hanging="0" w:start="0"/>
              <w:rPr>
                <w:b/>
                <w:sz w:val="18"/>
              </w:rPr>
            </w:pPr>
            <w:r>
              <w:rPr>
                <w:b/>
                <w:sz w:val="18"/>
              </w:rPr>
              <w:t>Energy (GWH)</w:t>
            </w:r>
          </w:p>
        </w:tc>
        <w:tc>
          <w:tcPr>
            <w:tcW w:w="1200" w:type="dxa"/>
            <w:tcBorders/>
          </w:tcPr>
          <w:p>
            <w:pPr>
              <w:pStyle w:val="Normal"/>
              <w:keepNext w:val="true"/>
              <w:keepLines/>
              <w:numPr>
                <w:ilvl w:val="0"/>
                <w:numId w:val="0"/>
              </w:numPr>
              <w:tabs>
                <w:tab w:val="clear" w:pos="720"/>
                <w:tab w:val="decimal" w:pos="940" w:leader="none"/>
              </w:tabs>
              <w:snapToGrid w:val="false"/>
              <w:spacing w:before="120" w:after="0"/>
              <w:ind w:hanging="0" w:start="120" w:end="120"/>
              <w:rPr>
                <w:b/>
                <w:sz w:val="18"/>
              </w:rPr>
            </w:pPr>
            <w:r>
              <w:rPr>
                <w:b/>
                <w:sz w:val="18"/>
              </w:rPr>
            </w:r>
          </w:p>
        </w:tc>
        <w:tc>
          <w:tcPr>
            <w:tcW w:w="1200" w:type="dxa"/>
            <w:tcBorders/>
          </w:tcPr>
          <w:p>
            <w:pPr>
              <w:pStyle w:val="Normal"/>
              <w:keepNext w:val="true"/>
              <w:keepLines/>
              <w:numPr>
                <w:ilvl w:val="0"/>
                <w:numId w:val="0"/>
              </w:numPr>
              <w:tabs>
                <w:tab w:val="clear" w:pos="720"/>
                <w:tab w:val="decimal" w:pos="940" w:leader="none"/>
              </w:tabs>
              <w:snapToGrid w:val="false"/>
              <w:spacing w:before="120" w:after="0"/>
              <w:ind w:hanging="0" w:start="120" w:end="120"/>
              <w:rPr>
                <w:b/>
                <w:sz w:val="18"/>
              </w:rPr>
            </w:pPr>
            <w:r>
              <w:rPr>
                <w:b/>
                <w:sz w:val="18"/>
              </w:rPr>
            </w:r>
          </w:p>
        </w:tc>
        <w:tc>
          <w:tcPr>
            <w:tcW w:w="1200" w:type="dxa"/>
            <w:tcBorders/>
          </w:tcPr>
          <w:p>
            <w:pPr>
              <w:pStyle w:val="Normal"/>
              <w:keepNext w:val="true"/>
              <w:keepLines/>
              <w:numPr>
                <w:ilvl w:val="0"/>
                <w:numId w:val="0"/>
              </w:numPr>
              <w:tabs>
                <w:tab w:val="clear" w:pos="720"/>
                <w:tab w:val="decimal" w:pos="940" w:leader="none"/>
              </w:tabs>
              <w:snapToGrid w:val="false"/>
              <w:spacing w:before="120" w:after="0"/>
              <w:ind w:hanging="0" w:start="120" w:end="120"/>
              <w:rPr>
                <w:b/>
                <w:sz w:val="18"/>
              </w:rPr>
            </w:pPr>
            <w:r>
              <w:rPr>
                <w:b/>
                <w:sz w:val="18"/>
              </w:rPr>
            </w:r>
          </w:p>
        </w:tc>
        <w:tc>
          <w:tcPr>
            <w:tcW w:w="1200" w:type="dxa"/>
            <w:tcBorders/>
          </w:tcPr>
          <w:p>
            <w:pPr>
              <w:pStyle w:val="Normal"/>
              <w:keepNext w:val="true"/>
              <w:keepLines/>
              <w:numPr>
                <w:ilvl w:val="0"/>
                <w:numId w:val="0"/>
              </w:numPr>
              <w:tabs>
                <w:tab w:val="clear" w:pos="720"/>
                <w:tab w:val="decimal" w:pos="940" w:leader="none"/>
              </w:tabs>
              <w:snapToGrid w:val="false"/>
              <w:spacing w:before="120" w:after="0"/>
              <w:ind w:hanging="0" w:start="120" w:end="120"/>
              <w:rPr>
                <w:b/>
                <w:sz w:val="18"/>
              </w:rPr>
            </w:pPr>
            <w:r>
              <w:rPr>
                <w:b/>
                <w:sz w:val="18"/>
              </w:rPr>
            </w:r>
          </w:p>
        </w:tc>
        <w:tc>
          <w:tcPr>
            <w:tcW w:w="1200" w:type="dxa"/>
            <w:tcBorders/>
          </w:tcPr>
          <w:p>
            <w:pPr>
              <w:pStyle w:val="Normal"/>
              <w:keepNext w:val="true"/>
              <w:keepLines/>
              <w:numPr>
                <w:ilvl w:val="0"/>
                <w:numId w:val="0"/>
              </w:numPr>
              <w:tabs>
                <w:tab w:val="clear" w:pos="720"/>
                <w:tab w:val="decimal" w:pos="940" w:leader="none"/>
              </w:tabs>
              <w:snapToGrid w:val="false"/>
              <w:spacing w:before="120" w:after="0"/>
              <w:ind w:hanging="0" w:start="120" w:end="120"/>
              <w:rPr>
                <w:b/>
                <w:sz w:val="18"/>
              </w:rPr>
            </w:pPr>
            <w:r>
              <w:rPr>
                <w:b/>
                <w:sz w:val="18"/>
              </w:rPr>
            </w:r>
          </w:p>
        </w:tc>
        <w:tc>
          <w:tcPr>
            <w:tcW w:w="1200" w:type="dxa"/>
            <w:tcBorders/>
          </w:tcPr>
          <w:p>
            <w:pPr>
              <w:pStyle w:val="Normal"/>
              <w:keepNext w:val="true"/>
              <w:keepLines/>
              <w:numPr>
                <w:ilvl w:val="0"/>
                <w:numId w:val="0"/>
              </w:numPr>
              <w:tabs>
                <w:tab w:val="clear" w:pos="720"/>
                <w:tab w:val="decimal" w:pos="940" w:leader="none"/>
              </w:tabs>
              <w:snapToGrid w:val="false"/>
              <w:spacing w:before="120" w:after="0"/>
              <w:ind w:hanging="0" w:start="120" w:end="120"/>
              <w:rPr>
                <w:b/>
                <w:sz w:val="18"/>
              </w:rPr>
            </w:pPr>
            <w:r>
              <w:rPr>
                <w:b/>
                <w:sz w:val="18"/>
              </w:rPr>
            </w:r>
          </w:p>
        </w:tc>
      </w:tr>
      <w:tr>
        <w:trPr/>
        <w:tc>
          <w:tcPr>
            <w:tcW w:w="2160" w:type="dxa"/>
            <w:tcBorders/>
          </w:tcPr>
          <w:p>
            <w:pPr>
              <w:pStyle w:val="Normal"/>
              <w:keepNext w:val="true"/>
              <w:keepLines/>
              <w:numPr>
                <w:ilvl w:val="0"/>
                <w:numId w:val="0"/>
              </w:numPr>
              <w:ind w:hanging="0" w:start="0"/>
              <w:rPr>
                <w:sz w:val="20"/>
              </w:rPr>
            </w:pPr>
            <w:r>
              <w:rPr>
                <w:sz w:val="20"/>
              </w:rPr>
              <w:t>Total Domestic Sales</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109,533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113,365</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121,573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130,255</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137,210</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144,240</w:t>
            </w:r>
          </w:p>
        </w:tc>
      </w:tr>
      <w:tr>
        <w:trPr/>
        <w:tc>
          <w:tcPr>
            <w:tcW w:w="2160" w:type="dxa"/>
            <w:tcBorders/>
          </w:tcPr>
          <w:p>
            <w:pPr>
              <w:pStyle w:val="Normal"/>
              <w:keepNext w:val="true"/>
              <w:keepLines/>
              <w:numPr>
                <w:ilvl w:val="0"/>
                <w:numId w:val="0"/>
              </w:numPr>
              <w:ind w:hanging="0" w:start="0"/>
              <w:rPr>
                <w:sz w:val="20"/>
              </w:rPr>
            </w:pPr>
            <w:r>
              <w:rPr>
                <w:sz w:val="20"/>
              </w:rPr>
              <w:t>Exports Sales</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1,970</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1,944</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1,289</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51</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76</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99</w:t>
            </w:r>
          </w:p>
        </w:tc>
      </w:tr>
      <w:tr>
        <w:trPr/>
        <w:tc>
          <w:tcPr>
            <w:tcW w:w="2160" w:type="dxa"/>
            <w:tcBorders/>
          </w:tcPr>
          <w:p>
            <w:pPr>
              <w:pStyle w:val="Normal"/>
              <w:keepNext w:val="true"/>
              <w:keepLines/>
              <w:numPr>
                <w:ilvl w:val="0"/>
                <w:numId w:val="0"/>
              </w:numPr>
              <w:ind w:hanging="0" w:start="0"/>
              <w:rPr>
                <w:sz w:val="20"/>
              </w:rPr>
            </w:pPr>
            <w:r>
              <w:rPr>
                <w:sz w:val="20"/>
              </w:rPr>
              <w:t>Self Consumption (T&amp;D)</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506</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453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396</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417</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595</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572</w:t>
            </w:r>
          </w:p>
        </w:tc>
      </w:tr>
      <w:tr>
        <w:trPr/>
        <w:tc>
          <w:tcPr>
            <w:tcW w:w="2160" w:type="dxa"/>
            <w:tcBorders/>
          </w:tcPr>
          <w:p>
            <w:pPr>
              <w:pStyle w:val="Normal"/>
              <w:keepNext w:val="true"/>
              <w:keepLines/>
              <w:numPr>
                <w:ilvl w:val="0"/>
                <w:numId w:val="0"/>
              </w:numPr>
              <w:ind w:hanging="0" w:start="0"/>
              <w:rPr>
                <w:sz w:val="20"/>
              </w:rPr>
            </w:pPr>
            <w:r>
              <w:rPr>
                <w:sz w:val="20"/>
              </w:rPr>
              <w:t>Total Consumption</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112,009</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115,762</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123,258</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130,723</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137,881</w:t>
            </w:r>
          </w:p>
        </w:tc>
        <w:tc>
          <w:tcPr>
            <w:tcW w:w="1200" w:type="dxa"/>
            <w:tcBorders/>
          </w:tcPr>
          <w:p>
            <w:pPr>
              <w:pStyle w:val="Normal"/>
              <w:keepNext w:val="true"/>
              <w:keepLines/>
              <w:numPr>
                <w:ilvl w:val="0"/>
                <w:numId w:val="0"/>
              </w:numPr>
              <w:tabs>
                <w:tab w:val="clear" w:pos="720"/>
                <w:tab w:val="decimal" w:pos="940" w:leader="none"/>
              </w:tabs>
              <w:ind w:hanging="0" w:start="120" w:end="120"/>
              <w:rPr>
                <w:sz w:val="20"/>
              </w:rPr>
            </w:pPr>
            <w:r>
              <w:rPr>
                <w:sz w:val="20"/>
              </w:rPr>
              <w:t>144,911</w:t>
            </w:r>
          </w:p>
        </w:tc>
      </w:tr>
      <w:tr>
        <w:trPr/>
        <w:tc>
          <w:tcPr>
            <w:tcW w:w="2160" w:type="dxa"/>
            <w:tcBorders/>
          </w:tcPr>
          <w:p>
            <w:pPr>
              <w:pStyle w:val="Normal"/>
              <w:keepNext w:val="true"/>
              <w:keepLines/>
              <w:numPr>
                <w:ilvl w:val="0"/>
                <w:numId w:val="0"/>
              </w:numPr>
              <w:ind w:hanging="0" w:start="0"/>
              <w:rPr>
                <w:sz w:val="20"/>
              </w:rPr>
            </w:pPr>
            <w:r>
              <w:rPr>
                <w:sz w:val="20"/>
              </w:rPr>
              <w:t>Annual Increase</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8.0%</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3.4%</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6.5%</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6.1%</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5.5%</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5.1%</w:t>
            </w:r>
          </w:p>
        </w:tc>
      </w:tr>
      <w:tr>
        <w:trPr/>
        <w:tc>
          <w:tcPr>
            <w:tcW w:w="2160" w:type="dxa"/>
            <w:tcBorders/>
          </w:tcPr>
          <w:p>
            <w:pPr>
              <w:pStyle w:val="Normal"/>
              <w:keepNext w:val="true"/>
              <w:keepLines/>
              <w:numPr>
                <w:ilvl w:val="0"/>
                <w:numId w:val="0"/>
              </w:numPr>
              <w:spacing w:before="120" w:after="0"/>
              <w:ind w:hanging="0" w:start="0"/>
              <w:rPr>
                <w:sz w:val="20"/>
              </w:rPr>
            </w:pPr>
            <w:r>
              <w:rPr>
                <w:sz w:val="20"/>
              </w:rPr>
              <w:t>Losses (T&amp;D)</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19,976</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21,317</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23,252</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24,379</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25,913</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27,501</w:t>
            </w:r>
          </w:p>
        </w:tc>
      </w:tr>
      <w:tr>
        <w:trPr/>
        <w:tc>
          <w:tcPr>
            <w:tcW w:w="2160" w:type="dxa"/>
            <w:tcBorders/>
          </w:tcPr>
          <w:p>
            <w:pPr>
              <w:pStyle w:val="Normal"/>
              <w:keepNext w:val="true"/>
              <w:keepLines/>
              <w:numPr>
                <w:ilvl w:val="0"/>
                <w:numId w:val="0"/>
              </w:numPr>
              <w:ind w:hanging="0" w:start="0"/>
              <w:rPr>
                <w:sz w:val="20"/>
              </w:rPr>
            </w:pPr>
            <w:r>
              <w:rPr>
                <w:sz w:val="20"/>
              </w:rPr>
              <w:t>(%)</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15.1%</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15.6%</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15.9%</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15.7%</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15.8%</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15.9%</w:t>
            </w:r>
          </w:p>
        </w:tc>
      </w:tr>
      <w:tr>
        <w:trPr/>
        <w:tc>
          <w:tcPr>
            <w:tcW w:w="2160" w:type="dxa"/>
            <w:tcBorders/>
          </w:tcPr>
          <w:p>
            <w:pPr>
              <w:pStyle w:val="Normal"/>
              <w:keepNext w:val="true"/>
              <w:keepLines/>
              <w:numPr>
                <w:ilvl w:val="0"/>
                <w:numId w:val="0"/>
              </w:numPr>
              <w:spacing w:before="120" w:after="0"/>
              <w:ind w:hanging="0" w:start="0"/>
              <w:rPr>
                <w:sz w:val="20"/>
              </w:rPr>
            </w:pPr>
            <w:r>
              <w:rPr>
                <w:sz w:val="20"/>
              </w:rPr>
              <w:t>Net Consumption</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131,985</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137,079</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146,510</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155,102</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163,795</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172,411</w:t>
            </w:r>
          </w:p>
        </w:tc>
      </w:tr>
      <w:tr>
        <w:trPr/>
        <w:tc>
          <w:tcPr>
            <w:tcW w:w="2160" w:type="dxa"/>
            <w:tcBorders/>
          </w:tcPr>
          <w:p>
            <w:pPr>
              <w:pStyle w:val="Normal"/>
              <w:keepNext w:val="true"/>
              <w:keepLines/>
              <w:numPr>
                <w:ilvl w:val="0"/>
                <w:numId w:val="0"/>
              </w:numPr>
              <w:ind w:hanging="0" w:start="0"/>
              <w:rPr>
                <w:sz w:val="20"/>
              </w:rPr>
            </w:pPr>
            <w:r>
              <w:rPr>
                <w:sz w:val="20"/>
              </w:rPr>
              <w:t>Annual Increase</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8.2%</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3.9%</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6.9%</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5.9%</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5.6%</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5.3%</w:t>
            </w:r>
          </w:p>
        </w:tc>
      </w:tr>
      <w:tr>
        <w:trPr/>
        <w:tc>
          <w:tcPr>
            <w:tcW w:w="2160" w:type="dxa"/>
            <w:tcBorders/>
          </w:tcPr>
          <w:p>
            <w:pPr>
              <w:pStyle w:val="Normal"/>
              <w:keepNext w:val="true"/>
              <w:keepLines/>
              <w:numPr>
                <w:ilvl w:val="0"/>
                <w:numId w:val="0"/>
              </w:numPr>
              <w:spacing w:before="120" w:after="0"/>
              <w:ind w:hanging="0" w:start="0"/>
              <w:rPr>
                <w:sz w:val="20"/>
              </w:rPr>
            </w:pPr>
            <w:r>
              <w:rPr>
                <w:sz w:val="20"/>
              </w:rPr>
              <w:t>Self Consumption (G)</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7,052</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6,780</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7,078</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7,981</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8,859</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8,762</w:t>
            </w:r>
          </w:p>
        </w:tc>
      </w:tr>
      <w:tr>
        <w:trPr/>
        <w:tc>
          <w:tcPr>
            <w:tcW w:w="2160" w:type="dxa"/>
            <w:tcBorders/>
          </w:tcPr>
          <w:p>
            <w:pPr>
              <w:pStyle w:val="Normal"/>
              <w:keepNext w:val="true"/>
              <w:keepLines/>
              <w:numPr>
                <w:ilvl w:val="0"/>
                <w:numId w:val="0"/>
              </w:numPr>
              <w:spacing w:before="120" w:after="0"/>
              <w:ind w:hanging="0" w:start="0"/>
              <w:rPr>
                <w:sz w:val="20"/>
              </w:rPr>
            </w:pPr>
            <w:r>
              <w:rPr>
                <w:sz w:val="20"/>
              </w:rPr>
              <w:t>Gross Consumption</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139,037</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143,859</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153,588</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163,083</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172,654</w:t>
            </w:r>
          </w:p>
        </w:tc>
        <w:tc>
          <w:tcPr>
            <w:tcW w:w="1200" w:type="dxa"/>
            <w:tcBorders/>
          </w:tcPr>
          <w:p>
            <w:pPr>
              <w:pStyle w:val="Normal"/>
              <w:keepNext w:val="true"/>
              <w:keepLines/>
              <w:numPr>
                <w:ilvl w:val="0"/>
                <w:numId w:val="0"/>
              </w:numPr>
              <w:tabs>
                <w:tab w:val="clear" w:pos="720"/>
                <w:tab w:val="decimal" w:pos="940" w:leader="none"/>
              </w:tabs>
              <w:spacing w:before="120" w:after="0"/>
              <w:ind w:hanging="0" w:start="120" w:end="120"/>
              <w:rPr>
                <w:sz w:val="20"/>
              </w:rPr>
            </w:pPr>
            <w:r>
              <w:rPr>
                <w:sz w:val="20"/>
              </w:rPr>
              <w:t>181,173</w:t>
            </w:r>
          </w:p>
        </w:tc>
      </w:tr>
      <w:tr>
        <w:trPr/>
        <w:tc>
          <w:tcPr>
            <w:tcW w:w="2160" w:type="dxa"/>
            <w:tcBorders/>
          </w:tcPr>
          <w:p>
            <w:pPr>
              <w:pStyle w:val="Normal"/>
              <w:keepNext w:val="true"/>
              <w:keepLines/>
              <w:numPr>
                <w:ilvl w:val="0"/>
                <w:numId w:val="0"/>
              </w:numPr>
              <w:ind w:hanging="0" w:start="0"/>
              <w:rPr>
                <w:sz w:val="20"/>
              </w:rPr>
            </w:pPr>
            <w:r>
              <w:rPr>
                <w:sz w:val="20"/>
              </w:rPr>
              <w:t>Annual Increase</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8.2%</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3.5%</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6.8%</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6.2%</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5.9%</w:t>
            </w:r>
          </w:p>
        </w:tc>
        <w:tc>
          <w:tcPr>
            <w:tcW w:w="1200" w:type="dxa"/>
            <w:tcBorders/>
          </w:tcPr>
          <w:p>
            <w:pPr>
              <w:pStyle w:val="Normal"/>
              <w:keepNext w:val="true"/>
              <w:keepLines/>
              <w:numPr>
                <w:ilvl w:val="0"/>
                <w:numId w:val="0"/>
              </w:numPr>
              <w:tabs>
                <w:tab w:val="clear" w:pos="720"/>
                <w:tab w:val="decimal" w:pos="780" w:leader="none"/>
              </w:tabs>
              <w:ind w:hanging="0" w:start="120" w:end="120"/>
              <w:rPr>
                <w:sz w:val="20"/>
              </w:rPr>
            </w:pPr>
            <w:r>
              <w:rPr>
                <w:sz w:val="20"/>
              </w:rPr>
              <w:t>4.9%</w:t>
            </w:r>
          </w:p>
        </w:tc>
      </w:tr>
      <w:tr>
        <w:trPr/>
        <w:tc>
          <w:tcPr>
            <w:tcW w:w="2160" w:type="dxa"/>
            <w:tcBorders>
              <w:bottom w:val="single" w:sz="4" w:space="0" w:color="000000"/>
            </w:tcBorders>
          </w:tcPr>
          <w:p>
            <w:pPr>
              <w:pStyle w:val="Normal"/>
              <w:keepNext w:val="true"/>
              <w:keepLines/>
              <w:numPr>
                <w:ilvl w:val="0"/>
                <w:numId w:val="0"/>
              </w:numPr>
              <w:spacing w:before="120" w:after="0"/>
              <w:ind w:hanging="0" w:start="0"/>
              <w:rPr>
                <w:sz w:val="20"/>
              </w:rPr>
            </w:pPr>
            <w:r>
              <w:rPr>
                <w:sz w:val="20"/>
              </w:rPr>
              <w:t>Load Factor</w:t>
            </w:r>
          </w:p>
        </w:tc>
        <w:tc>
          <w:tcPr>
            <w:tcW w:w="1200" w:type="dxa"/>
            <w:tcBorders>
              <w:bottom w:val="single" w:sz="4" w:space="0" w:color="000000"/>
            </w:tcBorders>
          </w:tcPr>
          <w:p>
            <w:pPr>
              <w:pStyle w:val="Normal"/>
              <w:keepNext w:val="true"/>
              <w:keepLines/>
              <w:numPr>
                <w:ilvl w:val="0"/>
                <w:numId w:val="0"/>
              </w:numPr>
              <w:tabs>
                <w:tab w:val="clear" w:pos="720"/>
                <w:tab w:val="decimal" w:pos="780" w:leader="none"/>
              </w:tabs>
              <w:spacing w:before="120" w:after="0"/>
              <w:ind w:hanging="0" w:start="120" w:end="120"/>
              <w:rPr>
                <w:sz w:val="20"/>
              </w:rPr>
            </w:pPr>
            <w:r>
              <w:rPr>
                <w:sz w:val="20"/>
              </w:rPr>
              <w:t>72.4%</w:t>
            </w:r>
          </w:p>
        </w:tc>
        <w:tc>
          <w:tcPr>
            <w:tcW w:w="1200" w:type="dxa"/>
            <w:tcBorders>
              <w:bottom w:val="single" w:sz="4" w:space="0" w:color="000000"/>
            </w:tcBorders>
          </w:tcPr>
          <w:p>
            <w:pPr>
              <w:pStyle w:val="Normal"/>
              <w:keepNext w:val="true"/>
              <w:keepLines/>
              <w:numPr>
                <w:ilvl w:val="0"/>
                <w:numId w:val="0"/>
              </w:numPr>
              <w:tabs>
                <w:tab w:val="clear" w:pos="720"/>
                <w:tab w:val="decimal" w:pos="780" w:leader="none"/>
              </w:tabs>
              <w:spacing w:before="120" w:after="0"/>
              <w:ind w:hanging="0" w:start="120" w:end="120"/>
              <w:rPr>
                <w:sz w:val="20"/>
              </w:rPr>
            </w:pPr>
            <w:r>
              <w:rPr>
                <w:sz w:val="20"/>
              </w:rPr>
              <w:t>72.7%</w:t>
            </w:r>
          </w:p>
        </w:tc>
        <w:tc>
          <w:tcPr>
            <w:tcW w:w="1200" w:type="dxa"/>
            <w:tcBorders>
              <w:bottom w:val="single" w:sz="4" w:space="0" w:color="000000"/>
            </w:tcBorders>
          </w:tcPr>
          <w:p>
            <w:pPr>
              <w:pStyle w:val="Normal"/>
              <w:keepNext w:val="true"/>
              <w:keepLines/>
              <w:numPr>
                <w:ilvl w:val="0"/>
                <w:numId w:val="0"/>
              </w:numPr>
              <w:tabs>
                <w:tab w:val="clear" w:pos="720"/>
                <w:tab w:val="decimal" w:pos="780" w:leader="none"/>
              </w:tabs>
              <w:spacing w:before="120" w:after="0"/>
              <w:ind w:hanging="0" w:start="120" w:end="120"/>
              <w:rPr>
                <w:sz w:val="20"/>
              </w:rPr>
            </w:pPr>
            <w:r>
              <w:rPr>
                <w:sz w:val="20"/>
              </w:rPr>
              <w:t>74.0%</w:t>
            </w:r>
          </w:p>
        </w:tc>
        <w:tc>
          <w:tcPr>
            <w:tcW w:w="1200" w:type="dxa"/>
            <w:tcBorders>
              <w:bottom w:val="single" w:sz="4" w:space="0" w:color="000000"/>
            </w:tcBorders>
          </w:tcPr>
          <w:p>
            <w:pPr>
              <w:pStyle w:val="Normal"/>
              <w:keepNext w:val="true"/>
              <w:keepLines/>
              <w:numPr>
                <w:ilvl w:val="0"/>
                <w:numId w:val="0"/>
              </w:numPr>
              <w:tabs>
                <w:tab w:val="clear" w:pos="720"/>
                <w:tab w:val="decimal" w:pos="780" w:leader="none"/>
              </w:tabs>
              <w:spacing w:before="120" w:after="0"/>
              <w:ind w:hanging="0" w:start="120" w:end="120"/>
              <w:rPr>
                <w:sz w:val="20"/>
              </w:rPr>
            </w:pPr>
            <w:r>
              <w:rPr>
                <w:sz w:val="20"/>
              </w:rPr>
              <w:t>74.3%</w:t>
            </w:r>
          </w:p>
        </w:tc>
        <w:tc>
          <w:tcPr>
            <w:tcW w:w="1200" w:type="dxa"/>
            <w:tcBorders>
              <w:bottom w:val="single" w:sz="4" w:space="0" w:color="000000"/>
            </w:tcBorders>
          </w:tcPr>
          <w:p>
            <w:pPr>
              <w:pStyle w:val="Normal"/>
              <w:keepNext w:val="true"/>
              <w:keepLines/>
              <w:numPr>
                <w:ilvl w:val="0"/>
                <w:numId w:val="0"/>
              </w:numPr>
              <w:tabs>
                <w:tab w:val="clear" w:pos="720"/>
                <w:tab w:val="decimal" w:pos="780" w:leader="none"/>
              </w:tabs>
              <w:spacing w:before="120" w:after="0"/>
              <w:ind w:hanging="0" w:start="120" w:end="120"/>
              <w:rPr>
                <w:sz w:val="20"/>
              </w:rPr>
            </w:pPr>
            <w:r>
              <w:rPr>
                <w:sz w:val="20"/>
              </w:rPr>
              <w:t>75.8%</w:t>
            </w:r>
          </w:p>
        </w:tc>
        <w:tc>
          <w:tcPr>
            <w:tcW w:w="1200" w:type="dxa"/>
            <w:tcBorders>
              <w:bottom w:val="single" w:sz="4" w:space="0" w:color="000000"/>
            </w:tcBorders>
          </w:tcPr>
          <w:p>
            <w:pPr>
              <w:pStyle w:val="Normal"/>
              <w:keepNext w:val="true"/>
              <w:keepLines/>
              <w:numPr>
                <w:ilvl w:val="0"/>
                <w:numId w:val="0"/>
              </w:numPr>
              <w:tabs>
                <w:tab w:val="clear" w:pos="720"/>
                <w:tab w:val="decimal" w:pos="780" w:leader="none"/>
              </w:tabs>
              <w:spacing w:before="120" w:after="0"/>
              <w:ind w:hanging="0" w:start="120" w:end="120"/>
              <w:rPr>
                <w:sz w:val="20"/>
              </w:rPr>
            </w:pPr>
            <w:r>
              <w:rPr>
                <w:sz w:val="20"/>
              </w:rPr>
              <w:t>75.4%</w:t>
            </w:r>
          </w:p>
        </w:tc>
      </w:tr>
    </w:tbl>
    <w:p>
      <w:pPr>
        <w:pStyle w:val="Spacerhalf"/>
        <w:keepNext w:val="true"/>
        <w:rPr/>
      </w:pPr>
      <w:r>
        <w:rPr/>
      </w:r>
    </w:p>
    <w:p>
      <w:pPr>
        <w:pStyle w:val="TableFootnote"/>
        <w:keepNext w:val="true"/>
        <w:rPr/>
      </w:pPr>
      <w:r>
        <w:rPr/>
        <w:t>(a)</w:t>
        <w:tab/>
        <w:t>Estimated by CFE.</w:t>
      </w:r>
    </w:p>
    <w:p>
      <w:pPr>
        <w:pStyle w:val="Spacerhalf"/>
        <w:rPr/>
      </w:pPr>
      <w:r>
        <w:rPr/>
      </w:r>
    </w:p>
    <w:p>
      <w:pPr>
        <w:pStyle w:val="Textbold"/>
        <w:rPr/>
      </w:pPr>
      <w:r>
        <w:rPr/>
        <w:t>Forecasts</w:t>
      </w:r>
    </w:p>
    <w:p>
      <w:pPr>
        <w:pStyle w:val="WW-Text"/>
        <w:rPr/>
      </w:pPr>
      <w:r>
        <w:rPr/>
        <w:t>The map below outlines CFE’s mean annual demand growth in the various areas composing the National Electric System during the period 1989-1998, as well as CFE’s forecasts, as of July 1999, for the period 1999-2008.  For this period, CFE forecasts a 5.6% growth in sales in an average scenario.  The northeast region, where the Project is located, is forecast to grow at a rate of approximately 6.6%, the highest growth rate in Mexico except for the relatively small Baja California, Baja California Sur, and the Yucatan Peninsula regions.</w:t>
      </w:r>
    </w:p>
    <w:p>
      <w:pPr>
        <w:pStyle w:val="WW-Text"/>
        <w:keepNext w:val="true"/>
        <w:keepLines/>
        <w:jc w:val="center"/>
        <w:rPr>
          <w:b/>
        </w:rPr>
      </w:pPr>
      <w:r>
        <w:rPr>
          <w:b/>
        </w:rPr>
        <w:t>Regional Projected Demand</w:t>
      </w:r>
    </w:p>
    <w:p>
      <w:pPr>
        <w:pStyle w:val="Hidden"/>
        <w:keepLines/>
        <w:rPr/>
      </w:pPr>
      <w:r>
        <w:rPr/>
        <w:t>\\CFINNY03\wp\PC\Docs\E\0110172f.ppt, Slide "1"</w:t>
      </w:r>
    </w:p>
    <w:p>
      <w:pPr>
        <w:pStyle w:val="Graphic"/>
        <w:keepNext w:val="true"/>
        <w:keepLines/>
        <w:rPr/>
      </w:pPr>
      <w:r>
        <w:rPr/>
        <w:drawing>
          <wp:inline distT="0" distB="0" distL="0" distR="0">
            <wp:extent cx="4915535" cy="3811905"/>
            <wp:effectExtent l="0" t="0" r="0" b="0"/>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63"/>
                    <a:srcRect l="-7" t="-9" r="-7" b="-9"/>
                    <a:stretch>
                      <a:fillRect/>
                    </a:stretch>
                  </pic:blipFill>
                  <pic:spPr bwMode="auto">
                    <a:xfrm>
                      <a:off x="0" y="0"/>
                      <a:ext cx="4915535" cy="3811905"/>
                    </a:xfrm>
                    <a:prstGeom prst="rect">
                      <a:avLst/>
                    </a:prstGeom>
                    <a:noFill/>
                  </pic:spPr>
                </pic:pic>
              </a:graphicData>
            </a:graphic>
          </wp:inline>
        </w:drawing>
      </w:r>
    </w:p>
    <w:p>
      <w:pPr>
        <w:pStyle w:val="Spacerhalf"/>
        <w:keepNext w:val="true"/>
        <w:keepLines/>
        <w:rPr/>
      </w:pPr>
      <w:r>
        <w:rPr/>
      </w:r>
    </w:p>
    <w:p>
      <w:pPr>
        <w:pStyle w:val="Source"/>
        <w:rPr/>
      </w:pPr>
      <w:r>
        <w:rPr/>
        <w:t>Source:  CFE, July 1999</w:t>
      </w:r>
    </w:p>
    <w:p>
      <w:pPr>
        <w:pStyle w:val="Spacerhalf"/>
        <w:rPr/>
      </w:pPr>
      <w:r>
        <w:rPr/>
      </w:r>
    </w:p>
    <w:p>
      <w:pPr>
        <w:pStyle w:val="Textbold"/>
        <w:rPr/>
      </w:pPr>
      <w:r>
        <w:rPr/>
        <w:t>4.</w:t>
        <w:tab/>
        <w:t>Power Generation Capacity</w:t>
      </w:r>
    </w:p>
    <w:p>
      <w:pPr>
        <w:pStyle w:val="Textbold"/>
        <w:rPr/>
      </w:pPr>
      <w:r>
        <w:rPr/>
        <w:t>Current Generation Profile</w:t>
      </w:r>
    </w:p>
    <w:p>
      <w:pPr>
        <w:pStyle w:val="WW-Text"/>
        <w:rPr/>
      </w:pPr>
      <w:r>
        <w:rPr/>
        <w:t xml:space="preserve">As of January 2000, the total installed capacity of the Mexican Electric System was approximately 36,600 MW, of which 90% is owned or leased by CFE, 4.4% is owned by Pemex, 2.3% is owned by LFC and the balance is private sector installed capacity.  This installed capacity is comprised of 53% fuel oil, gas and diesel oil, 28% hydroelectric, 7% coal, 6% dual fuel oil/coal fired, 4% nuclear, and 2% geothermal. </w:t>
      </w:r>
    </w:p>
    <w:p>
      <w:pPr>
        <w:pStyle w:val="WW-Text"/>
        <w:rPr/>
      </w:pPr>
      <w:r>
        <w:rPr/>
        <w:t>Many of CFE’s plants need rehabilitation; seventeen percent of the plants are over 30 years old, 16% are between 20 and 30 years old, and 43% are between 10 and 20 years old.</w:t>
      </w:r>
    </w:p>
    <w:p>
      <w:pPr>
        <w:pStyle w:val="Textbold"/>
        <w:rPr/>
      </w:pPr>
      <w:r>
        <w:rPr/>
        <w:t>Forecast Generation Capacity Expansion</w:t>
      </w:r>
    </w:p>
    <w:p>
      <w:pPr>
        <w:pStyle w:val="WW-Text"/>
        <w:rPr/>
      </w:pPr>
      <w:r>
        <w:rPr/>
        <w:t>In order to meet the increasing electricity demand forecasted over the next ten years, as well as to replace old generation units, CFE is planning investments to increase capacity during the period from 1999 to 2008 by 21,700 MW (corresponding to a 4.8% p.a. average annual capacity increase).  The associated cost is estimated by Moody’s to be US$35 billion.</w:t>
      </w:r>
    </w:p>
    <w:p>
      <w:pPr>
        <w:pStyle w:val="WW-Text"/>
        <w:rPr/>
      </w:pPr>
      <w:r>
        <w:rPr/>
        <w:t xml:space="preserve">A substantial portion of the investment program is expected to be implemented with private sector participation including, at least in the next several years, investments through the IPP scheme created in the 1992 amendment to the Electricity Law. </w:t>
      </w:r>
    </w:p>
    <w:p>
      <w:pPr>
        <w:pStyle w:val="WW-Text"/>
        <w:rPr/>
      </w:pPr>
      <w:r>
        <w:rPr/>
        <w:t>It is expected that this reliance on the private sector will result in more efficient and competitive generation assets being built.  In addition, it should allow CFE to use its internally generated funds for the modernization of existing plants rather than on the construction of new facilities, and for the further development of transmission and distribution capacity.</w:t>
      </w:r>
    </w:p>
    <w:p>
      <w:pPr>
        <w:pStyle w:val="Textbold"/>
        <w:rPr/>
      </w:pPr>
      <w:r>
        <w:rPr/>
        <w:t>5.</w:t>
        <w:tab/>
        <w:t>Transmission</w:t>
      </w:r>
    </w:p>
    <w:p>
      <w:pPr>
        <w:pStyle w:val="WW-Text"/>
        <w:rPr/>
      </w:pPr>
      <w:r>
        <w:rPr/>
        <w:t>Mexico’s electric grid is divided into two grids for the transmission and distribution of electricity throughout the country.  The larger and more important of the two is the National Interconnected System, which serves all of the country except the Baja California peninsula.  The second and smaller grid serves the Baja California peninsula.</w:t>
      </w:r>
    </w:p>
    <w:p>
      <w:pPr>
        <w:pStyle w:val="WW-Text"/>
        <w:rPr/>
      </w:pPr>
      <w:r>
        <w:rPr/>
        <w:t xml:space="preserve">Pursuant to the Mexican Constitution and the Electricity Law, CFE has exclusive control over both electricity grids.  The </w:t>
      </w:r>
      <w:r>
        <w:rPr>
          <w:i/>
        </w:rPr>
        <w:t>Centro Nacional de Control de la Energía</w:t>
      </w:r>
      <w:r>
        <w:rPr/>
        <w:t xml:space="preserve"> (the National Center for Energy Control) coordinates the relations among the regional units which comprise the National Interconnected System grid.  Electricity generated at any unit on the grid can be transmitted to any other point within the grid in order to meet variations in regional demand and to support units that may be shut down for repair or scheduled maintenance. </w:t>
      </w:r>
    </w:p>
    <w:p>
      <w:pPr>
        <w:pStyle w:val="Textbold"/>
        <w:rPr/>
      </w:pPr>
      <w:r>
        <w:rPr/>
        <w:t>Interconnection with the U.S. market</w:t>
      </w:r>
    </w:p>
    <w:p>
      <w:pPr>
        <w:pStyle w:val="WW-Text"/>
        <w:rPr/>
      </w:pPr>
      <w:r>
        <w:rPr/>
        <w:t xml:space="preserve">The grid serving the Baja California peninsula is interconnected with electric utilities in the southwestern U.S. by a 230 kV transmission line.  </w:t>
      </w:r>
    </w:p>
    <w:p>
      <w:pPr>
        <w:pStyle w:val="WW-Text"/>
        <w:rPr/>
      </w:pPr>
      <w:r>
        <w:rPr/>
        <w:t>In addition, six major transmission lines interconnect Texas and northeastern Mexico, including three at 138 kV, one at 115 kV and two at 69 kV.  Another 115 kV line between Texas and Mexico is under construction and, when completed, will have a transfer capability of about 200 MW.  Mexico’s electrical networks, however, are not synchronized with the Texas interconnections and the distances between generation and load centers in Mexico make reliability difficult to achieve.  Currently, trade in power can occur only on a block trading basis, where physical portions of one system are electrically isolated from their own system and then connected to another.</w:t>
      </w:r>
    </w:p>
    <w:p>
      <w:pPr>
        <w:pStyle w:val="Textbold"/>
        <w:rPr/>
      </w:pPr>
      <w:r>
        <w:rPr/>
        <w:t>6.</w:t>
        <w:tab/>
        <w:t>The Tariff System</w:t>
      </w:r>
    </w:p>
    <w:p>
      <w:pPr>
        <w:pStyle w:val="WW-Text"/>
        <w:rPr/>
      </w:pPr>
      <w:r>
        <w:rPr/>
        <w:t>The electricity tariffs to be charged to consumers are proposed annually by CFE, in conjunction with the Ministry of Commerce and Industrial Development and the Ministry of Energy, and submitted to the Ministry of Finance and Public Credit, which actually sets the tariffs for the following year in December of each year.  These tariffs are then adjusted through the course of that year in accordance with a pre-defined inflation adjustment schedule and, in the case of industrial and commercial tariffs, in accordance with changes in fuel costs.  Tariffs are based on marginal cost pricing and vary depending on the type of customer, its location and time of usage.</w:t>
      </w:r>
    </w:p>
    <w:p>
      <w:pPr>
        <w:pStyle w:val="WW-Text"/>
        <w:rPr/>
      </w:pPr>
      <w:r>
        <w:rPr/>
        <w:t xml:space="preserve">According to Article 31 of the Electricity Law, electricity tariffs charged to users are required, among other things, to be sufficient to cover the financial needs of CFE and to take into account the equitable distribution among Mexico’s population of the costs of generating electricity.  In addition, the Program for the Development and Restructuring of the Energy Sector for 1995-2000, which was established by the Mexican Government in February 1996 and sets out the Mexican Government’s policy for the energy sector through the year 2000, provides that tariffs should reflect a balance between financial interests and social, regional and political considerations.  Rates are also intended to permit CFE to maintain margins which are reasonable by international standards, and Mexican Government subsidies to customers through cash payments to CFE are to be granted only in exceptional circumstances and on a temporary basis.  </w:t>
      </w:r>
    </w:p>
    <w:p>
      <w:pPr>
        <w:pStyle w:val="WW-Text"/>
        <w:rPr/>
      </w:pPr>
      <w:r>
        <w:rPr/>
        <w:t>The tariffs that CFE proposes to the Mexican Government in respect of residential customers are divided into several categories based on CFE’s estimate of its requirements to cover its costs under certain climatic conditions.  If the Mexican Government sets tariffs for certain of these categories at levels below those proposed by CFE and, as a result, CFE cannot cover the book cost of supplying electricity to these residential customers, the Mexican Government may provide, and in the past has provided, compensation at the end of the year through subsidies, usually in the form of non-cash credits.  Tariffs for agricultural customers are also set below book cost.</w:t>
      </w:r>
    </w:p>
    <w:p>
      <w:pPr>
        <w:pStyle w:val="WW-Text"/>
        <w:rPr/>
      </w:pPr>
      <w:r>
        <w:rPr/>
        <w:t>Since 1986, CFE has been basing its proposed tariffs on marginal cost pricing.  This pricing methodology currently takes into account short- and long-term capacity costs, as well as varying electricity prices to reflect generation, transmission and distribution costs.</w:t>
      </w:r>
    </w:p>
    <w:p>
      <w:pPr>
        <w:pStyle w:val="Spacer"/>
        <w:rPr>
          <w:rFonts w:ascii="Times New Roman" w:hAnsi="Times New Roman" w:cs="Times New Roman"/>
        </w:rPr>
      </w:pPr>
      <w:r>
        <w:rPr>
          <w:rFonts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990"/>
        <w:gridCol w:w="2790"/>
        <w:gridCol w:w="2790"/>
        <w:gridCol w:w="2790"/>
      </w:tblGrid>
      <w:tr>
        <w:trPr/>
        <w:tc>
          <w:tcPr>
            <w:tcW w:w="990" w:type="dxa"/>
            <w:tcBorders>
              <w:bottom w:val="single" w:sz="6" w:space="0" w:color="000000"/>
            </w:tcBorders>
          </w:tcPr>
          <w:p>
            <w:pPr>
              <w:pStyle w:val="Normal"/>
              <w:keepNext w:val="true"/>
              <w:keepLines/>
              <w:snapToGrid w:val="false"/>
              <w:spacing w:before="60" w:after="60"/>
              <w:jc w:val="center"/>
              <w:rPr>
                <w:b/>
                <w:sz w:val="21"/>
              </w:rPr>
            </w:pPr>
            <w:r>
              <w:rPr>
                <w:b/>
                <w:sz w:val="21"/>
              </w:rPr>
            </w:r>
          </w:p>
        </w:tc>
        <w:tc>
          <w:tcPr>
            <w:tcW w:w="2790" w:type="dxa"/>
            <w:tcBorders>
              <w:bottom w:val="single" w:sz="6" w:space="0" w:color="000000"/>
            </w:tcBorders>
          </w:tcPr>
          <w:p>
            <w:pPr>
              <w:pStyle w:val="Normal"/>
              <w:keepNext w:val="true"/>
              <w:keepLines/>
              <w:spacing w:before="60" w:after="60"/>
              <w:jc w:val="center"/>
              <w:rPr/>
            </w:pPr>
            <w:r>
              <w:rPr>
                <w:b/>
                <w:sz w:val="21"/>
              </w:rPr>
              <w:t xml:space="preserve">Average rate/operating </w:t>
              <w:br/>
              <w:t>cost per kWh</w:t>
            </w:r>
            <w:r>
              <w:rPr>
                <w:b/>
                <w:sz w:val="21"/>
                <w:vertAlign w:val="superscript"/>
              </w:rPr>
              <w:t>(a)</w:t>
            </w:r>
          </w:p>
        </w:tc>
        <w:tc>
          <w:tcPr>
            <w:tcW w:w="2790" w:type="dxa"/>
            <w:tcBorders>
              <w:bottom w:val="single" w:sz="6" w:space="0" w:color="000000"/>
            </w:tcBorders>
          </w:tcPr>
          <w:p>
            <w:pPr>
              <w:pStyle w:val="Normal"/>
              <w:keepNext w:val="true"/>
              <w:keepLines/>
              <w:spacing w:before="60" w:after="60"/>
              <w:jc w:val="center"/>
              <w:rPr/>
            </w:pPr>
            <w:r>
              <w:rPr>
                <w:b/>
                <w:sz w:val="21"/>
              </w:rPr>
              <w:t xml:space="preserve">Real changes </w:t>
              <w:br/>
              <w:t>in tariffs (%)</w:t>
            </w:r>
            <w:r>
              <w:rPr>
                <w:b/>
                <w:sz w:val="21"/>
                <w:vertAlign w:val="superscript"/>
              </w:rPr>
              <w:t>(b)</w:t>
            </w:r>
          </w:p>
        </w:tc>
        <w:tc>
          <w:tcPr>
            <w:tcW w:w="2790" w:type="dxa"/>
            <w:tcBorders>
              <w:bottom w:val="single" w:sz="6" w:space="0" w:color="000000"/>
            </w:tcBorders>
          </w:tcPr>
          <w:p>
            <w:pPr>
              <w:pStyle w:val="Normal"/>
              <w:keepNext w:val="true"/>
              <w:keepLines/>
              <w:spacing w:before="60" w:after="60"/>
              <w:jc w:val="center"/>
              <w:rPr/>
            </w:pPr>
            <w:r>
              <w:rPr>
                <w:b/>
                <w:sz w:val="21"/>
              </w:rPr>
              <w:t>INPP</w:t>
            </w:r>
            <w:r>
              <w:rPr>
                <w:b/>
                <w:sz w:val="21"/>
                <w:vertAlign w:val="superscript"/>
              </w:rPr>
              <w:t>(c)</w:t>
            </w:r>
            <w:r>
              <w:rPr>
                <w:b/>
                <w:sz w:val="21"/>
              </w:rPr>
              <w:t xml:space="preserve"> inflation</w:t>
              <w:br/>
              <w:t>index</w:t>
            </w:r>
          </w:p>
        </w:tc>
      </w:tr>
      <w:tr>
        <w:trPr/>
        <w:tc>
          <w:tcPr>
            <w:tcW w:w="990" w:type="dxa"/>
            <w:tcBorders/>
          </w:tcPr>
          <w:p>
            <w:pPr>
              <w:pStyle w:val="Normal"/>
              <w:keepNext w:val="true"/>
              <w:keepLines/>
              <w:spacing w:before="120" w:after="0"/>
              <w:jc w:val="center"/>
              <w:rPr>
                <w:b/>
                <w:sz w:val="21"/>
              </w:rPr>
            </w:pPr>
            <w:r>
              <w:rPr>
                <w:b/>
                <w:sz w:val="21"/>
              </w:rPr>
              <w:t>1988</w:t>
            </w:r>
          </w:p>
        </w:tc>
        <w:tc>
          <w:tcPr>
            <w:tcW w:w="2790" w:type="dxa"/>
            <w:tcBorders/>
          </w:tcPr>
          <w:p>
            <w:pPr>
              <w:pStyle w:val="Normal"/>
              <w:keepNext w:val="true"/>
              <w:keepLines/>
              <w:tabs>
                <w:tab w:val="clear" w:pos="720"/>
                <w:tab w:val="decimal" w:pos="1315" w:leader="none"/>
              </w:tabs>
              <w:spacing w:before="120" w:after="0"/>
              <w:ind w:start="1135" w:end="1135"/>
              <w:rPr/>
            </w:pPr>
            <w:r>
              <w:rPr/>
              <w:t>0.89</w:t>
            </w:r>
          </w:p>
        </w:tc>
        <w:tc>
          <w:tcPr>
            <w:tcW w:w="2790" w:type="dxa"/>
            <w:tcBorders/>
          </w:tcPr>
          <w:p>
            <w:pPr>
              <w:pStyle w:val="Normal"/>
              <w:keepNext w:val="true"/>
              <w:keepLines/>
              <w:tabs>
                <w:tab w:val="clear" w:pos="720"/>
                <w:tab w:val="decimal" w:pos="1475" w:leader="none"/>
              </w:tabs>
              <w:spacing w:before="120" w:after="0"/>
              <w:ind w:start="965" w:end="965"/>
              <w:rPr/>
            </w:pPr>
            <w:r>
              <w:rPr/>
              <w:t>10.9%</w:t>
            </w:r>
          </w:p>
        </w:tc>
        <w:tc>
          <w:tcPr>
            <w:tcW w:w="2790" w:type="dxa"/>
            <w:tcBorders/>
          </w:tcPr>
          <w:p>
            <w:pPr>
              <w:pStyle w:val="Normal"/>
              <w:keepNext w:val="true"/>
              <w:keepLines/>
              <w:tabs>
                <w:tab w:val="clear" w:pos="720"/>
                <w:tab w:val="decimal" w:pos="1385" w:leader="none"/>
              </w:tabs>
              <w:spacing w:before="120" w:after="0"/>
              <w:ind w:start="965" w:end="965"/>
              <w:rPr/>
            </w:pPr>
            <w:r>
              <w:rPr/>
              <w:t>47.778</w:t>
            </w:r>
          </w:p>
        </w:tc>
      </w:tr>
      <w:tr>
        <w:trPr/>
        <w:tc>
          <w:tcPr>
            <w:tcW w:w="990" w:type="dxa"/>
            <w:tcBorders/>
          </w:tcPr>
          <w:p>
            <w:pPr>
              <w:pStyle w:val="Normal"/>
              <w:keepNext w:val="true"/>
              <w:keepLines/>
              <w:jc w:val="center"/>
              <w:rPr>
                <w:b/>
                <w:sz w:val="21"/>
              </w:rPr>
            </w:pPr>
            <w:r>
              <w:rPr>
                <w:b/>
                <w:sz w:val="21"/>
              </w:rPr>
              <w:t>1989</w:t>
            </w:r>
          </w:p>
        </w:tc>
        <w:tc>
          <w:tcPr>
            <w:tcW w:w="2790" w:type="dxa"/>
            <w:tcBorders/>
          </w:tcPr>
          <w:p>
            <w:pPr>
              <w:pStyle w:val="Normal"/>
              <w:keepNext w:val="true"/>
              <w:keepLines/>
              <w:tabs>
                <w:tab w:val="clear" w:pos="720"/>
                <w:tab w:val="decimal" w:pos="1315" w:leader="none"/>
              </w:tabs>
              <w:ind w:start="1135" w:end="1135"/>
              <w:rPr/>
            </w:pPr>
            <w:r>
              <w:rPr/>
              <w:t>1.06</w:t>
            </w:r>
          </w:p>
        </w:tc>
        <w:tc>
          <w:tcPr>
            <w:tcW w:w="2790" w:type="dxa"/>
            <w:tcBorders/>
          </w:tcPr>
          <w:p>
            <w:pPr>
              <w:pStyle w:val="Normal"/>
              <w:keepNext w:val="true"/>
              <w:keepLines/>
              <w:tabs>
                <w:tab w:val="clear" w:pos="720"/>
                <w:tab w:val="decimal" w:pos="1475" w:leader="none"/>
              </w:tabs>
              <w:ind w:start="965" w:end="965"/>
              <w:rPr/>
            </w:pPr>
            <w:r>
              <w:rPr/>
              <w:t>18.0</w:t>
            </w:r>
          </w:p>
        </w:tc>
        <w:tc>
          <w:tcPr>
            <w:tcW w:w="2790" w:type="dxa"/>
            <w:tcBorders/>
          </w:tcPr>
          <w:p>
            <w:pPr>
              <w:pStyle w:val="Normal"/>
              <w:keepNext w:val="true"/>
              <w:keepLines/>
              <w:tabs>
                <w:tab w:val="clear" w:pos="720"/>
                <w:tab w:val="decimal" w:pos="1385" w:leader="none"/>
              </w:tabs>
              <w:ind w:start="965" w:end="965"/>
              <w:rPr/>
            </w:pPr>
            <w:r>
              <w:rPr/>
              <w:t>53.876</w:t>
            </w:r>
          </w:p>
        </w:tc>
      </w:tr>
      <w:tr>
        <w:trPr/>
        <w:tc>
          <w:tcPr>
            <w:tcW w:w="990" w:type="dxa"/>
            <w:tcBorders/>
          </w:tcPr>
          <w:p>
            <w:pPr>
              <w:pStyle w:val="Normal"/>
              <w:keepNext w:val="true"/>
              <w:keepLines/>
              <w:jc w:val="center"/>
              <w:rPr>
                <w:b/>
                <w:sz w:val="21"/>
              </w:rPr>
            </w:pPr>
            <w:r>
              <w:rPr>
                <w:b/>
                <w:sz w:val="21"/>
              </w:rPr>
              <w:t>1990</w:t>
            </w:r>
          </w:p>
        </w:tc>
        <w:tc>
          <w:tcPr>
            <w:tcW w:w="2790" w:type="dxa"/>
            <w:tcBorders/>
          </w:tcPr>
          <w:p>
            <w:pPr>
              <w:pStyle w:val="Normal"/>
              <w:keepNext w:val="true"/>
              <w:keepLines/>
              <w:tabs>
                <w:tab w:val="clear" w:pos="720"/>
                <w:tab w:val="decimal" w:pos="1315" w:leader="none"/>
              </w:tabs>
              <w:ind w:start="1135" w:end="1135"/>
              <w:rPr/>
            </w:pPr>
            <w:r>
              <w:rPr/>
              <w:t>1.06</w:t>
            </w:r>
          </w:p>
        </w:tc>
        <w:tc>
          <w:tcPr>
            <w:tcW w:w="2790" w:type="dxa"/>
            <w:tcBorders/>
          </w:tcPr>
          <w:p>
            <w:pPr>
              <w:pStyle w:val="Normal"/>
              <w:keepNext w:val="true"/>
              <w:keepLines/>
              <w:tabs>
                <w:tab w:val="clear" w:pos="720"/>
                <w:tab w:val="decimal" w:pos="1475" w:leader="none"/>
              </w:tabs>
              <w:ind w:start="965" w:end="965"/>
              <w:rPr/>
            </w:pPr>
            <w:r>
              <w:rPr/>
              <w:t>4.2</w:t>
            </w:r>
          </w:p>
        </w:tc>
        <w:tc>
          <w:tcPr>
            <w:tcW w:w="2790" w:type="dxa"/>
            <w:tcBorders/>
          </w:tcPr>
          <w:p>
            <w:pPr>
              <w:pStyle w:val="Normal"/>
              <w:keepNext w:val="true"/>
              <w:keepLines/>
              <w:tabs>
                <w:tab w:val="clear" w:pos="720"/>
                <w:tab w:val="decimal" w:pos="1385" w:leader="none"/>
              </w:tabs>
              <w:ind w:start="965" w:end="965"/>
              <w:rPr/>
            </w:pPr>
            <w:r>
              <w:rPr/>
              <w:t>66.128</w:t>
            </w:r>
          </w:p>
        </w:tc>
      </w:tr>
      <w:tr>
        <w:trPr/>
        <w:tc>
          <w:tcPr>
            <w:tcW w:w="990" w:type="dxa"/>
            <w:tcBorders/>
          </w:tcPr>
          <w:p>
            <w:pPr>
              <w:pStyle w:val="Normal"/>
              <w:keepNext w:val="true"/>
              <w:keepLines/>
              <w:jc w:val="center"/>
              <w:rPr>
                <w:b/>
                <w:sz w:val="21"/>
              </w:rPr>
            </w:pPr>
            <w:r>
              <w:rPr>
                <w:b/>
                <w:sz w:val="21"/>
              </w:rPr>
              <w:t>1991</w:t>
            </w:r>
          </w:p>
        </w:tc>
        <w:tc>
          <w:tcPr>
            <w:tcW w:w="2790" w:type="dxa"/>
            <w:tcBorders/>
          </w:tcPr>
          <w:p>
            <w:pPr>
              <w:pStyle w:val="Normal"/>
              <w:keepNext w:val="true"/>
              <w:keepLines/>
              <w:tabs>
                <w:tab w:val="clear" w:pos="720"/>
                <w:tab w:val="decimal" w:pos="1315" w:leader="none"/>
              </w:tabs>
              <w:ind w:start="1135" w:end="1135"/>
              <w:rPr/>
            </w:pPr>
            <w:r>
              <w:rPr/>
              <w:t>1.02</w:t>
            </w:r>
          </w:p>
        </w:tc>
        <w:tc>
          <w:tcPr>
            <w:tcW w:w="2790" w:type="dxa"/>
            <w:tcBorders/>
          </w:tcPr>
          <w:p>
            <w:pPr>
              <w:pStyle w:val="Normal"/>
              <w:keepNext w:val="true"/>
              <w:keepLines/>
              <w:tabs>
                <w:tab w:val="clear" w:pos="720"/>
                <w:tab w:val="decimal" w:pos="1475" w:leader="none"/>
              </w:tabs>
              <w:ind w:start="965" w:end="965"/>
              <w:rPr/>
            </w:pPr>
            <w:r>
              <w:rPr/>
              <w:t>4.7</w:t>
            </w:r>
          </w:p>
        </w:tc>
        <w:tc>
          <w:tcPr>
            <w:tcW w:w="2790" w:type="dxa"/>
            <w:tcBorders/>
          </w:tcPr>
          <w:p>
            <w:pPr>
              <w:pStyle w:val="Normal"/>
              <w:keepNext w:val="true"/>
              <w:keepLines/>
              <w:tabs>
                <w:tab w:val="clear" w:pos="720"/>
                <w:tab w:val="decimal" w:pos="1385" w:leader="none"/>
              </w:tabs>
              <w:ind w:start="965" w:end="965"/>
              <w:rPr/>
            </w:pPr>
            <w:r>
              <w:rPr/>
              <w:t>78.750</w:t>
            </w:r>
          </w:p>
        </w:tc>
      </w:tr>
      <w:tr>
        <w:trPr/>
        <w:tc>
          <w:tcPr>
            <w:tcW w:w="990" w:type="dxa"/>
            <w:tcBorders/>
          </w:tcPr>
          <w:p>
            <w:pPr>
              <w:pStyle w:val="Normal"/>
              <w:keepNext w:val="true"/>
              <w:keepLines/>
              <w:jc w:val="center"/>
              <w:rPr>
                <w:b/>
                <w:sz w:val="21"/>
              </w:rPr>
            </w:pPr>
            <w:r>
              <w:rPr>
                <w:b/>
                <w:sz w:val="21"/>
              </w:rPr>
              <w:t>1992</w:t>
            </w:r>
          </w:p>
        </w:tc>
        <w:tc>
          <w:tcPr>
            <w:tcW w:w="2790" w:type="dxa"/>
            <w:tcBorders/>
          </w:tcPr>
          <w:p>
            <w:pPr>
              <w:pStyle w:val="Normal"/>
              <w:keepNext w:val="true"/>
              <w:keepLines/>
              <w:tabs>
                <w:tab w:val="clear" w:pos="720"/>
                <w:tab w:val="decimal" w:pos="1315" w:leader="none"/>
              </w:tabs>
              <w:ind w:start="1135" w:end="1135"/>
              <w:rPr/>
            </w:pPr>
            <w:r>
              <w:rPr/>
              <w:t>0.96</w:t>
            </w:r>
          </w:p>
        </w:tc>
        <w:tc>
          <w:tcPr>
            <w:tcW w:w="2790" w:type="dxa"/>
            <w:tcBorders/>
          </w:tcPr>
          <w:p>
            <w:pPr>
              <w:pStyle w:val="Normal"/>
              <w:keepNext w:val="true"/>
              <w:keepLines/>
              <w:tabs>
                <w:tab w:val="clear" w:pos="720"/>
                <w:tab w:val="decimal" w:pos="1475" w:leader="none"/>
              </w:tabs>
              <w:ind w:start="965" w:end="965"/>
              <w:rPr/>
            </w:pPr>
            <w:r>
              <w:rPr/>
              <w:t>1.5</w:t>
            </w:r>
          </w:p>
        </w:tc>
        <w:tc>
          <w:tcPr>
            <w:tcW w:w="2790" w:type="dxa"/>
            <w:tcBorders/>
          </w:tcPr>
          <w:p>
            <w:pPr>
              <w:pStyle w:val="Normal"/>
              <w:keepNext w:val="true"/>
              <w:keepLines/>
              <w:tabs>
                <w:tab w:val="clear" w:pos="720"/>
                <w:tab w:val="decimal" w:pos="1385" w:leader="none"/>
              </w:tabs>
              <w:ind w:start="965" w:end="965"/>
              <w:rPr/>
            </w:pPr>
            <w:r>
              <w:rPr/>
              <w:t>88.227</w:t>
            </w:r>
          </w:p>
        </w:tc>
      </w:tr>
      <w:tr>
        <w:trPr/>
        <w:tc>
          <w:tcPr>
            <w:tcW w:w="990" w:type="dxa"/>
            <w:tcBorders/>
          </w:tcPr>
          <w:p>
            <w:pPr>
              <w:pStyle w:val="Normal"/>
              <w:keepNext w:val="true"/>
              <w:keepLines/>
              <w:jc w:val="center"/>
              <w:rPr>
                <w:b/>
                <w:sz w:val="21"/>
                <w:vertAlign w:val="superscript"/>
              </w:rPr>
            </w:pPr>
            <w:r>
              <w:rPr>
                <w:b/>
                <w:sz w:val="21"/>
              </w:rPr>
              <w:t>1993</w:t>
            </w:r>
          </w:p>
        </w:tc>
        <w:tc>
          <w:tcPr>
            <w:tcW w:w="2790" w:type="dxa"/>
            <w:tcBorders/>
          </w:tcPr>
          <w:p>
            <w:pPr>
              <w:pStyle w:val="Normal"/>
              <w:keepNext w:val="true"/>
              <w:keepLines/>
              <w:tabs>
                <w:tab w:val="clear" w:pos="720"/>
                <w:tab w:val="decimal" w:pos="1315" w:leader="none"/>
              </w:tabs>
              <w:ind w:start="1135" w:end="1135"/>
              <w:rPr/>
            </w:pPr>
            <w:r>
              <w:rPr/>
              <w:t>0.96</w:t>
            </w:r>
          </w:p>
        </w:tc>
        <w:tc>
          <w:tcPr>
            <w:tcW w:w="2790" w:type="dxa"/>
            <w:tcBorders/>
          </w:tcPr>
          <w:p>
            <w:pPr>
              <w:pStyle w:val="Normal"/>
              <w:keepNext w:val="true"/>
              <w:keepLines/>
              <w:tabs>
                <w:tab w:val="clear" w:pos="720"/>
                <w:tab w:val="decimal" w:pos="1475" w:leader="none"/>
              </w:tabs>
              <w:ind w:start="965" w:end="965"/>
              <w:rPr/>
            </w:pPr>
            <w:r>
              <w:rPr/>
              <w:t>0.7</w:t>
            </w:r>
          </w:p>
        </w:tc>
        <w:tc>
          <w:tcPr>
            <w:tcW w:w="2790" w:type="dxa"/>
            <w:tcBorders/>
          </w:tcPr>
          <w:p>
            <w:pPr>
              <w:pStyle w:val="Normal"/>
              <w:keepNext w:val="true"/>
              <w:keepLines/>
              <w:tabs>
                <w:tab w:val="clear" w:pos="720"/>
                <w:tab w:val="decimal" w:pos="1385" w:leader="none"/>
              </w:tabs>
              <w:ind w:start="965" w:end="965"/>
              <w:rPr/>
            </w:pPr>
            <w:r>
              <w:rPr/>
              <w:t>94.014</w:t>
            </w:r>
          </w:p>
        </w:tc>
      </w:tr>
      <w:tr>
        <w:trPr/>
        <w:tc>
          <w:tcPr>
            <w:tcW w:w="990" w:type="dxa"/>
            <w:tcBorders/>
          </w:tcPr>
          <w:p>
            <w:pPr>
              <w:pStyle w:val="Normal"/>
              <w:keepNext w:val="true"/>
              <w:keepLines/>
              <w:jc w:val="center"/>
              <w:rPr>
                <w:b/>
                <w:sz w:val="21"/>
              </w:rPr>
            </w:pPr>
            <w:r>
              <w:rPr>
                <w:b/>
                <w:sz w:val="21"/>
              </w:rPr>
              <w:t>1994</w:t>
            </w:r>
          </w:p>
        </w:tc>
        <w:tc>
          <w:tcPr>
            <w:tcW w:w="2790" w:type="dxa"/>
            <w:tcBorders/>
          </w:tcPr>
          <w:p>
            <w:pPr>
              <w:pStyle w:val="Normal"/>
              <w:keepNext w:val="true"/>
              <w:keepLines/>
              <w:tabs>
                <w:tab w:val="clear" w:pos="720"/>
                <w:tab w:val="decimal" w:pos="1315" w:leader="none"/>
              </w:tabs>
              <w:ind w:start="1135" w:end="1135"/>
              <w:rPr/>
            </w:pPr>
            <w:r>
              <w:rPr/>
              <w:t>0.92</w:t>
            </w:r>
          </w:p>
        </w:tc>
        <w:tc>
          <w:tcPr>
            <w:tcW w:w="2790" w:type="dxa"/>
            <w:tcBorders/>
          </w:tcPr>
          <w:p>
            <w:pPr>
              <w:pStyle w:val="Normal"/>
              <w:keepNext w:val="true"/>
              <w:keepLines/>
              <w:tabs>
                <w:tab w:val="clear" w:pos="720"/>
                <w:tab w:val="decimal" w:pos="1475" w:leader="none"/>
              </w:tabs>
              <w:ind w:start="965" w:end="965"/>
              <w:rPr/>
            </w:pPr>
            <w:r>
              <w:rPr/>
              <w:t>(5.9)</w:t>
            </w:r>
          </w:p>
        </w:tc>
        <w:tc>
          <w:tcPr>
            <w:tcW w:w="2790" w:type="dxa"/>
            <w:tcBorders/>
          </w:tcPr>
          <w:p>
            <w:pPr>
              <w:pStyle w:val="Normal"/>
              <w:keepNext w:val="true"/>
              <w:keepLines/>
              <w:tabs>
                <w:tab w:val="clear" w:pos="720"/>
                <w:tab w:val="decimal" w:pos="1385" w:leader="none"/>
              </w:tabs>
              <w:ind w:start="965" w:end="965"/>
              <w:rPr/>
            </w:pPr>
            <w:r>
              <w:rPr/>
              <w:t>100.000</w:t>
            </w:r>
          </w:p>
        </w:tc>
      </w:tr>
      <w:tr>
        <w:trPr/>
        <w:tc>
          <w:tcPr>
            <w:tcW w:w="990" w:type="dxa"/>
            <w:tcBorders/>
          </w:tcPr>
          <w:p>
            <w:pPr>
              <w:pStyle w:val="Normal"/>
              <w:keepNext w:val="true"/>
              <w:keepLines/>
              <w:jc w:val="center"/>
              <w:rPr>
                <w:b/>
                <w:sz w:val="21"/>
              </w:rPr>
            </w:pPr>
            <w:r>
              <w:rPr>
                <w:b/>
                <w:sz w:val="21"/>
              </w:rPr>
              <w:t>1995</w:t>
            </w:r>
          </w:p>
        </w:tc>
        <w:tc>
          <w:tcPr>
            <w:tcW w:w="2790" w:type="dxa"/>
            <w:tcBorders/>
          </w:tcPr>
          <w:p>
            <w:pPr>
              <w:pStyle w:val="Normal"/>
              <w:keepNext w:val="true"/>
              <w:keepLines/>
              <w:tabs>
                <w:tab w:val="clear" w:pos="720"/>
                <w:tab w:val="decimal" w:pos="1315" w:leader="none"/>
              </w:tabs>
              <w:ind w:start="1135" w:end="1135"/>
              <w:rPr/>
            </w:pPr>
            <w:r>
              <w:rPr/>
              <w:t>0.87</w:t>
            </w:r>
          </w:p>
        </w:tc>
        <w:tc>
          <w:tcPr>
            <w:tcW w:w="2790" w:type="dxa"/>
            <w:tcBorders/>
          </w:tcPr>
          <w:p>
            <w:pPr>
              <w:pStyle w:val="Normal"/>
              <w:keepNext w:val="true"/>
              <w:keepLines/>
              <w:tabs>
                <w:tab w:val="clear" w:pos="720"/>
                <w:tab w:val="decimal" w:pos="1475" w:leader="none"/>
              </w:tabs>
              <w:ind w:start="965" w:end="965"/>
              <w:rPr/>
            </w:pPr>
            <w:r>
              <w:rPr/>
              <w:t>(13.2)</w:t>
            </w:r>
          </w:p>
        </w:tc>
        <w:tc>
          <w:tcPr>
            <w:tcW w:w="2790" w:type="dxa"/>
            <w:tcBorders/>
          </w:tcPr>
          <w:p>
            <w:pPr>
              <w:pStyle w:val="Normal"/>
              <w:keepNext w:val="true"/>
              <w:keepLines/>
              <w:tabs>
                <w:tab w:val="clear" w:pos="720"/>
                <w:tab w:val="decimal" w:pos="1385" w:leader="none"/>
              </w:tabs>
              <w:ind w:start="965" w:end="965"/>
              <w:rPr/>
            </w:pPr>
            <w:r>
              <w:rPr/>
              <w:t>141.493</w:t>
            </w:r>
          </w:p>
        </w:tc>
      </w:tr>
      <w:tr>
        <w:trPr/>
        <w:tc>
          <w:tcPr>
            <w:tcW w:w="990" w:type="dxa"/>
            <w:tcBorders/>
          </w:tcPr>
          <w:p>
            <w:pPr>
              <w:pStyle w:val="Normal"/>
              <w:keepNext w:val="true"/>
              <w:keepLines/>
              <w:jc w:val="center"/>
              <w:rPr>
                <w:b/>
                <w:sz w:val="21"/>
              </w:rPr>
            </w:pPr>
            <w:r>
              <w:rPr>
                <w:b/>
                <w:sz w:val="21"/>
              </w:rPr>
              <w:t>1996</w:t>
            </w:r>
          </w:p>
        </w:tc>
        <w:tc>
          <w:tcPr>
            <w:tcW w:w="2790" w:type="dxa"/>
            <w:tcBorders/>
          </w:tcPr>
          <w:p>
            <w:pPr>
              <w:pStyle w:val="Normal"/>
              <w:keepNext w:val="true"/>
              <w:keepLines/>
              <w:tabs>
                <w:tab w:val="clear" w:pos="720"/>
                <w:tab w:val="decimal" w:pos="1315" w:leader="none"/>
              </w:tabs>
              <w:ind w:start="1135" w:end="1135"/>
              <w:rPr/>
            </w:pPr>
            <w:r>
              <w:rPr/>
              <w:t>0.69</w:t>
            </w:r>
          </w:p>
        </w:tc>
        <w:tc>
          <w:tcPr>
            <w:tcW w:w="2790" w:type="dxa"/>
            <w:tcBorders/>
          </w:tcPr>
          <w:p>
            <w:pPr>
              <w:pStyle w:val="Normal"/>
              <w:keepNext w:val="true"/>
              <w:keepLines/>
              <w:tabs>
                <w:tab w:val="clear" w:pos="720"/>
                <w:tab w:val="decimal" w:pos="1475" w:leader="none"/>
              </w:tabs>
              <w:ind w:start="965" w:end="965"/>
              <w:rPr/>
            </w:pPr>
            <w:r>
              <w:rPr/>
              <w:t>(0.6)</w:t>
            </w:r>
          </w:p>
        </w:tc>
        <w:tc>
          <w:tcPr>
            <w:tcW w:w="2790" w:type="dxa"/>
            <w:tcBorders/>
          </w:tcPr>
          <w:p>
            <w:pPr>
              <w:pStyle w:val="Normal"/>
              <w:keepNext w:val="true"/>
              <w:keepLines/>
              <w:tabs>
                <w:tab w:val="clear" w:pos="720"/>
                <w:tab w:val="decimal" w:pos="1385" w:leader="none"/>
              </w:tabs>
              <w:ind w:start="965" w:end="965"/>
              <w:rPr/>
            </w:pPr>
            <w:r>
              <w:rPr/>
              <w:t>190.093</w:t>
            </w:r>
          </w:p>
        </w:tc>
      </w:tr>
      <w:tr>
        <w:trPr/>
        <w:tc>
          <w:tcPr>
            <w:tcW w:w="990" w:type="dxa"/>
            <w:tcBorders/>
          </w:tcPr>
          <w:p>
            <w:pPr>
              <w:pStyle w:val="Normal"/>
              <w:keepNext w:val="true"/>
              <w:keepLines/>
              <w:jc w:val="center"/>
              <w:rPr>
                <w:b/>
                <w:sz w:val="21"/>
              </w:rPr>
            </w:pPr>
            <w:r>
              <w:rPr>
                <w:b/>
                <w:sz w:val="21"/>
              </w:rPr>
              <w:t>1997</w:t>
            </w:r>
          </w:p>
        </w:tc>
        <w:tc>
          <w:tcPr>
            <w:tcW w:w="2790" w:type="dxa"/>
            <w:tcBorders/>
          </w:tcPr>
          <w:p>
            <w:pPr>
              <w:pStyle w:val="Normal"/>
              <w:keepNext w:val="true"/>
              <w:keepLines/>
              <w:tabs>
                <w:tab w:val="clear" w:pos="720"/>
                <w:tab w:val="decimal" w:pos="1315" w:leader="none"/>
              </w:tabs>
              <w:ind w:start="1135" w:end="1135"/>
              <w:rPr/>
            </w:pPr>
            <w:r>
              <w:rPr/>
              <w:t>0.73</w:t>
            </w:r>
          </w:p>
        </w:tc>
        <w:tc>
          <w:tcPr>
            <w:tcW w:w="2790" w:type="dxa"/>
            <w:tcBorders/>
          </w:tcPr>
          <w:p>
            <w:pPr>
              <w:pStyle w:val="Normal"/>
              <w:keepNext w:val="true"/>
              <w:keepLines/>
              <w:tabs>
                <w:tab w:val="clear" w:pos="720"/>
                <w:tab w:val="decimal" w:pos="1475" w:leader="none"/>
              </w:tabs>
              <w:ind w:start="965" w:end="965"/>
              <w:rPr/>
            </w:pPr>
            <w:r>
              <w:rPr/>
              <w:t>8.1</w:t>
            </w:r>
          </w:p>
        </w:tc>
        <w:tc>
          <w:tcPr>
            <w:tcW w:w="2790" w:type="dxa"/>
            <w:tcBorders/>
          </w:tcPr>
          <w:p>
            <w:pPr>
              <w:pStyle w:val="Normal"/>
              <w:keepNext w:val="true"/>
              <w:keepLines/>
              <w:tabs>
                <w:tab w:val="clear" w:pos="720"/>
                <w:tab w:val="decimal" w:pos="1385" w:leader="none"/>
              </w:tabs>
              <w:ind w:start="965" w:end="965"/>
              <w:rPr/>
            </w:pPr>
            <w:r>
              <w:rPr/>
              <w:t>220.417</w:t>
            </w:r>
          </w:p>
        </w:tc>
      </w:tr>
      <w:tr>
        <w:trPr/>
        <w:tc>
          <w:tcPr>
            <w:tcW w:w="990" w:type="dxa"/>
            <w:tcBorders>
              <w:bottom w:val="single" w:sz="4" w:space="0" w:color="000000"/>
            </w:tcBorders>
          </w:tcPr>
          <w:p>
            <w:pPr>
              <w:pStyle w:val="Normal"/>
              <w:keepNext w:val="true"/>
              <w:keepLines/>
              <w:jc w:val="center"/>
              <w:rPr>
                <w:b/>
                <w:sz w:val="21"/>
              </w:rPr>
            </w:pPr>
            <w:r>
              <w:rPr>
                <w:b/>
                <w:sz w:val="21"/>
              </w:rPr>
              <w:t>1998</w:t>
            </w:r>
          </w:p>
        </w:tc>
        <w:tc>
          <w:tcPr>
            <w:tcW w:w="2790" w:type="dxa"/>
            <w:tcBorders>
              <w:bottom w:val="single" w:sz="4" w:space="0" w:color="000000"/>
            </w:tcBorders>
          </w:tcPr>
          <w:p>
            <w:pPr>
              <w:pStyle w:val="Normal"/>
              <w:keepNext w:val="true"/>
              <w:keepLines/>
              <w:tabs>
                <w:tab w:val="clear" w:pos="720"/>
                <w:tab w:val="decimal" w:pos="1315" w:leader="none"/>
              </w:tabs>
              <w:ind w:start="1135" w:end="1135"/>
              <w:rPr/>
            </w:pPr>
            <w:r>
              <w:rPr/>
              <w:t>0.76</w:t>
            </w:r>
          </w:p>
        </w:tc>
        <w:tc>
          <w:tcPr>
            <w:tcW w:w="2790" w:type="dxa"/>
            <w:tcBorders>
              <w:bottom w:val="single" w:sz="4" w:space="0" w:color="000000"/>
            </w:tcBorders>
          </w:tcPr>
          <w:p>
            <w:pPr>
              <w:pStyle w:val="Normal"/>
              <w:keepNext w:val="true"/>
              <w:keepLines/>
              <w:tabs>
                <w:tab w:val="clear" w:pos="720"/>
                <w:tab w:val="decimal" w:pos="1475" w:leader="none"/>
              </w:tabs>
              <w:ind w:start="965" w:end="965"/>
              <w:rPr/>
            </w:pPr>
            <w:r>
              <w:rPr/>
              <w:t>(4.5)</w:t>
            </w:r>
          </w:p>
        </w:tc>
        <w:tc>
          <w:tcPr>
            <w:tcW w:w="2790" w:type="dxa"/>
            <w:tcBorders>
              <w:bottom w:val="single" w:sz="4" w:space="0" w:color="000000"/>
            </w:tcBorders>
          </w:tcPr>
          <w:p>
            <w:pPr>
              <w:pStyle w:val="Normal"/>
              <w:keepNext w:val="true"/>
              <w:keepLines/>
              <w:tabs>
                <w:tab w:val="clear" w:pos="720"/>
                <w:tab w:val="decimal" w:pos="1385" w:leader="none"/>
              </w:tabs>
              <w:ind w:start="965" w:end="965"/>
              <w:rPr/>
            </w:pPr>
            <w:r>
              <w:rPr/>
              <w:t>250.836</w:t>
            </w:r>
          </w:p>
        </w:tc>
      </w:tr>
    </w:tbl>
    <w:p>
      <w:pPr>
        <w:pStyle w:val="Spacerhalf"/>
        <w:keepNext w:val="true"/>
        <w:rPr/>
      </w:pPr>
      <w:r>
        <w:rPr/>
      </w:r>
    </w:p>
    <w:p>
      <w:pPr>
        <w:pStyle w:val="TableFootnote"/>
        <w:keepNext w:val="true"/>
        <w:rPr/>
      </w:pPr>
      <w:r>
        <w:rPr/>
        <w:t>(a)</w:t>
        <w:tab/>
        <w:t>Calculated in Pesos.  Subsidies are not included in the calculation of this ratio.  A value less than 1.00 indicates that CFE’s average book cost of producing electricity per kWh exceeded the average price per kWh for electricity charged to customers.</w:t>
      </w:r>
    </w:p>
    <w:p>
      <w:pPr>
        <w:pStyle w:val="TableFootnote"/>
        <w:keepNext w:val="true"/>
        <w:rPr/>
      </w:pPr>
      <w:r>
        <w:rPr/>
        <w:t>(b)</w:t>
        <w:tab/>
        <w:t>A positive value indicates that the increase in the average price of electricity for the year exceeded the rate of inflation (as measured by the INPP for the year).</w:t>
      </w:r>
    </w:p>
    <w:p>
      <w:pPr>
        <w:pStyle w:val="TableFootnote"/>
        <w:keepNext w:val="true"/>
        <w:rPr/>
      </w:pPr>
      <w:r>
        <w:rPr/>
        <w:t>(c)</w:t>
        <w:tab/>
        <w:t>INPP = National Producer Price Index.  1994 = 100.</w:t>
      </w:r>
    </w:p>
    <w:p>
      <w:pPr>
        <w:pStyle w:val="Source"/>
        <w:rPr/>
      </w:pPr>
      <w:r>
        <w:rPr/>
        <w:t>Source:  CFE, October 1999</w:t>
      </w:r>
    </w:p>
    <w:p>
      <w:pPr>
        <w:pStyle w:val="Spacerhalf"/>
        <w:rPr/>
      </w:pPr>
      <w:r>
        <w:rPr/>
      </w:r>
    </w:p>
    <w:p>
      <w:pPr>
        <w:pStyle w:val="WW-Text"/>
        <w:rPr/>
      </w:pPr>
      <w:r>
        <w:rPr/>
        <w:t>The above table shows that the increase in the average electricity price exceeded the rate of inflation (as measured by the National Producer Price Index) over the period 1988-1998.</w:t>
      </w:r>
    </w:p>
    <w:p>
      <w:pPr>
        <w:pStyle w:val="WW-Text"/>
        <w:rPr/>
      </w:pPr>
      <w:r>
        <w:rPr/>
        <w:t>The financial condition of CFE is largely dependent on electricity rates established by the Mexican Government and on the subsidies provided by the Mexican Government to compensate for rate levels that do not cover operating costs.  In reviewing the performance over the past two decades, the electricity rates have not covered CFE’s full cost of supplying electricity.  Particularly after the 1994 peso devaluation, subsidies from the Mexican Government to CFE have increased due to the Mexican Government’s policy-related price constraints on certain customers.  Since 1991, these subsidies, other than for the devaluation-related extraordinary cash infusion in 1995, have been in the form of non-cash subsidies (see description of “benefit” charge below).</w:t>
      </w:r>
    </w:p>
    <w:p>
      <w:pPr>
        <w:pStyle w:val="WW-Text"/>
        <w:rPr/>
      </w:pPr>
      <w:r>
        <w:rPr/>
        <w:t xml:space="preserve">The 1994 decrease in CFE’s average rate/operating cost ratio was mainly due to the December 1994 peso devaluation, which increased CFE’s financing costs.  This ratio was also affected by a reduction in tariffs for industrial customers in the fourth quarter of 1993 in accordance with the Economic Pact for Competitiveness and Employment and a change in the method used in calculating the “benefit” charge included in CFE’s financial statements in connection with the assumption by the Mexican Government of a large part of CFE’s debt in 1986 and 1989. </w:t>
      </w:r>
    </w:p>
    <w:p>
      <w:pPr>
        <w:pStyle w:val="WW-Text"/>
        <w:rPr/>
      </w:pPr>
      <w:r>
        <w:rPr/>
        <w:t>Despite declines in this ratio, CFE gained real increases (when adjusted in accordance with the INPP) in its average electricity tariffs in each year between 1989 and 1993.  There was, however, a real decrease in average electricity tariffs in 1994 and 1995 as a result of the Mexican Government’s policy of restraining electricity tariff increases following the devaluation of the peso, and again, to a lesser extent, in 1996 and 1998.</w:t>
      </w:r>
    </w:p>
    <w:p>
      <w:pPr>
        <w:pStyle w:val="WW-Text"/>
        <w:rPr/>
      </w:pPr>
      <w:r>
        <w:rPr/>
        <w:t xml:space="preserve">Average rates also have been affected by CFE’s 1992 change to a two-tariff structure for its industrial customers under which different rates are charged for peak and off-peak electricity. </w:t>
      </w:r>
    </w:p>
    <w:p>
      <w:pPr>
        <w:pStyle w:val="Textbold"/>
        <w:rPr/>
      </w:pPr>
      <w:r>
        <w:rPr/>
        <w:t>Government subsidies</w:t>
      </w:r>
    </w:p>
    <w:p>
      <w:pPr>
        <w:pStyle w:val="WW-Text"/>
        <w:rPr/>
      </w:pPr>
      <w:r>
        <w:rPr/>
        <w:t>As the tariffs that CFE has been able to charge its customers have historically been insufficient to cover its operating costs, the Mexican Government has provided subsidy credits to CFE to make up the difference.  These subsidies have, in recent years, generally taken the form of non-cash credits used to offset non-cash charges such as the “benefit” charge mentioned above.</w:t>
      </w:r>
    </w:p>
    <w:p>
      <w:pPr>
        <w:pStyle w:val="WW-Text"/>
        <w:rPr>
          <w:b/>
        </w:rPr>
      </w:pPr>
      <w:r>
        <w:rPr/>
        <w:t>Since 1991, and particularly since the 1994 devaluation of the peso, the Mexican Government’s policy of restraining increases in electricity tariff rates (especially those for agricultural and residential customers) has resulted in CFE experiencing even greater revenue shortfalls and requiring substantial increases in subsidy credits.  From 1991 to 1994 and from 1996 onward, CFE received no cash payments with respect to Mexican Government subsidies.</w:t>
      </w:r>
    </w:p>
    <w:p>
      <w:pPr>
        <w:pStyle w:val="Spacer"/>
        <w:rPr>
          <w:rFonts w:ascii="Times New Roman" w:hAnsi="Times New Roman" w:cs="Times New Roman"/>
          <w:b/>
        </w:rPr>
      </w:pPr>
      <w:r>
        <w:rPr>
          <w:rFonts w:cs="Times New Roman" w:ascii="Times New Roman" w:hAnsi="Times New Roman"/>
          <w:b/>
        </w:rPr>
      </w:r>
    </w:p>
    <w:tbl>
      <w:tblPr>
        <w:tblW w:w="9270" w:type="dxa"/>
        <w:jc w:val="start"/>
        <w:tblInd w:w="0" w:type="dxa"/>
        <w:tblLayout w:type="fixed"/>
        <w:tblCellMar>
          <w:top w:w="0" w:type="dxa"/>
          <w:start w:w="0" w:type="dxa"/>
          <w:bottom w:w="0" w:type="dxa"/>
          <w:end w:w="0" w:type="dxa"/>
        </w:tblCellMar>
      </w:tblPr>
      <w:tblGrid>
        <w:gridCol w:w="9270"/>
      </w:tblGrid>
      <w:tr>
        <w:trPr/>
        <w:tc>
          <w:tcPr>
            <w:tcW w:w="9270" w:type="dxa"/>
            <w:tcBorders/>
            <w:shd w:fill="0000FF" w:val="clear"/>
          </w:tcPr>
          <w:p>
            <w:pPr>
              <w:pStyle w:val="Texthead"/>
              <w:keepNext w:val="true"/>
              <w:spacing w:before="120" w:after="60"/>
              <w:rPr>
                <w:sz w:val="22"/>
              </w:rPr>
            </w:pPr>
            <w:r>
              <w:rPr>
                <w:sz w:val="22"/>
              </w:rPr>
              <w:t>Summary of Governmental Subsidies (US$ millions)</w:t>
            </w:r>
          </w:p>
        </w:tc>
      </w:tr>
    </w:tbl>
    <w:p>
      <w:pPr>
        <w:pStyle w:val="Hidden"/>
        <w:rPr>
          <w:rFonts w:ascii="Times New Roman" w:hAnsi="Times New Roman" w:cs="Times New Roman"/>
          <w:sz w:val="22"/>
        </w:rPr>
      </w:pPr>
      <w:r>
        <w:rPr>
          <w:rFonts w:cs="Times New Roman" w:ascii="Times New Roman" w:hAnsi="Times New Roman"/>
          <w:sz w:val="22"/>
        </w:rPr>
      </w:r>
    </w:p>
    <w:tbl>
      <w:tblPr>
        <w:tblW w:w="9237" w:type="dxa"/>
        <w:jc w:val="start"/>
        <w:tblInd w:w="0" w:type="dxa"/>
        <w:tblLayout w:type="fixed"/>
        <w:tblCellMar>
          <w:top w:w="0" w:type="dxa"/>
          <w:start w:w="0" w:type="dxa"/>
          <w:bottom w:w="0" w:type="dxa"/>
          <w:end w:w="0" w:type="dxa"/>
        </w:tblCellMar>
      </w:tblPr>
      <w:tblGrid>
        <w:gridCol w:w="2790"/>
        <w:gridCol w:w="921"/>
        <w:gridCol w:w="921"/>
        <w:gridCol w:w="921"/>
        <w:gridCol w:w="921"/>
        <w:gridCol w:w="921"/>
        <w:gridCol w:w="921"/>
        <w:gridCol w:w="921"/>
      </w:tblGrid>
      <w:tr>
        <w:trPr/>
        <w:tc>
          <w:tcPr>
            <w:tcW w:w="2790" w:type="dxa"/>
            <w:tcBorders>
              <w:bottom w:val="single" w:sz="6" w:space="0" w:color="000000"/>
            </w:tcBorders>
          </w:tcPr>
          <w:p>
            <w:pPr>
              <w:pStyle w:val="Normal"/>
              <w:keepNext w:val="true"/>
              <w:snapToGrid w:val="false"/>
              <w:spacing w:before="60" w:after="60"/>
              <w:jc w:val="end"/>
              <w:rPr>
                <w:b/>
                <w:sz w:val="16"/>
              </w:rPr>
            </w:pPr>
            <w:r>
              <w:rPr>
                <w:b/>
                <w:sz w:val="16"/>
              </w:rPr>
            </w:r>
          </w:p>
        </w:tc>
        <w:tc>
          <w:tcPr>
            <w:tcW w:w="921" w:type="dxa"/>
            <w:tcBorders>
              <w:bottom w:val="single" w:sz="6" w:space="0" w:color="000000"/>
            </w:tcBorders>
          </w:tcPr>
          <w:p>
            <w:pPr>
              <w:pStyle w:val="Normal"/>
              <w:keepNext w:val="true"/>
              <w:spacing w:before="60" w:after="60"/>
              <w:jc w:val="center"/>
              <w:rPr>
                <w:b/>
                <w:sz w:val="16"/>
                <w:vertAlign w:val="superscript"/>
              </w:rPr>
            </w:pPr>
            <w:r>
              <w:rPr>
                <w:b/>
                <w:sz w:val="16"/>
              </w:rPr>
              <w:t>1992</w:t>
            </w:r>
          </w:p>
        </w:tc>
        <w:tc>
          <w:tcPr>
            <w:tcW w:w="921" w:type="dxa"/>
            <w:tcBorders>
              <w:bottom w:val="single" w:sz="6" w:space="0" w:color="000000"/>
            </w:tcBorders>
          </w:tcPr>
          <w:p>
            <w:pPr>
              <w:pStyle w:val="Normal"/>
              <w:keepNext w:val="true"/>
              <w:spacing w:before="60" w:after="60"/>
              <w:jc w:val="center"/>
              <w:rPr>
                <w:b/>
                <w:sz w:val="16"/>
                <w:vertAlign w:val="superscript"/>
              </w:rPr>
            </w:pPr>
            <w:r>
              <w:rPr>
                <w:b/>
                <w:sz w:val="16"/>
              </w:rPr>
              <w:t>1993</w:t>
            </w:r>
          </w:p>
        </w:tc>
        <w:tc>
          <w:tcPr>
            <w:tcW w:w="921" w:type="dxa"/>
            <w:tcBorders>
              <w:bottom w:val="single" w:sz="6" w:space="0" w:color="000000"/>
            </w:tcBorders>
          </w:tcPr>
          <w:p>
            <w:pPr>
              <w:pStyle w:val="Normal"/>
              <w:keepNext w:val="true"/>
              <w:spacing w:before="60" w:after="60"/>
              <w:jc w:val="center"/>
              <w:rPr>
                <w:b/>
                <w:sz w:val="16"/>
                <w:vertAlign w:val="superscript"/>
              </w:rPr>
            </w:pPr>
            <w:r>
              <w:rPr>
                <w:b/>
                <w:sz w:val="16"/>
              </w:rPr>
              <w:t>1994</w:t>
            </w:r>
          </w:p>
        </w:tc>
        <w:tc>
          <w:tcPr>
            <w:tcW w:w="921" w:type="dxa"/>
            <w:tcBorders>
              <w:bottom w:val="single" w:sz="6" w:space="0" w:color="000000"/>
            </w:tcBorders>
          </w:tcPr>
          <w:p>
            <w:pPr>
              <w:pStyle w:val="Normal"/>
              <w:keepNext w:val="true"/>
              <w:spacing w:before="60" w:after="60"/>
              <w:jc w:val="center"/>
              <w:rPr>
                <w:b/>
                <w:sz w:val="16"/>
                <w:vertAlign w:val="superscript"/>
              </w:rPr>
            </w:pPr>
            <w:r>
              <w:rPr>
                <w:b/>
                <w:sz w:val="16"/>
              </w:rPr>
              <w:t>1995</w:t>
            </w:r>
          </w:p>
        </w:tc>
        <w:tc>
          <w:tcPr>
            <w:tcW w:w="921" w:type="dxa"/>
            <w:tcBorders>
              <w:bottom w:val="single" w:sz="6" w:space="0" w:color="000000"/>
            </w:tcBorders>
          </w:tcPr>
          <w:p>
            <w:pPr>
              <w:pStyle w:val="Normal"/>
              <w:keepNext w:val="true"/>
              <w:spacing w:before="60" w:after="60"/>
              <w:jc w:val="center"/>
              <w:rPr>
                <w:b/>
                <w:sz w:val="16"/>
                <w:vertAlign w:val="superscript"/>
              </w:rPr>
            </w:pPr>
            <w:r>
              <w:rPr>
                <w:b/>
                <w:sz w:val="16"/>
              </w:rPr>
              <w:t>1996</w:t>
            </w:r>
          </w:p>
        </w:tc>
        <w:tc>
          <w:tcPr>
            <w:tcW w:w="921" w:type="dxa"/>
            <w:tcBorders>
              <w:bottom w:val="single" w:sz="6" w:space="0" w:color="000000"/>
            </w:tcBorders>
          </w:tcPr>
          <w:p>
            <w:pPr>
              <w:pStyle w:val="Normal"/>
              <w:keepNext w:val="true"/>
              <w:spacing w:before="60" w:after="60"/>
              <w:jc w:val="center"/>
              <w:rPr>
                <w:b/>
                <w:sz w:val="16"/>
              </w:rPr>
            </w:pPr>
            <w:r>
              <w:rPr>
                <w:b/>
                <w:sz w:val="16"/>
              </w:rPr>
              <w:t>1997</w:t>
            </w:r>
          </w:p>
        </w:tc>
        <w:tc>
          <w:tcPr>
            <w:tcW w:w="921" w:type="dxa"/>
            <w:tcBorders>
              <w:bottom w:val="single" w:sz="6" w:space="0" w:color="000000"/>
            </w:tcBorders>
          </w:tcPr>
          <w:p>
            <w:pPr>
              <w:pStyle w:val="Normal"/>
              <w:keepNext w:val="true"/>
              <w:spacing w:before="60" w:after="60"/>
              <w:jc w:val="center"/>
              <w:rPr>
                <w:b/>
                <w:sz w:val="16"/>
              </w:rPr>
            </w:pPr>
            <w:r>
              <w:rPr>
                <w:b/>
                <w:sz w:val="16"/>
              </w:rPr>
              <w:t>1998</w:t>
            </w:r>
          </w:p>
        </w:tc>
      </w:tr>
      <w:tr>
        <w:trPr/>
        <w:tc>
          <w:tcPr>
            <w:tcW w:w="2790" w:type="dxa"/>
            <w:tcBorders/>
          </w:tcPr>
          <w:p>
            <w:pPr>
              <w:pStyle w:val="Normal"/>
              <w:keepNext w:val="true"/>
              <w:spacing w:before="120" w:after="0"/>
              <w:rPr/>
            </w:pPr>
            <w:r>
              <w:rPr>
                <w:sz w:val="18"/>
              </w:rPr>
              <w:t>Exchange rate</w:t>
            </w:r>
            <w:r>
              <w:rPr>
                <w:sz w:val="18"/>
                <w:vertAlign w:val="superscript"/>
              </w:rPr>
              <w:t xml:space="preserve">(a) </w:t>
            </w:r>
            <w:r>
              <w:rPr>
                <w:sz w:val="18"/>
              </w:rPr>
              <w:t xml:space="preserve"> (US$1=)</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3.10</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3.12</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3.39</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6.44</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7.50</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7.92</w:t>
            </w:r>
          </w:p>
        </w:tc>
        <w:tc>
          <w:tcPr>
            <w:tcW w:w="921" w:type="dxa"/>
            <w:tcBorders/>
          </w:tcPr>
          <w:p>
            <w:pPr>
              <w:pStyle w:val="Normal"/>
              <w:keepNext w:val="true"/>
              <w:tabs>
                <w:tab w:val="clear" w:pos="720"/>
                <w:tab w:val="left" w:pos="70" w:leader="none"/>
                <w:tab w:val="decimal" w:pos="631" w:leader="none"/>
              </w:tabs>
              <w:spacing w:before="120" w:after="0"/>
              <w:ind w:start="10" w:end="10"/>
              <w:rPr>
                <w:sz w:val="18"/>
              </w:rPr>
            </w:pPr>
            <w:r>
              <w:rPr>
                <w:sz w:val="18"/>
              </w:rPr>
              <w:tab/>
              <w:t>Ps</w:t>
              <w:tab/>
              <w:t>9.15</w:t>
            </w:r>
          </w:p>
        </w:tc>
      </w:tr>
      <w:tr>
        <w:trPr/>
        <w:tc>
          <w:tcPr>
            <w:tcW w:w="2790" w:type="dxa"/>
            <w:tcBorders/>
          </w:tcPr>
          <w:p>
            <w:pPr>
              <w:pStyle w:val="Normal"/>
              <w:keepNext w:val="true"/>
              <w:rPr>
                <w:sz w:val="18"/>
              </w:rPr>
            </w:pPr>
            <w:r>
              <w:rPr>
                <w:sz w:val="18"/>
              </w:rPr>
              <w:t>Total subsidies</w:t>
            </w:r>
            <w:r>
              <w:rPr>
                <w:sz w:val="18"/>
                <w:vertAlign w:val="superscript"/>
              </w:rPr>
              <w:t>(b)</w:t>
            </w:r>
          </w:p>
        </w:tc>
        <w:tc>
          <w:tcPr>
            <w:tcW w:w="921" w:type="dxa"/>
            <w:tcBorders/>
          </w:tcPr>
          <w:p>
            <w:pPr>
              <w:pStyle w:val="Normal"/>
              <w:keepNext w:val="true"/>
              <w:tabs>
                <w:tab w:val="clear" w:pos="720"/>
                <w:tab w:val="decimal" w:pos="851" w:leader="none"/>
              </w:tabs>
              <w:ind w:start="10" w:end="10"/>
              <w:rPr>
                <w:sz w:val="18"/>
              </w:rPr>
            </w:pPr>
            <w:r>
              <w:rPr>
                <w:sz w:val="18"/>
              </w:rPr>
              <w:t>706</w:t>
            </w:r>
          </w:p>
        </w:tc>
        <w:tc>
          <w:tcPr>
            <w:tcW w:w="921" w:type="dxa"/>
            <w:tcBorders/>
          </w:tcPr>
          <w:p>
            <w:pPr>
              <w:pStyle w:val="Normal"/>
              <w:keepNext w:val="true"/>
              <w:tabs>
                <w:tab w:val="clear" w:pos="720"/>
                <w:tab w:val="decimal" w:pos="851" w:leader="none"/>
              </w:tabs>
              <w:ind w:start="10" w:end="10"/>
              <w:rPr>
                <w:sz w:val="18"/>
              </w:rPr>
            </w:pPr>
            <w:r>
              <w:rPr>
                <w:sz w:val="18"/>
              </w:rPr>
              <w:t>1,005</w:t>
            </w:r>
          </w:p>
        </w:tc>
        <w:tc>
          <w:tcPr>
            <w:tcW w:w="921" w:type="dxa"/>
            <w:tcBorders/>
          </w:tcPr>
          <w:p>
            <w:pPr>
              <w:pStyle w:val="Normal"/>
              <w:keepNext w:val="true"/>
              <w:tabs>
                <w:tab w:val="clear" w:pos="720"/>
                <w:tab w:val="decimal" w:pos="851" w:leader="none"/>
              </w:tabs>
              <w:ind w:start="10" w:end="10"/>
              <w:rPr>
                <w:sz w:val="18"/>
              </w:rPr>
            </w:pPr>
            <w:r>
              <w:rPr>
                <w:sz w:val="18"/>
              </w:rPr>
              <w:t>1,695</w:t>
            </w:r>
          </w:p>
        </w:tc>
        <w:tc>
          <w:tcPr>
            <w:tcW w:w="921" w:type="dxa"/>
            <w:tcBorders/>
          </w:tcPr>
          <w:p>
            <w:pPr>
              <w:pStyle w:val="Normal"/>
              <w:keepNext w:val="true"/>
              <w:tabs>
                <w:tab w:val="clear" w:pos="720"/>
                <w:tab w:val="decimal" w:pos="851" w:leader="none"/>
              </w:tabs>
              <w:ind w:start="10" w:end="10"/>
              <w:rPr>
                <w:sz w:val="18"/>
              </w:rPr>
            </w:pPr>
            <w:r>
              <w:rPr>
                <w:sz w:val="18"/>
              </w:rPr>
              <w:t>1,732</w:t>
            </w:r>
          </w:p>
        </w:tc>
        <w:tc>
          <w:tcPr>
            <w:tcW w:w="921" w:type="dxa"/>
            <w:tcBorders/>
          </w:tcPr>
          <w:p>
            <w:pPr>
              <w:pStyle w:val="Normal"/>
              <w:keepNext w:val="true"/>
              <w:tabs>
                <w:tab w:val="clear" w:pos="720"/>
                <w:tab w:val="decimal" w:pos="851" w:leader="none"/>
              </w:tabs>
              <w:ind w:start="10" w:end="10"/>
              <w:rPr>
                <w:sz w:val="18"/>
              </w:rPr>
            </w:pPr>
            <w:r>
              <w:rPr>
                <w:sz w:val="18"/>
              </w:rPr>
              <w:t>2,391</w:t>
            </w:r>
          </w:p>
        </w:tc>
        <w:tc>
          <w:tcPr>
            <w:tcW w:w="921" w:type="dxa"/>
            <w:tcBorders/>
          </w:tcPr>
          <w:p>
            <w:pPr>
              <w:pStyle w:val="Normal"/>
              <w:keepNext w:val="true"/>
              <w:tabs>
                <w:tab w:val="clear" w:pos="720"/>
                <w:tab w:val="decimal" w:pos="851" w:leader="none"/>
              </w:tabs>
              <w:ind w:start="10" w:end="10"/>
              <w:rPr>
                <w:sz w:val="18"/>
              </w:rPr>
            </w:pPr>
            <w:r>
              <w:rPr>
                <w:sz w:val="18"/>
              </w:rPr>
              <w:t>2,590</w:t>
            </w:r>
          </w:p>
        </w:tc>
        <w:tc>
          <w:tcPr>
            <w:tcW w:w="921" w:type="dxa"/>
            <w:tcBorders/>
          </w:tcPr>
          <w:p>
            <w:pPr>
              <w:pStyle w:val="Normal"/>
              <w:keepNext w:val="true"/>
              <w:tabs>
                <w:tab w:val="clear" w:pos="720"/>
                <w:tab w:val="decimal" w:pos="851" w:leader="none"/>
              </w:tabs>
              <w:ind w:start="10" w:end="10"/>
              <w:rPr>
                <w:sz w:val="18"/>
              </w:rPr>
            </w:pPr>
            <w:r>
              <w:rPr>
                <w:sz w:val="18"/>
              </w:rPr>
              <w:t>2,365</w:t>
            </w:r>
          </w:p>
        </w:tc>
      </w:tr>
      <w:tr>
        <w:trPr/>
        <w:tc>
          <w:tcPr>
            <w:tcW w:w="2790" w:type="dxa"/>
            <w:tcBorders/>
          </w:tcPr>
          <w:p>
            <w:pPr>
              <w:pStyle w:val="Normal"/>
              <w:keepNext w:val="true"/>
              <w:rPr>
                <w:sz w:val="18"/>
              </w:rPr>
            </w:pPr>
            <w:r>
              <w:rPr>
                <w:sz w:val="18"/>
              </w:rPr>
              <w:t>Total revenues</w:t>
            </w:r>
          </w:p>
        </w:tc>
        <w:tc>
          <w:tcPr>
            <w:tcW w:w="921" w:type="dxa"/>
            <w:tcBorders/>
          </w:tcPr>
          <w:p>
            <w:pPr>
              <w:pStyle w:val="Normal"/>
              <w:keepNext w:val="true"/>
              <w:tabs>
                <w:tab w:val="clear" w:pos="720"/>
                <w:tab w:val="decimal" w:pos="851" w:leader="none"/>
              </w:tabs>
              <w:ind w:start="10" w:end="10"/>
              <w:rPr>
                <w:sz w:val="18"/>
              </w:rPr>
            </w:pPr>
            <w:r>
              <w:rPr>
                <w:sz w:val="18"/>
              </w:rPr>
              <w:t>5,893</w:t>
            </w:r>
          </w:p>
        </w:tc>
        <w:tc>
          <w:tcPr>
            <w:tcW w:w="921" w:type="dxa"/>
            <w:tcBorders/>
          </w:tcPr>
          <w:p>
            <w:pPr>
              <w:pStyle w:val="Normal"/>
              <w:keepNext w:val="true"/>
              <w:tabs>
                <w:tab w:val="clear" w:pos="720"/>
                <w:tab w:val="decimal" w:pos="851" w:leader="none"/>
              </w:tabs>
              <w:ind w:start="10" w:end="10"/>
              <w:rPr>
                <w:sz w:val="18"/>
              </w:rPr>
            </w:pPr>
            <w:r>
              <w:rPr>
                <w:sz w:val="18"/>
              </w:rPr>
              <w:t>6,419</w:t>
            </w:r>
          </w:p>
        </w:tc>
        <w:tc>
          <w:tcPr>
            <w:tcW w:w="921" w:type="dxa"/>
            <w:tcBorders/>
          </w:tcPr>
          <w:p>
            <w:pPr>
              <w:pStyle w:val="Normal"/>
              <w:keepNext w:val="true"/>
              <w:tabs>
                <w:tab w:val="clear" w:pos="720"/>
                <w:tab w:val="decimal" w:pos="851" w:leader="none"/>
              </w:tabs>
              <w:ind w:start="10" w:end="10"/>
              <w:rPr>
                <w:sz w:val="18"/>
              </w:rPr>
            </w:pPr>
            <w:r>
              <w:rPr>
                <w:sz w:val="18"/>
              </w:rPr>
              <w:t>6,937</w:t>
            </w:r>
          </w:p>
        </w:tc>
        <w:tc>
          <w:tcPr>
            <w:tcW w:w="921" w:type="dxa"/>
            <w:tcBorders/>
          </w:tcPr>
          <w:p>
            <w:pPr>
              <w:pStyle w:val="Normal"/>
              <w:keepNext w:val="true"/>
              <w:tabs>
                <w:tab w:val="clear" w:pos="720"/>
                <w:tab w:val="decimal" w:pos="851" w:leader="none"/>
              </w:tabs>
              <w:ind w:start="10" w:end="10"/>
              <w:rPr>
                <w:sz w:val="18"/>
              </w:rPr>
            </w:pPr>
            <w:r>
              <w:rPr>
                <w:sz w:val="18"/>
              </w:rPr>
              <w:t>4,628</w:t>
            </w:r>
          </w:p>
        </w:tc>
        <w:tc>
          <w:tcPr>
            <w:tcW w:w="921" w:type="dxa"/>
            <w:tcBorders/>
          </w:tcPr>
          <w:p>
            <w:pPr>
              <w:pStyle w:val="Normal"/>
              <w:keepNext w:val="true"/>
              <w:tabs>
                <w:tab w:val="clear" w:pos="720"/>
                <w:tab w:val="decimal" w:pos="851" w:leader="none"/>
              </w:tabs>
              <w:ind w:start="10" w:end="10"/>
              <w:rPr>
                <w:sz w:val="18"/>
              </w:rPr>
            </w:pPr>
            <w:r>
              <w:rPr>
                <w:sz w:val="18"/>
              </w:rPr>
              <w:t>5,652</w:t>
            </w:r>
          </w:p>
        </w:tc>
        <w:tc>
          <w:tcPr>
            <w:tcW w:w="921" w:type="dxa"/>
            <w:tcBorders/>
          </w:tcPr>
          <w:p>
            <w:pPr>
              <w:pStyle w:val="Normal"/>
              <w:keepNext w:val="true"/>
              <w:tabs>
                <w:tab w:val="clear" w:pos="720"/>
                <w:tab w:val="decimal" w:pos="851" w:leader="none"/>
              </w:tabs>
              <w:ind w:start="10" w:end="10"/>
              <w:rPr>
                <w:sz w:val="18"/>
              </w:rPr>
            </w:pPr>
            <w:r>
              <w:rPr>
                <w:sz w:val="18"/>
              </w:rPr>
              <w:t>7,226</w:t>
            </w:r>
          </w:p>
        </w:tc>
        <w:tc>
          <w:tcPr>
            <w:tcW w:w="921" w:type="dxa"/>
            <w:tcBorders/>
          </w:tcPr>
          <w:p>
            <w:pPr>
              <w:pStyle w:val="Normal"/>
              <w:keepNext w:val="true"/>
              <w:tabs>
                <w:tab w:val="clear" w:pos="720"/>
                <w:tab w:val="decimal" w:pos="851" w:leader="none"/>
              </w:tabs>
              <w:ind w:start="10" w:end="10"/>
              <w:rPr>
                <w:sz w:val="18"/>
              </w:rPr>
            </w:pPr>
            <w:r>
              <w:rPr>
                <w:sz w:val="18"/>
              </w:rPr>
              <w:t>7,281</w:t>
            </w:r>
          </w:p>
        </w:tc>
      </w:tr>
      <w:tr>
        <w:trPr/>
        <w:tc>
          <w:tcPr>
            <w:tcW w:w="2790" w:type="dxa"/>
            <w:tcBorders/>
          </w:tcPr>
          <w:p>
            <w:pPr>
              <w:pStyle w:val="Normal"/>
              <w:keepNext w:val="true"/>
              <w:rPr>
                <w:sz w:val="18"/>
              </w:rPr>
            </w:pPr>
            <w:r>
              <w:rPr>
                <w:sz w:val="18"/>
              </w:rPr>
              <w:t>Total subsidies as % of total revenues</w:t>
            </w:r>
          </w:p>
        </w:tc>
        <w:tc>
          <w:tcPr>
            <w:tcW w:w="921" w:type="dxa"/>
            <w:tcBorders/>
          </w:tcPr>
          <w:p>
            <w:pPr>
              <w:pStyle w:val="Normal"/>
              <w:keepNext w:val="true"/>
              <w:tabs>
                <w:tab w:val="clear" w:pos="720"/>
                <w:tab w:val="decimal" w:pos="711" w:leader="none"/>
              </w:tabs>
              <w:ind w:start="10" w:end="10"/>
              <w:rPr>
                <w:sz w:val="18"/>
              </w:rPr>
            </w:pPr>
            <w:r>
              <w:rPr>
                <w:sz w:val="18"/>
              </w:rPr>
              <w:t>12.0</w:t>
            </w:r>
          </w:p>
        </w:tc>
        <w:tc>
          <w:tcPr>
            <w:tcW w:w="921" w:type="dxa"/>
            <w:tcBorders/>
          </w:tcPr>
          <w:p>
            <w:pPr>
              <w:pStyle w:val="Normal"/>
              <w:keepNext w:val="true"/>
              <w:tabs>
                <w:tab w:val="clear" w:pos="720"/>
                <w:tab w:val="decimal" w:pos="711" w:leader="none"/>
              </w:tabs>
              <w:ind w:start="10" w:end="10"/>
              <w:rPr>
                <w:sz w:val="18"/>
              </w:rPr>
            </w:pPr>
            <w:r>
              <w:rPr>
                <w:sz w:val="18"/>
              </w:rPr>
              <w:t>15.7</w:t>
            </w:r>
          </w:p>
        </w:tc>
        <w:tc>
          <w:tcPr>
            <w:tcW w:w="921" w:type="dxa"/>
            <w:tcBorders/>
          </w:tcPr>
          <w:p>
            <w:pPr>
              <w:pStyle w:val="Normal"/>
              <w:keepNext w:val="true"/>
              <w:tabs>
                <w:tab w:val="clear" w:pos="720"/>
                <w:tab w:val="decimal" w:pos="711" w:leader="none"/>
              </w:tabs>
              <w:ind w:start="10" w:end="10"/>
              <w:rPr>
                <w:sz w:val="18"/>
              </w:rPr>
            </w:pPr>
            <w:r>
              <w:rPr>
                <w:sz w:val="18"/>
              </w:rPr>
              <w:t>24.4</w:t>
            </w:r>
          </w:p>
        </w:tc>
        <w:tc>
          <w:tcPr>
            <w:tcW w:w="921" w:type="dxa"/>
            <w:tcBorders/>
          </w:tcPr>
          <w:p>
            <w:pPr>
              <w:pStyle w:val="Normal"/>
              <w:keepNext w:val="true"/>
              <w:tabs>
                <w:tab w:val="clear" w:pos="720"/>
                <w:tab w:val="decimal" w:pos="711" w:leader="none"/>
              </w:tabs>
              <w:ind w:start="10" w:end="10"/>
              <w:rPr>
                <w:sz w:val="18"/>
              </w:rPr>
            </w:pPr>
            <w:r>
              <w:rPr>
                <w:sz w:val="18"/>
              </w:rPr>
              <w:t>37.4</w:t>
            </w:r>
          </w:p>
        </w:tc>
        <w:tc>
          <w:tcPr>
            <w:tcW w:w="921" w:type="dxa"/>
            <w:tcBorders/>
          </w:tcPr>
          <w:p>
            <w:pPr>
              <w:pStyle w:val="Normal"/>
              <w:keepNext w:val="true"/>
              <w:tabs>
                <w:tab w:val="clear" w:pos="720"/>
                <w:tab w:val="decimal" w:pos="711" w:leader="none"/>
              </w:tabs>
              <w:ind w:start="10" w:end="10"/>
              <w:rPr>
                <w:sz w:val="18"/>
              </w:rPr>
            </w:pPr>
            <w:r>
              <w:rPr>
                <w:sz w:val="18"/>
              </w:rPr>
              <w:t>42.3</w:t>
            </w:r>
          </w:p>
        </w:tc>
        <w:tc>
          <w:tcPr>
            <w:tcW w:w="921" w:type="dxa"/>
            <w:tcBorders/>
          </w:tcPr>
          <w:p>
            <w:pPr>
              <w:pStyle w:val="Normal"/>
              <w:keepNext w:val="true"/>
              <w:tabs>
                <w:tab w:val="clear" w:pos="720"/>
                <w:tab w:val="decimal" w:pos="711" w:leader="none"/>
              </w:tabs>
              <w:ind w:start="10" w:end="10"/>
              <w:rPr>
                <w:sz w:val="18"/>
              </w:rPr>
            </w:pPr>
            <w:r>
              <w:rPr>
                <w:sz w:val="18"/>
              </w:rPr>
              <w:t>35.8</w:t>
            </w:r>
          </w:p>
        </w:tc>
        <w:tc>
          <w:tcPr>
            <w:tcW w:w="921" w:type="dxa"/>
            <w:tcBorders/>
          </w:tcPr>
          <w:p>
            <w:pPr>
              <w:pStyle w:val="Normal"/>
              <w:keepNext w:val="true"/>
              <w:tabs>
                <w:tab w:val="clear" w:pos="720"/>
                <w:tab w:val="decimal" w:pos="711" w:leader="none"/>
              </w:tabs>
              <w:ind w:start="10" w:end="10"/>
              <w:rPr>
                <w:sz w:val="18"/>
              </w:rPr>
            </w:pPr>
            <w:r>
              <w:rPr>
                <w:sz w:val="18"/>
              </w:rPr>
              <w:t>32.5</w:t>
            </w:r>
          </w:p>
        </w:tc>
      </w:tr>
      <w:tr>
        <w:trPr/>
        <w:tc>
          <w:tcPr>
            <w:tcW w:w="2790" w:type="dxa"/>
            <w:tcBorders/>
          </w:tcPr>
          <w:p>
            <w:pPr>
              <w:pStyle w:val="Normal"/>
              <w:keepNext w:val="true"/>
              <w:rPr>
                <w:sz w:val="18"/>
              </w:rPr>
            </w:pPr>
            <w:r>
              <w:rPr>
                <w:sz w:val="18"/>
              </w:rPr>
              <w:t>Total sales (GWh)</w:t>
            </w:r>
          </w:p>
        </w:tc>
        <w:tc>
          <w:tcPr>
            <w:tcW w:w="921" w:type="dxa"/>
            <w:tcBorders/>
          </w:tcPr>
          <w:p>
            <w:pPr>
              <w:pStyle w:val="Normal"/>
              <w:keepNext w:val="true"/>
              <w:tabs>
                <w:tab w:val="clear" w:pos="720"/>
                <w:tab w:val="decimal" w:pos="851" w:leader="none"/>
              </w:tabs>
              <w:ind w:start="10" w:end="10"/>
              <w:rPr>
                <w:sz w:val="18"/>
              </w:rPr>
            </w:pPr>
            <w:r>
              <w:rPr>
                <w:sz w:val="18"/>
              </w:rPr>
              <w:t>102,164</w:t>
            </w:r>
          </w:p>
        </w:tc>
        <w:tc>
          <w:tcPr>
            <w:tcW w:w="921" w:type="dxa"/>
            <w:tcBorders/>
          </w:tcPr>
          <w:p>
            <w:pPr>
              <w:pStyle w:val="Normal"/>
              <w:keepNext w:val="true"/>
              <w:tabs>
                <w:tab w:val="clear" w:pos="720"/>
                <w:tab w:val="decimal" w:pos="851" w:leader="none"/>
              </w:tabs>
              <w:ind w:start="10" w:end="10"/>
              <w:rPr>
                <w:sz w:val="18"/>
              </w:rPr>
            </w:pPr>
            <w:r>
              <w:rPr>
                <w:sz w:val="18"/>
              </w:rPr>
              <w:t>106,586</w:t>
            </w:r>
          </w:p>
        </w:tc>
        <w:tc>
          <w:tcPr>
            <w:tcW w:w="921" w:type="dxa"/>
            <w:tcBorders/>
          </w:tcPr>
          <w:p>
            <w:pPr>
              <w:pStyle w:val="Normal"/>
              <w:keepNext w:val="true"/>
              <w:tabs>
                <w:tab w:val="clear" w:pos="720"/>
                <w:tab w:val="decimal" w:pos="851" w:leader="none"/>
              </w:tabs>
              <w:ind w:start="10" w:end="10"/>
              <w:rPr>
                <w:sz w:val="18"/>
              </w:rPr>
            </w:pPr>
            <w:r>
              <w:rPr>
                <w:sz w:val="18"/>
              </w:rPr>
              <w:t>115,117</w:t>
            </w:r>
          </w:p>
        </w:tc>
        <w:tc>
          <w:tcPr>
            <w:tcW w:w="921" w:type="dxa"/>
            <w:tcBorders/>
          </w:tcPr>
          <w:p>
            <w:pPr>
              <w:pStyle w:val="Normal"/>
              <w:keepNext w:val="true"/>
              <w:tabs>
                <w:tab w:val="clear" w:pos="720"/>
                <w:tab w:val="decimal" w:pos="851" w:leader="none"/>
              </w:tabs>
              <w:ind w:start="10" w:end="10"/>
              <w:rPr>
                <w:sz w:val="18"/>
              </w:rPr>
            </w:pPr>
            <w:r>
              <w:rPr>
                <w:sz w:val="18"/>
              </w:rPr>
              <w:t>119,191</w:t>
            </w:r>
          </w:p>
        </w:tc>
        <w:tc>
          <w:tcPr>
            <w:tcW w:w="921" w:type="dxa"/>
            <w:tcBorders/>
          </w:tcPr>
          <w:p>
            <w:pPr>
              <w:pStyle w:val="Normal"/>
              <w:keepNext w:val="true"/>
              <w:tabs>
                <w:tab w:val="clear" w:pos="720"/>
                <w:tab w:val="decimal" w:pos="851" w:leader="none"/>
              </w:tabs>
              <w:ind w:start="10" w:end="10"/>
              <w:rPr>
                <w:sz w:val="18"/>
              </w:rPr>
            </w:pPr>
            <w:r>
              <w:rPr>
                <w:sz w:val="18"/>
              </w:rPr>
              <w:t>127,271</w:t>
            </w:r>
          </w:p>
        </w:tc>
        <w:tc>
          <w:tcPr>
            <w:tcW w:w="921" w:type="dxa"/>
            <w:tcBorders/>
          </w:tcPr>
          <w:p>
            <w:pPr>
              <w:pStyle w:val="Normal"/>
              <w:keepNext w:val="true"/>
              <w:tabs>
                <w:tab w:val="clear" w:pos="720"/>
                <w:tab w:val="decimal" w:pos="851" w:leader="none"/>
              </w:tabs>
              <w:ind w:start="10" w:end="10"/>
              <w:rPr>
                <w:sz w:val="18"/>
              </w:rPr>
            </w:pPr>
            <w:r>
              <w:rPr>
                <w:sz w:val="18"/>
              </w:rPr>
              <w:t>135,888</w:t>
            </w:r>
          </w:p>
        </w:tc>
        <w:tc>
          <w:tcPr>
            <w:tcW w:w="921" w:type="dxa"/>
            <w:tcBorders/>
          </w:tcPr>
          <w:p>
            <w:pPr>
              <w:pStyle w:val="Normal"/>
              <w:keepNext w:val="true"/>
              <w:tabs>
                <w:tab w:val="clear" w:pos="720"/>
                <w:tab w:val="decimal" w:pos="851" w:leader="none"/>
              </w:tabs>
              <w:ind w:start="10" w:end="10"/>
              <w:rPr>
                <w:sz w:val="18"/>
              </w:rPr>
            </w:pPr>
            <w:r>
              <w:rPr>
                <w:sz w:val="18"/>
              </w:rPr>
              <w:t>143,307</w:t>
            </w:r>
          </w:p>
        </w:tc>
      </w:tr>
      <w:tr>
        <w:trPr/>
        <w:tc>
          <w:tcPr>
            <w:tcW w:w="2790" w:type="dxa"/>
            <w:tcBorders>
              <w:bottom w:val="single" w:sz="4" w:space="0" w:color="000000"/>
            </w:tcBorders>
          </w:tcPr>
          <w:p>
            <w:pPr>
              <w:pStyle w:val="Normal"/>
              <w:keepNext w:val="true"/>
              <w:rPr>
                <w:sz w:val="18"/>
              </w:rPr>
            </w:pPr>
            <w:r>
              <w:rPr>
                <w:sz w:val="18"/>
              </w:rPr>
              <w:t>Total subsidies per kWh (cents)</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0.69</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0.94</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1.47</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1.45</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1.88</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1.91</w:t>
            </w:r>
          </w:p>
        </w:tc>
        <w:tc>
          <w:tcPr>
            <w:tcW w:w="921" w:type="dxa"/>
            <w:tcBorders>
              <w:bottom w:val="single" w:sz="4" w:space="0" w:color="000000"/>
            </w:tcBorders>
          </w:tcPr>
          <w:p>
            <w:pPr>
              <w:pStyle w:val="Normal"/>
              <w:keepNext w:val="true"/>
              <w:tabs>
                <w:tab w:val="clear" w:pos="720"/>
                <w:tab w:val="decimal" w:pos="631" w:leader="none"/>
              </w:tabs>
              <w:ind w:start="10" w:end="10"/>
              <w:rPr>
                <w:sz w:val="18"/>
              </w:rPr>
            </w:pPr>
            <w:r>
              <w:rPr>
                <w:sz w:val="18"/>
              </w:rPr>
              <w:t>1.65</w:t>
            </w:r>
          </w:p>
        </w:tc>
      </w:tr>
    </w:tbl>
    <w:p>
      <w:pPr>
        <w:pStyle w:val="Spacerhalf"/>
        <w:keepNext w:val="true"/>
        <w:rPr/>
      </w:pPr>
      <w:r>
        <w:rPr/>
      </w:r>
    </w:p>
    <w:p>
      <w:pPr>
        <w:pStyle w:val="TableFootnote"/>
        <w:keepNext w:val="true"/>
        <w:rPr/>
      </w:pPr>
      <w:r>
        <w:rPr/>
        <w:t>(a)</w:t>
        <w:tab/>
        <w:t xml:space="preserve">Average exchange rates for the relevant years. </w:t>
      </w:r>
    </w:p>
    <w:p>
      <w:pPr>
        <w:pStyle w:val="TableFootnote"/>
        <w:keepNext w:val="true"/>
        <w:rPr/>
      </w:pPr>
      <w:r>
        <w:rPr/>
        <w:t>(b)</w:t>
        <w:tab/>
        <w:t>Consists exclusively of non-cash credits for financial reporting purposes for every year except 1995, in which the Mexican Government provided a cash payment of Ps4.6 billion (US$712 million) and a non-cash credit of Ps6.5 billion (US$984 million).</w:t>
      </w:r>
    </w:p>
    <w:p>
      <w:pPr>
        <w:pStyle w:val="Source"/>
        <w:rPr/>
      </w:pPr>
      <w:r>
        <w:rPr/>
        <w:t>Source:  CFE, October 1999</w:t>
      </w:r>
    </w:p>
    <w:p>
      <w:pPr>
        <w:pStyle w:val="Spacerhalf"/>
        <w:rPr/>
      </w:pPr>
      <w:r>
        <w:rPr/>
      </w:r>
    </w:p>
    <w:p>
      <w:pPr>
        <w:sectPr>
          <w:headerReference w:type="default" r:id="rId64"/>
          <w:headerReference w:type="first" r:id="rId65"/>
          <w:footerReference w:type="default" r:id="rId66"/>
          <w:footerReference w:type="first" r:id="rId67"/>
          <w:type w:val="nextPage"/>
          <w:pgSz w:w="12240" w:h="15840"/>
          <w:pgMar w:left="1584" w:right="1296" w:gutter="0" w:header="288" w:top="1440" w:footer="504" w:bottom="1440"/>
          <w:pgNumType w:fmt="decimal"/>
          <w:formProt w:val="false"/>
          <w:titlePg/>
          <w:textDirection w:val="lrTb"/>
          <w:docGrid w:type="default" w:linePitch="360" w:charSpace="0"/>
        </w:sectPr>
        <w:pStyle w:val="WW-Text"/>
        <w:rPr/>
      </w:pPr>
      <w:r>
        <w:rPr/>
      </w:r>
    </w:p>
    <w:p>
      <w:pPr>
        <w:pStyle w:val="TabPage"/>
        <w:rPr/>
      </w:pPr>
      <w:r>
        <w:rPr/>
        <w:t>OVERVIEW OF THE UNITED MEXICAN STATES</w:t>
      </w:r>
      <w:r>
        <w:br w:type="page"/>
      </w:r>
    </w:p>
    <w:p>
      <w:pPr>
        <w:pStyle w:val="Textbold"/>
        <w:rPr/>
      </w:pPr>
      <w:r>
        <w:rPr/>
        <w:t>1.</w:t>
        <w:tab/>
        <w:t>The United Mexican States</w:t>
      </w:r>
    </w:p>
    <w:p>
      <w:pPr>
        <w:pStyle w:val="WW-Text"/>
        <w:rPr/>
      </w:pPr>
      <w:r>
        <w:rPr/>
        <w:t>Mexico, a nation consisting of 31 states and a Federal District (including Mexico City), is the thirteenth largest country in the world and the fifth largest nation in the Americas, with an area of approximately 800,000 square miles.  To the north, Mexico shares a 1,931-mile border with the United States of America and, to the south, it has borders with Guatemala and Belize.  Its coastline extends over 6,300 miles along both the Gulf of Mexico and the Pacific Ocean.  The capital of Mexico is Mexico City, and the official language is Spanish.</w:t>
      </w:r>
    </w:p>
    <w:p>
      <w:pPr>
        <w:pStyle w:val="WW-Text"/>
        <w:rPr/>
      </w:pPr>
      <w:r>
        <w:rPr/>
        <w:t>Mexico is the second most populous nation in Latin America, with approximately 97 million people according to the World Bank, growing at an annual rate of 1.7%.  Approximately 71% of Mexico’s population is located in urban areas.  Mexico’s three largest cities are Mexico City, Guadalajara and Monterrey, with estimated populations in 1990’s census of 15.0 million, 2.8 million and 2.5 million, respectively.</w:t>
      </w:r>
    </w:p>
    <w:p>
      <w:pPr>
        <w:pStyle w:val="Textboldital"/>
        <w:rPr/>
      </w:pPr>
      <w:r>
        <w:rPr/>
        <w:t>Economic overview</w:t>
      </w:r>
    </w:p>
    <w:p>
      <w:pPr>
        <w:pStyle w:val="WW-Text"/>
        <w:rPr/>
      </w:pPr>
      <w:r>
        <w:rPr/>
        <w:t>The World Bank classifies Mexico among the upper-middle income economies.  The Gross National Product per capita stood at US$4,800 in 1999.</w:t>
      </w:r>
    </w:p>
    <w:p>
      <w:pPr>
        <w:pStyle w:val="WW-Text"/>
        <w:rPr/>
      </w:pPr>
      <w:r>
        <w:rPr/>
        <w:t>Over the past two years, Mexico has withstood the contagion effects from the emerging markets financial crisis, which can be attributed to its floating exchange rate adopted in December 1994, the increased strength of its economy and the efficiency of its policy response to external shocks.  Nevertheless, tight fiscal and monetary policies, coupled with the retreat of foreign capital, had an adverse impact on growth, in 1999 when the economy grew at 3.7%, from 4.8% in 1998 and 6.8% in 1997.  Despite the sharp drop in oil revenues in 1998 (which represent more than 30% of total Government revenues), the 1998 budget deficit was maintained below 1.5% of GDP, which has been key for preserving financial market confidence.</w:t>
      </w:r>
    </w:p>
    <w:p>
      <w:pPr>
        <w:pStyle w:val="WW-Text"/>
        <w:rPr/>
      </w:pPr>
      <w:r>
        <w:rPr/>
        <w:t>During the first half of 2000, however, Mexico has experienced a dramatic improvement in its economy with a GDP growth of 7.9% and 7.6% in the first and second quarter, respectively. The overall economy is expected to grow by approximately 6.6% in 2000.</w:t>
      </w:r>
    </w:p>
    <w:p>
      <w:pPr>
        <w:pStyle w:val="WW-Text"/>
        <w:rPr/>
      </w:pPr>
      <w:r>
        <w:rPr/>
        <w:t>Mexico’s Central Banks has been successful in containing the inflationary pressures. The increase in consumer prices month on month in July on this year, at 0.4%, was its lowest point that month in 18 years. Accordingly, the annualized inflation rate dropped from 9.4% to 9.1%. The Mexico’s Central Bank expectation on inflation by the end of the year is between 8% and 9%.</w:t>
      </w:r>
    </w:p>
    <w:p>
      <w:pPr>
        <w:pStyle w:val="Textbold"/>
        <w:rPr/>
      </w:pPr>
      <w:r>
        <w:rPr/>
        <w:t>Summary of Key Statistics</w:t>
      </w:r>
    </w:p>
    <w:p>
      <w:pPr>
        <w:pStyle w:val="Spacer"/>
        <w:rPr>
          <w:rFonts w:ascii="Times New Roman" w:hAnsi="Times New Roman" w:cs="Times New Roman"/>
        </w:rPr>
      </w:pPr>
      <w:r>
        <w:rPr>
          <w:rFonts w:cs="Times New Roman" w:ascii="Times New Roman" w:hAnsi="Times New Roman"/>
        </w:rPr>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shd w:fill="0000FF" w:val="clear"/>
          </w:tcPr>
          <w:p>
            <w:pPr>
              <w:pStyle w:val="Texthead"/>
              <w:keepNext w:val="true"/>
              <w:spacing w:before="120" w:after="60"/>
              <w:rPr>
                <w:sz w:val="22"/>
              </w:rPr>
            </w:pPr>
            <w:r>
              <w:rPr>
                <w:sz w:val="22"/>
              </w:rPr>
              <w:t>Mexico</w:t>
            </w:r>
          </w:p>
        </w:tc>
      </w:tr>
    </w:tbl>
    <w:p>
      <w:pPr>
        <w:pStyle w:val="Hidden"/>
        <w:rPr>
          <w:rFonts w:ascii="Times New Roman" w:hAnsi="Times New Roman" w:cs="Times New Roman"/>
          <w:sz w:val="20"/>
        </w:rPr>
      </w:pPr>
      <w:r>
        <w:rPr>
          <w:rFonts w:cs="Times New Roman" w:ascii="Times New Roman" w:hAnsi="Times New Roman"/>
          <w:sz w:val="20"/>
        </w:rPr>
      </w:r>
    </w:p>
    <w:tbl>
      <w:tblPr>
        <w:tblW w:w="9360" w:type="dxa"/>
        <w:jc w:val="start"/>
        <w:tblInd w:w="0" w:type="dxa"/>
        <w:tblLayout w:type="fixed"/>
        <w:tblCellMar>
          <w:top w:w="0" w:type="dxa"/>
          <w:start w:w="0" w:type="dxa"/>
          <w:bottom w:w="0" w:type="dxa"/>
          <w:end w:w="0" w:type="dxa"/>
        </w:tblCellMar>
      </w:tblPr>
      <w:tblGrid>
        <w:gridCol w:w="3780"/>
        <w:gridCol w:w="1116"/>
        <w:gridCol w:w="1116"/>
        <w:gridCol w:w="1116"/>
        <w:gridCol w:w="1116"/>
        <w:gridCol w:w="1116"/>
      </w:tblGrid>
      <w:tr>
        <w:trPr/>
        <w:tc>
          <w:tcPr>
            <w:tcW w:w="3780" w:type="dxa"/>
            <w:tcBorders>
              <w:bottom w:val="single" w:sz="6" w:space="0" w:color="000000"/>
            </w:tcBorders>
          </w:tcPr>
          <w:p>
            <w:pPr>
              <w:pStyle w:val="Normal"/>
              <w:keepNext w:val="true"/>
              <w:snapToGrid w:val="false"/>
              <w:spacing w:before="60" w:after="60"/>
              <w:rPr>
                <w:b/>
                <w:sz w:val="18"/>
              </w:rPr>
            </w:pPr>
            <w:r>
              <w:rPr>
                <w:b/>
                <w:sz w:val="18"/>
              </w:rPr>
            </w:r>
          </w:p>
        </w:tc>
        <w:tc>
          <w:tcPr>
            <w:tcW w:w="1116" w:type="dxa"/>
            <w:tcBorders>
              <w:bottom w:val="single" w:sz="6" w:space="0" w:color="000000"/>
            </w:tcBorders>
          </w:tcPr>
          <w:p>
            <w:pPr>
              <w:pStyle w:val="Normal"/>
              <w:keepNext w:val="true"/>
              <w:spacing w:before="60" w:after="60"/>
              <w:jc w:val="center"/>
              <w:rPr>
                <w:b/>
                <w:sz w:val="18"/>
              </w:rPr>
            </w:pPr>
            <w:r>
              <w:rPr>
                <w:b/>
                <w:sz w:val="18"/>
              </w:rPr>
              <w:t>1996</w:t>
            </w:r>
          </w:p>
        </w:tc>
        <w:tc>
          <w:tcPr>
            <w:tcW w:w="1116" w:type="dxa"/>
            <w:tcBorders>
              <w:bottom w:val="single" w:sz="6" w:space="0" w:color="000000"/>
            </w:tcBorders>
          </w:tcPr>
          <w:p>
            <w:pPr>
              <w:pStyle w:val="Normal"/>
              <w:keepNext w:val="true"/>
              <w:spacing w:before="60" w:after="60"/>
              <w:jc w:val="center"/>
              <w:rPr>
                <w:b/>
                <w:sz w:val="18"/>
              </w:rPr>
            </w:pPr>
            <w:r>
              <w:rPr>
                <w:b/>
                <w:sz w:val="18"/>
              </w:rPr>
              <w:t>1997</w:t>
            </w:r>
          </w:p>
        </w:tc>
        <w:tc>
          <w:tcPr>
            <w:tcW w:w="1116" w:type="dxa"/>
            <w:tcBorders>
              <w:bottom w:val="single" w:sz="6" w:space="0" w:color="000000"/>
            </w:tcBorders>
          </w:tcPr>
          <w:p>
            <w:pPr>
              <w:pStyle w:val="Normal"/>
              <w:keepNext w:val="true"/>
              <w:spacing w:before="60" w:after="60"/>
              <w:jc w:val="center"/>
              <w:rPr>
                <w:b/>
                <w:sz w:val="18"/>
              </w:rPr>
            </w:pPr>
            <w:r>
              <w:rPr>
                <w:b/>
                <w:sz w:val="18"/>
              </w:rPr>
              <w:t>1998</w:t>
            </w:r>
          </w:p>
        </w:tc>
        <w:tc>
          <w:tcPr>
            <w:tcW w:w="1116" w:type="dxa"/>
            <w:tcBorders>
              <w:bottom w:val="single" w:sz="6" w:space="0" w:color="000000"/>
            </w:tcBorders>
          </w:tcPr>
          <w:p>
            <w:pPr>
              <w:pStyle w:val="Normal"/>
              <w:keepNext w:val="true"/>
              <w:spacing w:before="60" w:after="60"/>
              <w:jc w:val="center"/>
              <w:rPr>
                <w:b/>
                <w:sz w:val="18"/>
              </w:rPr>
            </w:pPr>
            <w:r>
              <w:rPr>
                <w:b/>
                <w:sz w:val="18"/>
              </w:rPr>
              <w:t>1999</w:t>
            </w:r>
          </w:p>
        </w:tc>
        <w:tc>
          <w:tcPr>
            <w:tcW w:w="1116" w:type="dxa"/>
            <w:tcBorders>
              <w:bottom w:val="single" w:sz="6" w:space="0" w:color="000000"/>
            </w:tcBorders>
          </w:tcPr>
          <w:p>
            <w:pPr>
              <w:pStyle w:val="Normal"/>
              <w:keepNext w:val="true"/>
              <w:spacing w:before="60" w:after="60"/>
              <w:jc w:val="center"/>
              <w:rPr>
                <w:b/>
                <w:sz w:val="18"/>
              </w:rPr>
            </w:pPr>
            <w:r>
              <w:rPr>
                <w:b/>
                <w:sz w:val="18"/>
              </w:rPr>
              <w:t>2000F</w:t>
            </w:r>
          </w:p>
        </w:tc>
      </w:tr>
      <w:tr>
        <w:trPr/>
        <w:tc>
          <w:tcPr>
            <w:tcW w:w="3780" w:type="dxa"/>
            <w:tcBorders/>
          </w:tcPr>
          <w:p>
            <w:pPr>
              <w:pStyle w:val="Normal"/>
              <w:keepNext w:val="true"/>
              <w:spacing w:before="60" w:after="0"/>
              <w:rPr>
                <w:sz w:val="20"/>
              </w:rPr>
            </w:pPr>
            <w:r>
              <w:rPr>
                <w:sz w:val="20"/>
              </w:rPr>
              <w:t>GDP in billions of U.S. Dollars</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332.3</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401.5</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421.1</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483.5</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530.0</w:t>
            </w:r>
          </w:p>
        </w:tc>
      </w:tr>
      <w:tr>
        <w:trPr/>
        <w:tc>
          <w:tcPr>
            <w:tcW w:w="3780" w:type="dxa"/>
            <w:tcBorders/>
          </w:tcPr>
          <w:p>
            <w:pPr>
              <w:pStyle w:val="Normal"/>
              <w:keepNext w:val="true"/>
              <w:spacing w:before="60" w:after="0"/>
              <w:rPr>
                <w:sz w:val="20"/>
              </w:rPr>
            </w:pPr>
            <w:r>
              <w:rPr>
                <w:sz w:val="20"/>
              </w:rPr>
              <w:t>Real GDP (% Change)</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5.2</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6.8</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4.8</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3.7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4.8</w:t>
            </w:r>
          </w:p>
        </w:tc>
      </w:tr>
      <w:tr>
        <w:trPr/>
        <w:tc>
          <w:tcPr>
            <w:tcW w:w="3780" w:type="dxa"/>
            <w:tcBorders/>
          </w:tcPr>
          <w:p>
            <w:pPr>
              <w:pStyle w:val="Normal"/>
              <w:keepNext w:val="true"/>
              <w:spacing w:before="60" w:after="0"/>
              <w:rPr>
                <w:sz w:val="20"/>
              </w:rPr>
            </w:pPr>
            <w:r>
              <w:rPr>
                <w:sz w:val="20"/>
              </w:rPr>
              <w:t>CPI (% change, eop.)</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27.7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15.7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18.6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12.3</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9.8</w:t>
            </w:r>
          </w:p>
        </w:tc>
      </w:tr>
      <w:tr>
        <w:trPr/>
        <w:tc>
          <w:tcPr>
            <w:tcW w:w="3780" w:type="dxa"/>
            <w:tcBorders/>
          </w:tcPr>
          <w:p>
            <w:pPr>
              <w:pStyle w:val="Normal"/>
              <w:keepNext w:val="true"/>
              <w:spacing w:before="60" w:after="0"/>
              <w:rPr>
                <w:sz w:val="20"/>
              </w:rPr>
            </w:pPr>
            <w:r>
              <w:rPr>
                <w:sz w:val="20"/>
              </w:rPr>
              <w:t>Unemployment Rate (% Rate, eop)</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4.1</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2.8</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2.6</w:t>
            </w:r>
          </w:p>
        </w:tc>
        <w:tc>
          <w:tcPr>
            <w:tcW w:w="1116" w:type="dxa"/>
            <w:tcBorders/>
          </w:tcPr>
          <w:p>
            <w:pPr>
              <w:pStyle w:val="Normal"/>
              <w:keepNext w:val="true"/>
              <w:tabs>
                <w:tab w:val="clear" w:pos="720"/>
                <w:tab w:val="decimal" w:pos="798" w:leader="none"/>
              </w:tabs>
              <w:spacing w:before="60" w:after="0"/>
              <w:ind w:start="228" w:end="228"/>
              <w:rPr>
                <w:sz w:val="20"/>
              </w:rPr>
            </w:pPr>
            <w:r>
              <w:rPr>
                <w:sz w:val="20"/>
              </w:rPr>
              <w:t>2</w:t>
            </w:r>
          </w:p>
        </w:tc>
        <w:tc>
          <w:tcPr>
            <w:tcW w:w="1116" w:type="dxa"/>
            <w:tcBorders/>
          </w:tcPr>
          <w:p>
            <w:pPr>
              <w:pStyle w:val="Normal"/>
              <w:keepNext w:val="true"/>
              <w:tabs>
                <w:tab w:val="clear" w:pos="720"/>
                <w:tab w:val="decimal" w:pos="798" w:leader="none"/>
              </w:tabs>
              <w:spacing w:before="60" w:after="0"/>
              <w:ind w:start="228" w:end="228"/>
              <w:rPr>
                <w:sz w:val="20"/>
              </w:rPr>
            </w:pPr>
            <w:r>
              <w:rPr>
                <w:sz w:val="20"/>
              </w:rPr>
              <w:t>—</w:t>
            </w:r>
          </w:p>
        </w:tc>
      </w:tr>
      <w:tr>
        <w:trPr/>
        <w:tc>
          <w:tcPr>
            <w:tcW w:w="3780" w:type="dxa"/>
            <w:tcBorders/>
          </w:tcPr>
          <w:p>
            <w:pPr>
              <w:pStyle w:val="Normal"/>
              <w:keepNext w:val="true"/>
              <w:spacing w:before="60" w:after="0"/>
              <w:rPr>
                <w:sz w:val="20"/>
              </w:rPr>
            </w:pPr>
            <w:r>
              <w:rPr>
                <w:sz w:val="20"/>
              </w:rPr>
              <w:t>Interest Rate 28-day Cetes</w:t>
            </w:r>
          </w:p>
        </w:tc>
        <w:tc>
          <w:tcPr>
            <w:tcW w:w="1116" w:type="dxa"/>
            <w:tcBorders/>
          </w:tcPr>
          <w:p>
            <w:pPr>
              <w:pStyle w:val="Normal"/>
              <w:keepNext w:val="true"/>
              <w:tabs>
                <w:tab w:val="clear" w:pos="720"/>
                <w:tab w:val="decimal" w:pos="538" w:leader="none"/>
              </w:tabs>
              <w:spacing w:before="60" w:after="0"/>
              <w:ind w:start="228" w:end="228"/>
              <w:rPr>
                <w:sz w:val="20"/>
              </w:rPr>
            </w:pPr>
            <w:r>
              <w:rPr>
                <w:sz w:val="20"/>
              </w:rPr>
              <w:t>31.39</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19.8</w:t>
            </w:r>
          </w:p>
        </w:tc>
        <w:tc>
          <w:tcPr>
            <w:tcW w:w="1116" w:type="dxa"/>
            <w:tcBorders/>
          </w:tcPr>
          <w:p>
            <w:pPr>
              <w:pStyle w:val="Normal"/>
              <w:keepNext w:val="true"/>
              <w:tabs>
                <w:tab w:val="clear" w:pos="720"/>
                <w:tab w:val="decimal" w:pos="538" w:leader="none"/>
              </w:tabs>
              <w:spacing w:before="60" w:after="0"/>
              <w:ind w:start="228" w:end="228"/>
              <w:rPr>
                <w:sz w:val="20"/>
              </w:rPr>
            </w:pPr>
            <w:r>
              <w:rPr>
                <w:sz w:val="20"/>
              </w:rPr>
              <w:t>24.76</w:t>
            </w:r>
          </w:p>
        </w:tc>
        <w:tc>
          <w:tcPr>
            <w:tcW w:w="1116" w:type="dxa"/>
            <w:tcBorders/>
          </w:tcPr>
          <w:p>
            <w:pPr>
              <w:pStyle w:val="Normal"/>
              <w:keepNext w:val="true"/>
              <w:tabs>
                <w:tab w:val="clear" w:pos="720"/>
                <w:tab w:val="decimal" w:pos="538" w:leader="none"/>
              </w:tabs>
              <w:spacing w:before="60" w:after="0"/>
              <w:ind w:start="228" w:end="228"/>
              <w:rPr>
                <w:sz w:val="20"/>
              </w:rPr>
            </w:pPr>
            <w:r>
              <w:rPr>
                <w:sz w:val="20"/>
              </w:rPr>
              <w:t>21.41</w:t>
            </w:r>
          </w:p>
        </w:tc>
        <w:tc>
          <w:tcPr>
            <w:tcW w:w="1116" w:type="dxa"/>
            <w:tcBorders/>
          </w:tcPr>
          <w:p>
            <w:pPr>
              <w:pStyle w:val="Normal"/>
              <w:keepNext w:val="true"/>
              <w:tabs>
                <w:tab w:val="clear" w:pos="720"/>
                <w:tab w:val="decimal" w:pos="798" w:leader="none"/>
              </w:tabs>
              <w:spacing w:before="60" w:after="0"/>
              <w:ind w:start="228" w:end="228"/>
              <w:rPr>
                <w:sz w:val="20"/>
              </w:rPr>
            </w:pPr>
            <w:r>
              <w:rPr>
                <w:sz w:val="20"/>
              </w:rPr>
              <w:t>—</w:t>
            </w:r>
          </w:p>
        </w:tc>
      </w:tr>
      <w:tr>
        <w:trPr/>
        <w:tc>
          <w:tcPr>
            <w:tcW w:w="3780" w:type="dxa"/>
            <w:tcBorders/>
          </w:tcPr>
          <w:p>
            <w:pPr>
              <w:pStyle w:val="Normal"/>
              <w:keepNext w:val="true"/>
              <w:spacing w:before="60" w:after="0"/>
              <w:rPr>
                <w:sz w:val="20"/>
              </w:rPr>
            </w:pPr>
            <w:r>
              <w:rPr>
                <w:sz w:val="20"/>
              </w:rPr>
              <w:t>Exchange rate (eop)</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7.9</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8.1</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9.9</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9.5</w:t>
            </w:r>
          </w:p>
        </w:tc>
        <w:tc>
          <w:tcPr>
            <w:tcW w:w="1116" w:type="dxa"/>
            <w:tcBorders/>
          </w:tcPr>
          <w:p>
            <w:pPr>
              <w:pStyle w:val="Normal"/>
              <w:keepNext w:val="true"/>
              <w:tabs>
                <w:tab w:val="clear" w:pos="720"/>
                <w:tab w:val="decimal" w:pos="798" w:leader="none"/>
              </w:tabs>
              <w:spacing w:before="60" w:after="0"/>
              <w:ind w:start="228" w:end="228"/>
              <w:rPr>
                <w:sz w:val="20"/>
              </w:rPr>
            </w:pPr>
            <w:r>
              <w:rPr>
                <w:sz w:val="20"/>
              </w:rPr>
              <w:t>—</w:t>
            </w:r>
          </w:p>
        </w:tc>
      </w:tr>
      <w:tr>
        <w:trPr/>
        <w:tc>
          <w:tcPr>
            <w:tcW w:w="3780" w:type="dxa"/>
            <w:tcBorders/>
          </w:tcPr>
          <w:p>
            <w:pPr>
              <w:pStyle w:val="Normal"/>
              <w:keepNext w:val="true"/>
              <w:tabs>
                <w:tab w:val="clear" w:pos="720"/>
                <w:tab w:val="decimal" w:pos="926" w:leader="none"/>
              </w:tabs>
              <w:spacing w:before="60" w:after="0"/>
              <w:ind w:end="173"/>
              <w:rPr>
                <w:b/>
                <w:sz w:val="18"/>
              </w:rPr>
            </w:pPr>
            <w:r>
              <w:rPr>
                <w:b/>
                <w:sz w:val="18"/>
              </w:rPr>
              <w:t>Central Government Operations (% of GDP)</w:t>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r>
      <w:tr>
        <w:trPr/>
        <w:tc>
          <w:tcPr>
            <w:tcW w:w="3780" w:type="dxa"/>
            <w:tcBorders/>
          </w:tcPr>
          <w:p>
            <w:pPr>
              <w:pStyle w:val="Normal"/>
              <w:keepNext w:val="true"/>
              <w:spacing w:before="60" w:after="0"/>
              <w:rPr>
                <w:sz w:val="20"/>
              </w:rPr>
            </w:pPr>
            <w:r>
              <w:rPr>
                <w:sz w:val="20"/>
              </w:rPr>
              <w:t>Total Revenues</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22.9</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23.1</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20.4</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20.7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22.0</w:t>
            </w:r>
          </w:p>
        </w:tc>
      </w:tr>
      <w:tr>
        <w:trPr/>
        <w:tc>
          <w:tcPr>
            <w:tcW w:w="3780" w:type="dxa"/>
            <w:tcBorders/>
          </w:tcPr>
          <w:p>
            <w:pPr>
              <w:pStyle w:val="Normal"/>
              <w:keepNext w:val="true"/>
              <w:spacing w:before="60" w:after="0"/>
              <w:rPr>
                <w:sz w:val="20"/>
              </w:rPr>
            </w:pPr>
            <w:r>
              <w:rPr>
                <w:sz w:val="20"/>
              </w:rPr>
              <w:t>o/w oil</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8.8</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8.4</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6.6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6.7</w:t>
            </w:r>
          </w:p>
        </w:tc>
        <w:tc>
          <w:tcPr>
            <w:tcW w:w="1116" w:type="dxa"/>
            <w:tcBorders/>
          </w:tcPr>
          <w:p>
            <w:pPr>
              <w:pStyle w:val="Normal"/>
              <w:keepNext w:val="true"/>
              <w:tabs>
                <w:tab w:val="clear" w:pos="720"/>
                <w:tab w:val="decimal" w:pos="798" w:leader="none"/>
              </w:tabs>
              <w:spacing w:before="60" w:after="0"/>
              <w:ind w:start="228" w:end="228"/>
              <w:rPr>
                <w:sz w:val="20"/>
              </w:rPr>
            </w:pPr>
            <w:r>
              <w:rPr>
                <w:sz w:val="20"/>
              </w:rPr>
              <w:t>—</w:t>
            </w:r>
          </w:p>
        </w:tc>
      </w:tr>
      <w:tr>
        <w:trPr/>
        <w:tc>
          <w:tcPr>
            <w:tcW w:w="3780" w:type="dxa"/>
            <w:tcBorders/>
          </w:tcPr>
          <w:p>
            <w:pPr>
              <w:pStyle w:val="Normal"/>
              <w:keepNext w:val="true"/>
              <w:spacing w:before="60" w:after="0"/>
              <w:rPr>
                <w:sz w:val="20"/>
              </w:rPr>
            </w:pPr>
            <w:r>
              <w:rPr>
                <w:sz w:val="20"/>
              </w:rPr>
              <w:t>Expenditures</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23.1</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23.7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21.6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21.8</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23.0</w:t>
            </w:r>
          </w:p>
        </w:tc>
      </w:tr>
      <w:tr>
        <w:trPr/>
        <w:tc>
          <w:tcPr>
            <w:tcW w:w="3780" w:type="dxa"/>
            <w:tcBorders/>
          </w:tcPr>
          <w:p>
            <w:pPr>
              <w:pStyle w:val="Normal"/>
              <w:keepNext w:val="true"/>
              <w:spacing w:before="60" w:after="0"/>
              <w:rPr>
                <w:sz w:val="20"/>
              </w:rPr>
            </w:pPr>
            <w:r>
              <w:rPr>
                <w:sz w:val="20"/>
              </w:rPr>
              <w:t>Primary Balance</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4.3</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3.3</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2.5</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3.0</w:t>
            </w:r>
          </w:p>
        </w:tc>
      </w:tr>
      <w:tr>
        <w:trPr/>
        <w:tc>
          <w:tcPr>
            <w:tcW w:w="3780" w:type="dxa"/>
            <w:tcBorders/>
          </w:tcPr>
          <w:p>
            <w:pPr>
              <w:pStyle w:val="Normal"/>
              <w:keepNext w:val="true"/>
              <w:spacing w:before="60" w:after="0"/>
              <w:rPr>
                <w:sz w:val="20"/>
              </w:rPr>
            </w:pPr>
            <w:r>
              <w:rPr>
                <w:sz w:val="20"/>
              </w:rPr>
              <w:t>Overall Balance</w:t>
            </w:r>
          </w:p>
        </w:tc>
        <w:tc>
          <w:tcPr>
            <w:tcW w:w="1116" w:type="dxa"/>
            <w:tcBorders/>
          </w:tcPr>
          <w:p>
            <w:pPr>
              <w:pStyle w:val="Normal"/>
              <w:keepNext w:val="true"/>
              <w:tabs>
                <w:tab w:val="clear" w:pos="720"/>
                <w:tab w:val="decimal" w:pos="798" w:leader="none"/>
              </w:tabs>
              <w:spacing w:before="60" w:after="0"/>
              <w:ind w:start="228" w:end="228"/>
              <w:rPr>
                <w:sz w:val="20"/>
              </w:rPr>
            </w:pPr>
            <w:r>
              <w:rPr>
                <w:sz w:val="20"/>
              </w:rPr>
              <w:t>0</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(0.7)</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(1.2)</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(1.1)</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(0.7)</w:t>
            </w:r>
          </w:p>
        </w:tc>
      </w:tr>
      <w:tr>
        <w:trPr/>
        <w:tc>
          <w:tcPr>
            <w:tcW w:w="3780" w:type="dxa"/>
            <w:tcBorders/>
          </w:tcPr>
          <w:p>
            <w:pPr>
              <w:pStyle w:val="Normal"/>
              <w:keepNext w:val="true"/>
              <w:spacing w:before="60" w:after="0"/>
              <w:rPr>
                <w:b/>
                <w:sz w:val="18"/>
              </w:rPr>
            </w:pPr>
            <w:r>
              <w:rPr>
                <w:b/>
                <w:sz w:val="18"/>
              </w:rPr>
              <w:t>Total Public Sector Debt (as % of GDP)</w:t>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r>
      <w:tr>
        <w:trPr/>
        <w:tc>
          <w:tcPr>
            <w:tcW w:w="3780" w:type="dxa"/>
            <w:tcBorders/>
          </w:tcPr>
          <w:p>
            <w:pPr>
              <w:pStyle w:val="Normal"/>
              <w:keepNext w:val="true"/>
              <w:spacing w:before="60" w:after="0"/>
              <w:rPr>
                <w:sz w:val="20"/>
              </w:rPr>
            </w:pPr>
            <w:r>
              <w:rPr>
                <w:sz w:val="20"/>
              </w:rPr>
              <w:t>Total</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49.5</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50.3</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53.5</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46.6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42.2</w:t>
            </w:r>
          </w:p>
        </w:tc>
      </w:tr>
      <w:tr>
        <w:trPr/>
        <w:tc>
          <w:tcPr>
            <w:tcW w:w="3780" w:type="dxa"/>
            <w:tcBorders/>
          </w:tcPr>
          <w:p>
            <w:pPr>
              <w:pStyle w:val="Normal"/>
              <w:keepNext w:val="true"/>
              <w:spacing w:before="60" w:after="0"/>
              <w:rPr>
                <w:sz w:val="20"/>
              </w:rPr>
            </w:pPr>
            <w:r>
              <w:rPr>
                <w:sz w:val="20"/>
              </w:rPr>
              <w:t>Local currency</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7.6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8.6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9.8</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11.0</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9.6</w:t>
            </w:r>
          </w:p>
        </w:tc>
      </w:tr>
      <w:tr>
        <w:trPr/>
        <w:tc>
          <w:tcPr>
            <w:tcW w:w="3780" w:type="dxa"/>
            <w:tcBorders/>
          </w:tcPr>
          <w:p>
            <w:pPr>
              <w:pStyle w:val="Normal"/>
              <w:keepNext w:val="true"/>
              <w:spacing w:before="60" w:after="0"/>
              <w:rPr>
                <w:sz w:val="20"/>
              </w:rPr>
            </w:pPr>
            <w:r>
              <w:rPr>
                <w:sz w:val="20"/>
              </w:rPr>
              <w:t>Foreign currency</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33.6</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24.3</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23.9</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20.0</w:t>
            </w:r>
          </w:p>
        </w:tc>
        <w:tc>
          <w:tcPr>
            <w:tcW w:w="1116" w:type="dxa"/>
            <w:tcBorders/>
          </w:tcPr>
          <w:p>
            <w:pPr>
              <w:pStyle w:val="Normal"/>
              <w:keepNext w:val="true"/>
              <w:tabs>
                <w:tab w:val="clear" w:pos="720"/>
                <w:tab w:val="decimal" w:pos="638" w:leader="none"/>
              </w:tabs>
              <w:spacing w:before="60" w:after="0"/>
              <w:ind w:start="228" w:end="228"/>
              <w:rPr>
                <w:sz w:val="20"/>
              </w:rPr>
            </w:pPr>
            <w:r>
              <w:rPr>
                <w:sz w:val="20"/>
              </w:rPr>
              <w:t>16.4</w:t>
            </w:r>
          </w:p>
        </w:tc>
      </w:tr>
      <w:tr>
        <w:trPr/>
        <w:tc>
          <w:tcPr>
            <w:tcW w:w="3780" w:type="dxa"/>
            <w:tcBorders/>
          </w:tcPr>
          <w:p>
            <w:pPr>
              <w:pStyle w:val="Heading1"/>
              <w:spacing w:before="60" w:after="0"/>
              <w:ind w:hanging="0" w:start="0"/>
              <w:rPr>
                <w:b/>
                <w:i w:val="false"/>
                <w:i w:val="false"/>
                <w:sz w:val="18"/>
              </w:rPr>
            </w:pPr>
            <w:r>
              <w:rPr>
                <w:b/>
                <w:i w:val="false"/>
                <w:sz w:val="18"/>
              </w:rPr>
              <w:t>Balance of Payments (US$ billions)</w:t>
            </w:r>
          </w:p>
        </w:tc>
        <w:tc>
          <w:tcPr>
            <w:tcW w:w="1116" w:type="dxa"/>
            <w:tcBorders/>
          </w:tcPr>
          <w:p>
            <w:pPr>
              <w:pStyle w:val="Normal"/>
              <w:keepNext w:val="true"/>
              <w:tabs>
                <w:tab w:val="clear" w:pos="720"/>
                <w:tab w:val="decimal" w:pos="798" w:leader="none"/>
              </w:tabs>
              <w:snapToGrid w:val="false"/>
              <w:spacing w:before="60" w:after="0"/>
              <w:ind w:start="228" w:end="228"/>
              <w:rPr>
                <w:b/>
                <w:i w:val="false"/>
                <w:i w:val="false"/>
                <w:sz w:val="18"/>
              </w:rPr>
            </w:pPr>
            <w:r>
              <w:rPr>
                <w:b/>
                <w:i w:val="false"/>
                <w:sz w:val="18"/>
              </w:rPr>
            </w:r>
          </w:p>
        </w:tc>
        <w:tc>
          <w:tcPr>
            <w:tcW w:w="1116" w:type="dxa"/>
            <w:tcBorders/>
          </w:tcPr>
          <w:p>
            <w:pPr>
              <w:pStyle w:val="Normal"/>
              <w:keepNext w:val="true"/>
              <w:tabs>
                <w:tab w:val="clear" w:pos="720"/>
                <w:tab w:val="decimal" w:pos="798" w:leader="none"/>
              </w:tabs>
              <w:snapToGrid w:val="false"/>
              <w:spacing w:before="60" w:after="0"/>
              <w:ind w:start="228" w:end="228"/>
              <w:rPr>
                <w:sz w:val="18"/>
              </w:rPr>
            </w:pPr>
            <w:r>
              <w:rPr>
                <w:sz w:val="18"/>
              </w:rPr>
            </w:r>
          </w:p>
        </w:tc>
        <w:tc>
          <w:tcPr>
            <w:tcW w:w="1116" w:type="dxa"/>
            <w:tcBorders/>
          </w:tcPr>
          <w:p>
            <w:pPr>
              <w:pStyle w:val="Normal"/>
              <w:keepNext w:val="true"/>
              <w:tabs>
                <w:tab w:val="clear" w:pos="720"/>
                <w:tab w:val="decimal" w:pos="798" w:leader="none"/>
              </w:tabs>
              <w:snapToGrid w:val="false"/>
              <w:spacing w:before="60" w:after="0"/>
              <w:ind w:start="228" w:end="228"/>
              <w:rPr>
                <w:sz w:val="18"/>
              </w:rPr>
            </w:pPr>
            <w:r>
              <w:rPr>
                <w:sz w:val="18"/>
              </w:rPr>
            </w:r>
          </w:p>
        </w:tc>
        <w:tc>
          <w:tcPr>
            <w:tcW w:w="1116" w:type="dxa"/>
            <w:tcBorders/>
          </w:tcPr>
          <w:p>
            <w:pPr>
              <w:pStyle w:val="Normal"/>
              <w:keepNext w:val="true"/>
              <w:tabs>
                <w:tab w:val="clear" w:pos="720"/>
                <w:tab w:val="decimal" w:pos="798" w:leader="none"/>
              </w:tabs>
              <w:snapToGrid w:val="false"/>
              <w:spacing w:before="60" w:after="0"/>
              <w:ind w:start="228" w:end="228"/>
              <w:rPr>
                <w:sz w:val="18"/>
              </w:rPr>
            </w:pPr>
            <w:r>
              <w:rPr>
                <w:sz w:val="18"/>
              </w:rPr>
            </w:r>
          </w:p>
        </w:tc>
        <w:tc>
          <w:tcPr>
            <w:tcW w:w="1116" w:type="dxa"/>
            <w:tcBorders/>
          </w:tcPr>
          <w:p>
            <w:pPr>
              <w:pStyle w:val="Normal"/>
              <w:keepNext w:val="true"/>
              <w:tabs>
                <w:tab w:val="clear" w:pos="720"/>
                <w:tab w:val="decimal" w:pos="798" w:leader="none"/>
              </w:tabs>
              <w:snapToGrid w:val="false"/>
              <w:spacing w:before="60" w:after="0"/>
              <w:ind w:start="228" w:end="228"/>
              <w:rPr>
                <w:sz w:val="18"/>
              </w:rPr>
            </w:pPr>
            <w:r>
              <w:rPr>
                <w:sz w:val="18"/>
              </w:rPr>
            </w:r>
          </w:p>
        </w:tc>
      </w:tr>
      <w:tr>
        <w:trPr/>
        <w:tc>
          <w:tcPr>
            <w:tcW w:w="3780" w:type="dxa"/>
            <w:tcBorders/>
          </w:tcPr>
          <w:p>
            <w:pPr>
              <w:pStyle w:val="Normal"/>
              <w:keepNext w:val="true"/>
              <w:spacing w:before="20" w:after="0"/>
              <w:rPr>
                <w:sz w:val="20"/>
              </w:rPr>
            </w:pPr>
            <w:r>
              <w:rPr>
                <w:sz w:val="20"/>
              </w:rPr>
              <w:t>Current Account Balance</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(2.3)</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(7.4)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(15.7)</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(14.0)</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(19.1)</w:t>
            </w:r>
          </w:p>
        </w:tc>
      </w:tr>
      <w:tr>
        <w:trPr/>
        <w:tc>
          <w:tcPr>
            <w:tcW w:w="3780" w:type="dxa"/>
            <w:tcBorders/>
          </w:tcPr>
          <w:p>
            <w:pPr>
              <w:pStyle w:val="Normal"/>
              <w:keepNext w:val="true"/>
              <w:spacing w:before="20" w:after="0"/>
              <w:rPr>
                <w:sz w:val="20"/>
              </w:rPr>
            </w:pPr>
            <w:r>
              <w:rPr>
                <w:sz w:val="20"/>
              </w:rPr>
              <w:t>Trade Balance</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6.5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0.6</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(7.9)</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(5.4)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(10.0)</w:t>
            </w:r>
          </w:p>
        </w:tc>
      </w:tr>
      <w:tr>
        <w:trPr/>
        <w:tc>
          <w:tcPr>
            <w:tcW w:w="3780" w:type="dxa"/>
            <w:tcBorders/>
          </w:tcPr>
          <w:p>
            <w:pPr>
              <w:pStyle w:val="Normal"/>
              <w:keepNext w:val="true"/>
              <w:spacing w:before="20" w:after="0"/>
              <w:rPr>
                <w:sz w:val="20"/>
              </w:rPr>
            </w:pPr>
            <w:r>
              <w:rPr>
                <w:sz w:val="20"/>
              </w:rPr>
              <w:t>Merchandise Exports</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96.0</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110.4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117.5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136.7</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150.0</w:t>
            </w:r>
          </w:p>
        </w:tc>
      </w:tr>
      <w:tr>
        <w:trPr/>
        <w:tc>
          <w:tcPr>
            <w:tcW w:w="3780" w:type="dxa"/>
            <w:tcBorders/>
          </w:tcPr>
          <w:p>
            <w:pPr>
              <w:pStyle w:val="Normal"/>
              <w:keepNext w:val="true"/>
              <w:spacing w:before="20" w:after="0"/>
              <w:rPr>
                <w:sz w:val="20"/>
              </w:rPr>
            </w:pPr>
            <w:r>
              <w:rPr>
                <w:sz w:val="20"/>
              </w:rPr>
              <w:t>Merchandise Imports</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89.5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109.8</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125.4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142.1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160.0</w:t>
            </w:r>
          </w:p>
        </w:tc>
      </w:tr>
      <w:tr>
        <w:trPr/>
        <w:tc>
          <w:tcPr>
            <w:tcW w:w="3780" w:type="dxa"/>
            <w:tcBorders/>
          </w:tcPr>
          <w:p>
            <w:pPr>
              <w:pStyle w:val="Normal"/>
              <w:keepNext w:val="true"/>
              <w:spacing w:before="20" w:after="0"/>
              <w:rPr>
                <w:sz w:val="20"/>
              </w:rPr>
            </w:pPr>
            <w:r>
              <w:rPr>
                <w:sz w:val="20"/>
              </w:rPr>
              <w:t>Services, income and transfers, net</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(8.9)</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(8.1)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(7.8)</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(8.7)</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(9.1)</w:t>
            </w:r>
          </w:p>
        </w:tc>
      </w:tr>
      <w:tr>
        <w:trPr/>
        <w:tc>
          <w:tcPr>
            <w:tcW w:w="3780" w:type="dxa"/>
            <w:tcBorders/>
          </w:tcPr>
          <w:p>
            <w:pPr>
              <w:pStyle w:val="Normal"/>
              <w:keepNext w:val="true"/>
              <w:spacing w:before="20" w:after="0"/>
              <w:rPr>
                <w:sz w:val="20"/>
              </w:rPr>
            </w:pPr>
            <w:r>
              <w:rPr>
                <w:sz w:val="20"/>
              </w:rPr>
              <w:t>Capital and Financial Account</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4.1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15.8</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17.5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14.1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19.1</w:t>
            </w:r>
          </w:p>
        </w:tc>
      </w:tr>
      <w:tr>
        <w:trPr/>
        <w:tc>
          <w:tcPr>
            <w:tcW w:w="3780" w:type="dxa"/>
            <w:tcBorders/>
          </w:tcPr>
          <w:p>
            <w:pPr>
              <w:pStyle w:val="Normal"/>
              <w:keepNext w:val="true"/>
              <w:spacing w:before="20" w:after="0"/>
              <w:rPr>
                <w:sz w:val="20"/>
              </w:rPr>
            </w:pPr>
            <w:r>
              <w:rPr>
                <w:sz w:val="20"/>
              </w:rPr>
              <w:t>Net official international reserves</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17.5</w:t>
            </w:r>
          </w:p>
        </w:tc>
        <w:tc>
          <w:tcPr>
            <w:tcW w:w="1116" w:type="dxa"/>
            <w:tcBorders/>
          </w:tcPr>
          <w:p>
            <w:pPr>
              <w:pStyle w:val="Normal"/>
              <w:keepNext w:val="true"/>
              <w:tabs>
                <w:tab w:val="clear" w:pos="720"/>
                <w:tab w:val="decimal" w:pos="798" w:leader="none"/>
              </w:tabs>
              <w:spacing w:before="20" w:after="0"/>
              <w:ind w:start="228" w:end="228"/>
              <w:rPr>
                <w:sz w:val="20"/>
              </w:rPr>
            </w:pPr>
            <w:r>
              <w:rPr>
                <w:sz w:val="20"/>
              </w:rPr>
              <w:t>28</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30.1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30.7</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32.2</w:t>
            </w:r>
          </w:p>
        </w:tc>
      </w:tr>
      <w:tr>
        <w:trPr/>
        <w:tc>
          <w:tcPr>
            <w:tcW w:w="3780" w:type="dxa"/>
            <w:tcBorders/>
          </w:tcPr>
          <w:p>
            <w:pPr>
              <w:pStyle w:val="Normal"/>
              <w:keepNext w:val="true"/>
              <w:spacing w:before="20" w:after="0"/>
              <w:rPr>
                <w:sz w:val="20"/>
              </w:rPr>
            </w:pPr>
            <w:r>
              <w:rPr>
                <w:sz w:val="20"/>
              </w:rPr>
              <w:t>Current account receipts</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115.5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131.5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140.5</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159.9</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184.0</w:t>
            </w:r>
          </w:p>
        </w:tc>
      </w:tr>
      <w:tr>
        <w:trPr/>
        <w:tc>
          <w:tcPr>
            <w:tcW w:w="3780" w:type="dxa"/>
            <w:tcBorders/>
          </w:tcPr>
          <w:p>
            <w:pPr>
              <w:pStyle w:val="Normal"/>
              <w:keepNext w:val="true"/>
              <w:spacing w:before="60" w:after="0"/>
              <w:rPr>
                <w:b/>
                <w:sz w:val="18"/>
              </w:rPr>
            </w:pPr>
            <w:r>
              <w:rPr>
                <w:b/>
                <w:sz w:val="18"/>
              </w:rPr>
              <w:t>Foreign Currency Debt (US$ billions)</w:t>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c>
          <w:tcPr>
            <w:tcW w:w="1116" w:type="dxa"/>
            <w:tcBorders/>
          </w:tcPr>
          <w:p>
            <w:pPr>
              <w:pStyle w:val="Normal"/>
              <w:keepNext w:val="true"/>
              <w:tabs>
                <w:tab w:val="clear" w:pos="720"/>
                <w:tab w:val="decimal" w:pos="798" w:leader="none"/>
              </w:tabs>
              <w:snapToGrid w:val="false"/>
              <w:spacing w:before="60" w:after="0"/>
              <w:ind w:start="228" w:end="228"/>
              <w:rPr>
                <w:b/>
                <w:sz w:val="18"/>
              </w:rPr>
            </w:pPr>
            <w:r>
              <w:rPr>
                <w:b/>
                <w:sz w:val="18"/>
              </w:rPr>
            </w:r>
          </w:p>
        </w:tc>
      </w:tr>
      <w:tr>
        <w:trPr/>
        <w:tc>
          <w:tcPr>
            <w:tcW w:w="3780" w:type="dxa"/>
            <w:tcBorders/>
          </w:tcPr>
          <w:p>
            <w:pPr>
              <w:pStyle w:val="Normal"/>
              <w:keepNext w:val="true"/>
              <w:spacing w:before="20" w:after="0"/>
              <w:rPr>
                <w:sz w:val="20"/>
              </w:rPr>
            </w:pPr>
            <w:r>
              <w:rPr>
                <w:sz w:val="20"/>
              </w:rPr>
              <w:t>Total</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163.6</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152.8</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162.1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163.3</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170.4</w:t>
            </w:r>
          </w:p>
        </w:tc>
      </w:tr>
      <w:tr>
        <w:trPr/>
        <w:tc>
          <w:tcPr>
            <w:tcW w:w="3780" w:type="dxa"/>
            <w:tcBorders/>
          </w:tcPr>
          <w:p>
            <w:pPr>
              <w:pStyle w:val="Normal"/>
              <w:keepNext w:val="true"/>
              <w:spacing w:before="20" w:after="0"/>
              <w:rPr>
                <w:i/>
                <w:i/>
                <w:sz w:val="20"/>
              </w:rPr>
            </w:pPr>
            <w:r>
              <w:rPr>
                <w:i/>
                <w:sz w:val="20"/>
              </w:rPr>
              <w:t>as a % of current account earnings</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741.7</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116.2</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115.4</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102.1</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92.6</w:t>
            </w:r>
          </w:p>
        </w:tc>
      </w:tr>
      <w:tr>
        <w:trPr/>
        <w:tc>
          <w:tcPr>
            <w:tcW w:w="3780" w:type="dxa"/>
            <w:tcBorders/>
          </w:tcPr>
          <w:p>
            <w:pPr>
              <w:pStyle w:val="Normal"/>
              <w:keepNext w:val="true"/>
              <w:spacing w:before="20" w:after="0"/>
              <w:rPr>
                <w:sz w:val="20"/>
              </w:rPr>
            </w:pPr>
            <w:r>
              <w:rPr>
                <w:sz w:val="20"/>
              </w:rPr>
              <w:t>Public sector</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111.6</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97.4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100.7</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96.8</w:t>
            </w:r>
          </w:p>
        </w:tc>
        <w:tc>
          <w:tcPr>
            <w:tcW w:w="1116" w:type="dxa"/>
            <w:tcBorders/>
          </w:tcPr>
          <w:p>
            <w:pPr>
              <w:pStyle w:val="Normal"/>
              <w:keepNext w:val="true"/>
              <w:tabs>
                <w:tab w:val="clear" w:pos="720"/>
                <w:tab w:val="decimal" w:pos="798" w:leader="none"/>
              </w:tabs>
              <w:spacing w:before="20" w:after="0"/>
              <w:ind w:start="228" w:end="228"/>
              <w:rPr>
                <w:sz w:val="20"/>
              </w:rPr>
            </w:pPr>
            <w:r>
              <w:rPr>
                <w:sz w:val="20"/>
              </w:rPr>
              <w:t>—</w:t>
            </w:r>
          </w:p>
        </w:tc>
      </w:tr>
      <w:tr>
        <w:trPr/>
        <w:tc>
          <w:tcPr>
            <w:tcW w:w="3780" w:type="dxa"/>
            <w:tcBorders/>
          </w:tcPr>
          <w:p>
            <w:pPr>
              <w:pStyle w:val="Normal"/>
              <w:keepNext w:val="true"/>
              <w:spacing w:before="20" w:after="0"/>
              <w:rPr>
                <w:sz w:val="20"/>
              </w:rPr>
            </w:pPr>
            <w:r>
              <w:rPr>
                <w:sz w:val="20"/>
              </w:rPr>
              <w:t>Private sector</w:t>
            </w:r>
          </w:p>
        </w:tc>
        <w:tc>
          <w:tcPr>
            <w:tcW w:w="1116" w:type="dxa"/>
            <w:tcBorders/>
          </w:tcPr>
          <w:p>
            <w:pPr>
              <w:pStyle w:val="Normal"/>
              <w:keepNext w:val="true"/>
              <w:tabs>
                <w:tab w:val="clear" w:pos="720"/>
                <w:tab w:val="decimal" w:pos="798" w:leader="none"/>
              </w:tabs>
              <w:spacing w:before="20" w:after="0"/>
              <w:ind w:start="228" w:end="228"/>
              <w:rPr>
                <w:sz w:val="20"/>
              </w:rPr>
            </w:pPr>
            <w:r>
              <w:rPr>
                <w:sz w:val="20"/>
              </w:rPr>
              <w:t>52</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55.4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61.4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66.5</w:t>
            </w:r>
          </w:p>
        </w:tc>
        <w:tc>
          <w:tcPr>
            <w:tcW w:w="1116" w:type="dxa"/>
            <w:tcBorders/>
          </w:tcPr>
          <w:p>
            <w:pPr>
              <w:pStyle w:val="Normal"/>
              <w:keepNext w:val="true"/>
              <w:tabs>
                <w:tab w:val="clear" w:pos="720"/>
                <w:tab w:val="decimal" w:pos="798" w:leader="none"/>
              </w:tabs>
              <w:spacing w:before="20" w:after="0"/>
              <w:ind w:start="228" w:end="228"/>
              <w:rPr>
                <w:sz w:val="20"/>
              </w:rPr>
            </w:pPr>
            <w:r>
              <w:rPr>
                <w:sz w:val="20"/>
              </w:rPr>
              <w:t>—</w:t>
            </w:r>
          </w:p>
        </w:tc>
      </w:tr>
      <w:tr>
        <w:trPr/>
        <w:tc>
          <w:tcPr>
            <w:tcW w:w="3780" w:type="dxa"/>
            <w:tcBorders/>
          </w:tcPr>
          <w:p>
            <w:pPr>
              <w:pStyle w:val="Normal"/>
              <w:keepNext w:val="true"/>
              <w:spacing w:before="20" w:after="0"/>
              <w:rPr>
                <w:sz w:val="20"/>
              </w:rPr>
            </w:pPr>
            <w:r>
              <w:rPr>
                <w:sz w:val="20"/>
              </w:rPr>
              <w:t>Debt service</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33.8</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34.3</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24.2</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24.1</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25.0</w:t>
            </w:r>
          </w:p>
        </w:tc>
      </w:tr>
      <w:tr>
        <w:trPr/>
        <w:tc>
          <w:tcPr>
            <w:tcW w:w="3780" w:type="dxa"/>
            <w:tcBorders/>
          </w:tcPr>
          <w:p>
            <w:pPr>
              <w:pStyle w:val="Normal"/>
              <w:keepNext w:val="true"/>
              <w:spacing w:before="20" w:after="0"/>
              <w:rPr>
                <w:i/>
                <w:i/>
                <w:sz w:val="20"/>
              </w:rPr>
            </w:pPr>
            <w:r>
              <w:rPr>
                <w:i/>
                <w:sz w:val="20"/>
              </w:rPr>
              <w:t>as % of current account receipts</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29.3</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26.1</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17.2</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15.1</w:t>
            </w:r>
          </w:p>
        </w:tc>
        <w:tc>
          <w:tcPr>
            <w:tcW w:w="1116" w:type="dxa"/>
            <w:tcBorders/>
          </w:tcPr>
          <w:p>
            <w:pPr>
              <w:pStyle w:val="Normal"/>
              <w:keepNext w:val="true"/>
              <w:tabs>
                <w:tab w:val="clear" w:pos="720"/>
                <w:tab w:val="decimal" w:pos="638" w:leader="none"/>
              </w:tabs>
              <w:spacing w:before="20" w:after="0"/>
              <w:ind w:start="228" w:end="228"/>
              <w:rPr>
                <w:i/>
                <w:i/>
                <w:sz w:val="20"/>
              </w:rPr>
            </w:pPr>
            <w:r>
              <w:rPr>
                <w:i/>
                <w:sz w:val="20"/>
              </w:rPr>
              <w:t>13.6</w:t>
            </w:r>
          </w:p>
        </w:tc>
      </w:tr>
      <w:tr>
        <w:trPr/>
        <w:tc>
          <w:tcPr>
            <w:tcW w:w="3780" w:type="dxa"/>
            <w:tcBorders/>
          </w:tcPr>
          <w:p>
            <w:pPr>
              <w:pStyle w:val="Normal"/>
              <w:keepNext w:val="true"/>
              <w:spacing w:before="20" w:after="0"/>
              <w:rPr>
                <w:sz w:val="20"/>
              </w:rPr>
            </w:pPr>
            <w:r>
              <w:rPr>
                <w:sz w:val="20"/>
              </w:rPr>
              <w:t>Amortization</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20.4</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21.9</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11.7</w:t>
            </w:r>
          </w:p>
        </w:tc>
        <w:tc>
          <w:tcPr>
            <w:tcW w:w="1116" w:type="dxa"/>
            <w:tcBorders/>
          </w:tcPr>
          <w:p>
            <w:pPr>
              <w:pStyle w:val="Normal"/>
              <w:keepNext w:val="true"/>
              <w:tabs>
                <w:tab w:val="clear" w:pos="720"/>
                <w:tab w:val="decimal" w:pos="638" w:leader="none"/>
              </w:tabs>
              <w:spacing w:before="20" w:after="0"/>
              <w:ind w:start="228" w:end="228"/>
              <w:rPr>
                <w:sz w:val="20"/>
              </w:rPr>
            </w:pPr>
            <w:r>
              <w:rPr>
                <w:sz w:val="20"/>
              </w:rPr>
              <w:t>11.1</w:t>
            </w:r>
          </w:p>
        </w:tc>
        <w:tc>
          <w:tcPr>
            <w:tcW w:w="1116" w:type="dxa"/>
            <w:tcBorders/>
          </w:tcPr>
          <w:p>
            <w:pPr>
              <w:pStyle w:val="Normal"/>
              <w:keepNext w:val="true"/>
              <w:tabs>
                <w:tab w:val="clear" w:pos="720"/>
                <w:tab w:val="decimal" w:pos="798" w:leader="none"/>
              </w:tabs>
              <w:spacing w:before="20" w:after="0"/>
              <w:ind w:start="228" w:end="228"/>
              <w:rPr>
                <w:sz w:val="20"/>
              </w:rPr>
            </w:pPr>
            <w:r>
              <w:rPr>
                <w:sz w:val="20"/>
              </w:rPr>
              <w:t>—</w:t>
            </w:r>
          </w:p>
        </w:tc>
      </w:tr>
      <w:tr>
        <w:trPr/>
        <w:tc>
          <w:tcPr>
            <w:tcW w:w="3780" w:type="dxa"/>
            <w:tcBorders>
              <w:bottom w:val="single" w:sz="4" w:space="0" w:color="000000"/>
            </w:tcBorders>
          </w:tcPr>
          <w:p>
            <w:pPr>
              <w:pStyle w:val="Normal"/>
              <w:keepNext w:val="true"/>
              <w:spacing w:before="20" w:after="0"/>
              <w:rPr>
                <w:sz w:val="20"/>
              </w:rPr>
            </w:pPr>
            <w:r>
              <w:rPr>
                <w:sz w:val="20"/>
              </w:rPr>
              <w:t>Interest</w:t>
            </w:r>
          </w:p>
        </w:tc>
        <w:tc>
          <w:tcPr>
            <w:tcW w:w="1116" w:type="dxa"/>
            <w:tcBorders>
              <w:bottom w:val="single" w:sz="4" w:space="0" w:color="000000"/>
            </w:tcBorders>
          </w:tcPr>
          <w:p>
            <w:pPr>
              <w:pStyle w:val="Normal"/>
              <w:keepNext w:val="true"/>
              <w:tabs>
                <w:tab w:val="clear" w:pos="720"/>
                <w:tab w:val="decimal" w:pos="638" w:leader="none"/>
              </w:tabs>
              <w:spacing w:before="20" w:after="0"/>
              <w:ind w:start="228" w:end="228"/>
              <w:rPr>
                <w:sz w:val="20"/>
              </w:rPr>
            </w:pPr>
            <w:r>
              <w:rPr>
                <w:sz w:val="20"/>
              </w:rPr>
              <w:t>13.4</w:t>
            </w:r>
          </w:p>
        </w:tc>
        <w:tc>
          <w:tcPr>
            <w:tcW w:w="1116" w:type="dxa"/>
            <w:tcBorders>
              <w:bottom w:val="single" w:sz="4" w:space="0" w:color="000000"/>
            </w:tcBorders>
          </w:tcPr>
          <w:p>
            <w:pPr>
              <w:pStyle w:val="Normal"/>
              <w:keepNext w:val="true"/>
              <w:tabs>
                <w:tab w:val="clear" w:pos="720"/>
                <w:tab w:val="decimal" w:pos="638" w:leader="none"/>
              </w:tabs>
              <w:spacing w:before="20" w:after="0"/>
              <w:ind w:start="228" w:end="228"/>
              <w:rPr>
                <w:sz w:val="20"/>
              </w:rPr>
            </w:pPr>
            <w:r>
              <w:rPr>
                <w:sz w:val="20"/>
              </w:rPr>
              <w:t>12.4</w:t>
            </w:r>
          </w:p>
        </w:tc>
        <w:tc>
          <w:tcPr>
            <w:tcW w:w="1116" w:type="dxa"/>
            <w:tcBorders>
              <w:bottom w:val="single" w:sz="4" w:space="0" w:color="000000"/>
            </w:tcBorders>
          </w:tcPr>
          <w:p>
            <w:pPr>
              <w:pStyle w:val="Normal"/>
              <w:keepNext w:val="true"/>
              <w:tabs>
                <w:tab w:val="clear" w:pos="720"/>
                <w:tab w:val="decimal" w:pos="638" w:leader="none"/>
              </w:tabs>
              <w:spacing w:before="20" w:after="0"/>
              <w:ind w:start="228" w:end="228"/>
              <w:rPr>
                <w:sz w:val="20"/>
              </w:rPr>
            </w:pPr>
            <w:r>
              <w:rPr>
                <w:sz w:val="20"/>
              </w:rPr>
              <w:t>12.5</w:t>
            </w:r>
          </w:p>
        </w:tc>
        <w:tc>
          <w:tcPr>
            <w:tcW w:w="1116" w:type="dxa"/>
            <w:tcBorders>
              <w:bottom w:val="single" w:sz="4" w:space="0" w:color="000000"/>
            </w:tcBorders>
          </w:tcPr>
          <w:p>
            <w:pPr>
              <w:pStyle w:val="Normal"/>
              <w:keepNext w:val="true"/>
              <w:tabs>
                <w:tab w:val="clear" w:pos="720"/>
                <w:tab w:val="decimal" w:pos="638" w:leader="none"/>
              </w:tabs>
              <w:spacing w:before="20" w:after="0"/>
              <w:ind w:start="228" w:end="228"/>
              <w:rPr>
                <w:sz w:val="20"/>
              </w:rPr>
            </w:pPr>
            <w:r>
              <w:rPr>
                <w:sz w:val="20"/>
              </w:rPr>
              <w:t>13.0</w:t>
            </w:r>
          </w:p>
        </w:tc>
        <w:tc>
          <w:tcPr>
            <w:tcW w:w="1116" w:type="dxa"/>
            <w:tcBorders>
              <w:bottom w:val="single" w:sz="4" w:space="0" w:color="000000"/>
            </w:tcBorders>
          </w:tcPr>
          <w:p>
            <w:pPr>
              <w:pStyle w:val="Normal"/>
              <w:keepNext w:val="true"/>
              <w:tabs>
                <w:tab w:val="clear" w:pos="720"/>
                <w:tab w:val="decimal" w:pos="798" w:leader="none"/>
              </w:tabs>
              <w:spacing w:before="20" w:after="0"/>
              <w:ind w:start="228" w:end="228"/>
              <w:rPr>
                <w:sz w:val="20"/>
              </w:rPr>
            </w:pPr>
            <w:r>
              <w:rPr>
                <w:sz w:val="20"/>
              </w:rPr>
              <w:t>—</w:t>
            </w:r>
          </w:p>
        </w:tc>
      </w:tr>
    </w:tbl>
    <w:p>
      <w:pPr>
        <w:pStyle w:val="Spacerhalf"/>
        <w:keepNext w:val="true"/>
        <w:rPr/>
      </w:pPr>
      <w:r>
        <w:rPr/>
      </w:r>
    </w:p>
    <w:p>
      <w:pPr>
        <w:pStyle w:val="Source"/>
        <w:rPr/>
      </w:pPr>
      <w:r>
        <w:rPr/>
        <w:t>Source:  Moody’s Investors Service, June, 2000.</w:t>
      </w:r>
    </w:p>
    <w:p>
      <w:pPr>
        <w:pStyle w:val="Spacerhalf"/>
        <w:rPr/>
      </w:pPr>
      <w:r>
        <w:rPr/>
      </w:r>
    </w:p>
    <w:p>
      <w:pPr>
        <w:pStyle w:val="Textboldital"/>
        <w:rPr/>
      </w:pPr>
      <w:r>
        <w:rPr/>
        <w:t>Rating</w:t>
      </w:r>
    </w:p>
    <w:p>
      <w:pPr>
        <w:pStyle w:val="WW-Text"/>
        <w:rPr/>
      </w:pPr>
      <w:r>
        <w:rPr/>
        <w:t xml:space="preserve">Mexico’s long-term foreign currency obligations are currently rated BB+ and Baa3 by S&amp;P and Moody’s, respectively.  Mexico’s rating is supported by an on-going, broad-based modernization process and by the unique economic and financial links between Mexico and the United States.  The rating has been constrained by, among other factors, relatively high levels of external debt, low domestic savings, and relatively large external financing requirements, which at times have rendered the country vulnerable to changes in international market conditions as well as to sudden shifts in investor confidence. </w:t>
      </w:r>
    </w:p>
    <w:p>
      <w:pPr>
        <w:pStyle w:val="WW-Text"/>
        <w:rPr/>
      </w:pPr>
      <w:r>
        <w:rPr/>
        <w:t xml:space="preserve">Moody’s recently upgraded Mexico’s long-term foreign-currency debt rating to investment grade to Baa3 with a positive outlook.  According to Moody’s, the upgrade reflects the greatly improved external position of the country.  The effects of the NAFTA, in particular the sharp rise in exports, when combined with prudent fiscal and monetary policies, have resulted in a lower relative foreign currency debt burden.  Also, the funding of current account deficits in recent years has been mostly through non-debt creating flows and a flexible exchange rate policy has reduced the call on international reserves, resulting in a much less vulnerable external position as compared to earlier periods. </w:t>
      </w:r>
    </w:p>
    <w:p>
      <w:pPr>
        <w:pStyle w:val="Textbold"/>
        <w:rPr/>
      </w:pPr>
      <w:r>
        <w:rPr/>
        <w:t>2.</w:t>
        <w:tab/>
        <w:t>The State of Nuevo León</w:t>
      </w:r>
    </w:p>
    <w:p>
      <w:pPr>
        <w:pStyle w:val="Textbold"/>
        <w:rPr/>
      </w:pPr>
      <w:r>
        <w:rPr/>
        <w:t>General overview</w:t>
      </w:r>
      <w:r>
        <w:rPr>
          <w:b w:val="false"/>
        </w:rPr>
        <w:t xml:space="preserve"> </w:t>
      </w:r>
    </w:p>
    <w:p>
      <w:pPr>
        <w:pStyle w:val="WW-Text"/>
        <w:rPr/>
      </w:pPr>
      <w:r>
        <w:rPr/>
        <w:t xml:space="preserve">With a territory of 64,210 square kilometers, divided into 51 municipalities, the State of Nuevo León is located in the northeastern part of the country and is one of six Mexican states bordering the United States.  Nuevo León is bordered to the north by the United States and the states of Coáhuila and Tamaulipas, to the west by the states of Coáhuila, and to the east by the State of Tamaulipas.  </w:t>
      </w:r>
    </w:p>
    <w:p>
      <w:pPr>
        <w:pStyle w:val="GraphicHead"/>
        <w:rPr/>
      </w:pPr>
      <w:r>
        <w:rPr/>
        <w:t>The United Mexican States</w:t>
      </w:r>
    </w:p>
    <w:p>
      <w:pPr>
        <w:pStyle w:val="Hidden"/>
        <w:rPr/>
      </w:pPr>
      <w:r>
        <w:rPr/>
        <w:t>\\CFINNY03\wp\PC\Docs\E\0110172e.cdr</w:t>
      </w:r>
    </w:p>
    <w:p>
      <w:pPr>
        <w:pStyle w:val="Graphic"/>
        <w:rPr/>
      </w:pPr>
      <w:r>
        <w:rPr/>
        <w:drawing>
          <wp:inline distT="0" distB="0" distL="0" distR="0">
            <wp:extent cx="5755640" cy="3873500"/>
            <wp:effectExtent l="0" t="0" r="0" b="0"/>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68"/>
                    <a:srcRect l="-6" t="-9" r="-6" b="-9"/>
                    <a:stretch>
                      <a:fillRect/>
                    </a:stretch>
                  </pic:blipFill>
                  <pic:spPr bwMode="auto">
                    <a:xfrm>
                      <a:off x="0" y="0"/>
                      <a:ext cx="5755640" cy="3873500"/>
                    </a:xfrm>
                    <a:prstGeom prst="rect">
                      <a:avLst/>
                    </a:prstGeom>
                    <a:noFill/>
                  </pic:spPr>
                </pic:pic>
              </a:graphicData>
            </a:graphic>
          </wp:inline>
        </w:drawing>
      </w:r>
    </w:p>
    <w:p>
      <w:pPr>
        <w:pStyle w:val="Spacerhalf"/>
        <w:rPr/>
      </w:pPr>
      <w:r>
        <w:rPr/>
      </w:r>
    </w:p>
    <w:p>
      <w:pPr>
        <w:pStyle w:val="WW-Text"/>
        <w:rPr/>
      </w:pPr>
      <w:r>
        <w:rPr/>
        <w:t>The State is projected to have a population of 3.97 million by the year 2000, approximately 4% of the country’s population.  The Monterrey Metropolitan Area comprises 85% of the State’s population and is Mexico’s second largest industrial center.  Since 1995, the Nuevo León’s population has grown at a compound annual growth rate of 2.4%.</w:t>
      </w:r>
    </w:p>
    <w:p>
      <w:pPr>
        <w:pStyle w:val="WW-Text"/>
        <w:rPr/>
      </w:pPr>
      <w:r>
        <w:rPr/>
        <w:t>The State ranks 4</w:t>
      </w:r>
      <w:r>
        <w:rPr>
          <w:vertAlign w:val="superscript"/>
        </w:rPr>
        <w:t>th</w:t>
      </w:r>
      <w:r>
        <w:rPr/>
        <w:t xml:space="preserve"> out of 31 states and the Federal District in national GNP contribution at 6.8%. </w:t>
      </w:r>
    </w:p>
    <w:p>
      <w:pPr>
        <w:pStyle w:val="Textbold"/>
        <w:rPr/>
      </w:pPr>
      <w:r>
        <w:rPr/>
        <w:t>General infrastructure</w:t>
      </w:r>
    </w:p>
    <w:p>
      <w:pPr>
        <w:pStyle w:val="WW-Text"/>
        <w:rPr/>
      </w:pPr>
      <w:r>
        <w:rPr/>
        <w:t xml:space="preserve">The State of Nuevo León has over 1,418 km of highways, 2,550 km of paved roads and 1,126 km of railroad tracks that connect it to the United States and other bordering states.  Nuevo León also has two international airports, both of which are located in the Monterrey Metropolitan Area.  Its installed electric generation capacity as of 1999 is 4,597 MW. </w:t>
      </w:r>
    </w:p>
    <w:p>
      <w:pPr>
        <w:pStyle w:val="Textbold"/>
        <w:rPr/>
      </w:pPr>
      <w:r>
        <w:rPr/>
        <w:t>Water resources</w:t>
      </w:r>
    </w:p>
    <w:p>
      <w:pPr>
        <w:pStyle w:val="WW-Text"/>
        <w:rPr/>
      </w:pPr>
      <w:r>
        <w:rPr/>
        <w:t>Three dams as well as modern distribution systems provide Nuevo León’s water resources.  The State’s three main reservoirs are: (1) Cerro Prieto Dam, holding 400 million cubic meters; (2) La Boca Dam, holding 40 million cubic meters; and (3) El Cuchillo, holding 1,800 million cubic meters of water.</w:t>
      </w:r>
    </w:p>
    <w:p>
      <w:pPr>
        <w:pStyle w:val="WW-Text"/>
        <w:rPr/>
      </w:pPr>
      <w:r>
        <w:rPr/>
        <w:t>Other sources of water are located in regions close to Monterrey.  Five aqueducts carry water to the purification plants in Monterrey.  Twenty-two additional plants treat residual waters for industrial use.</w:t>
      </w:r>
    </w:p>
    <w:p>
      <w:pPr>
        <w:pStyle w:val="Textbold"/>
        <w:rPr/>
      </w:pPr>
      <w:r>
        <w:rPr/>
        <w:t>Main industries</w:t>
      </w:r>
    </w:p>
    <w:p>
      <w:pPr>
        <w:pStyle w:val="WW-Text"/>
        <w:rPr/>
      </w:pPr>
      <w:r>
        <w:rPr/>
        <w:t>Nuevo León is known for its dynamic industrial activity. Nuevo León’s industry is primarily concentrated around the Monterrey Metropolitan Area, and has become highly diversified.  This, in addition to its skilled workforce, solid infrastructure and proximity to the United States, has led to substantial exports of a wide range of products.</w:t>
      </w:r>
    </w:p>
    <w:p>
      <w:pPr>
        <w:pStyle w:val="WW-Text"/>
        <w:rPr/>
      </w:pPr>
      <w:r>
        <w:rPr/>
        <w:t>The State’s manufacturing sector makes up the largest area of economic activity.  It represents over 9% of the total manufacturing output in Mexico.  Its yearly exports are valued at US$5.3 billion, which represent 6% of Mexico’s total industrial export production.  The largest areas of manufacturing activity, which also comprise the State’s main export products are 1) processed food, beverage, and tobacco; 2) basic metals and metallic products; 3) chemicals; and 4) nonmetallic mineral products.</w:t>
      </w:r>
    </w:p>
    <w:p>
      <w:pPr>
        <w:pStyle w:val="WW-Text"/>
        <w:rPr/>
      </w:pPr>
      <w:r>
        <w:rPr/>
        <w:t xml:space="preserve">Other sectors of activity are agriculture and livestock.  A small part of the State is devoted to agriculture, using modern cultivation techniques.  The main crops are citrus fruit, sorghum, corn, beans and wheat.  Cattle raising is the predominant activity in the agricultural and livestock sector, and takes up 83% of agricultural acreage.  </w:t>
      </w:r>
    </w:p>
    <w:p>
      <w:pPr>
        <w:pStyle w:val="WW-Text"/>
        <w:rPr/>
      </w:pPr>
      <w:r>
        <w:rPr/>
        <w:t>The “Maquiladora” industry has been very important in the economic development of the region, especially in the areas bordering the United States.  Nuevo León ranks 6</w:t>
      </w:r>
      <w:r>
        <w:rPr>
          <w:vertAlign w:val="superscript"/>
        </w:rPr>
        <w:t>th</w:t>
      </w:r>
      <w:r>
        <w:rPr/>
        <w:t xml:space="preserve"> among states in terms of number of maquiladoras with 120 and 6</w:t>
      </w:r>
      <w:r>
        <w:rPr>
          <w:vertAlign w:val="superscript"/>
        </w:rPr>
        <w:t>th</w:t>
      </w:r>
      <w:r>
        <w:rPr/>
        <w:t xml:space="preserve"> among states in terms of number of employees with approximately 46,000. </w:t>
      </w:r>
    </w:p>
    <w:p>
      <w:pPr>
        <w:pStyle w:val="Textbold"/>
        <w:rPr/>
      </w:pPr>
      <w:r>
        <w:rPr/>
        <w:t>Main industries</w:t>
      </w:r>
    </w:p>
    <w:p>
      <w:pPr>
        <w:pStyle w:val="WW-Text"/>
        <w:rPr/>
      </w:pPr>
      <w:r>
        <w:rPr/>
        <w:t>The State’s work force, as of 1997, was made up of 1.4 million resident and had an unemployment level of 4%. The manufacturing sector provides the greatest source of employment for the residents of Nuevo León (approximately 40% of the State’s working population).</w:t>
      </w:r>
    </w:p>
    <w:sectPr>
      <w:headerReference w:type="default" r:id="rId69"/>
      <w:headerReference w:type="first" r:id="rId70"/>
      <w:footerReference w:type="default" r:id="rId71"/>
      <w:footerReference w:type="first" r:id="rId72"/>
      <w:type w:val="nextPage"/>
      <w:pgSz w:w="12240" w:h="15840"/>
      <w:pgMar w:left="1584" w:right="1296" w:gutter="0" w:header="288" w:top="1440" w:footer="50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G LucidaT">
    <w:charset w:val="00" w:characterSet="windows-1252"/>
    <w:family w:val="auto"/>
    <w:pitch w:val="variable"/>
  </w:font>
  <w:font w:name="SG LucidaSans">
    <w:charset w:val="00" w:characterSet="windows-1252"/>
    <w:family w:val="auto"/>
    <w:pitch w:val="variable"/>
  </w:font>
  <w:font w:name="Wingdings">
    <w:charset w:val="02"/>
    <w:family w:val="auto"/>
    <w:pitch w:val="variable"/>
  </w:font>
  <w:font w:name="LucidaSans">
    <w:altName w:val="Times New Roman"/>
    <w:charset w:val="00" w:characterSet="windows-1252"/>
    <w:family w:val="auto"/>
    <w:pitch w:val="variable"/>
  </w:font>
  <w:font w:name="Lucida Sans Unicode">
    <w:charset w:val="00" w:characterSet="windows-1252"/>
    <w:family w:val="swiss"/>
    <w:pitch w:val="variable"/>
  </w:font>
  <w:font w:name="Arial Black">
    <w:charset w:val="00" w:characterSet="windows-1252"/>
    <w:family w:val="swiss"/>
    <w:pitch w:val="variable"/>
  </w:font>
  <w:font w:name="Arial Narrow">
    <w:charset w:val="00" w:characterSet="windows-1252"/>
    <w:family w:val="swiss"/>
    <w:pitch w:val="variable"/>
  </w:font>
  <w:font w:name="LucidaT">
    <w:altName w:val="Lucida Sans Unicode"/>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ii</w:t>
    </w:r>
    <w:r>
      <w:rPr>
        <w:rStyle w:val="PageNumber"/>
        <w:lang w:val="en-CA"/>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35</w:t>
    </w:r>
    <w:r>
      <w:rPr>
        <w:rStyle w:val="PageNumber"/>
        <w:lang w:val="en-C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22</w:t>
    </w:r>
    <w:r>
      <w:rPr>
        <w:rStyle w:val="PageNumber"/>
        <w:lang w:val="en-C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57</w:t>
    </w:r>
    <w:r>
      <w:rPr>
        <w:rStyle w:val="PageNumber"/>
        <w:lang w:val="en-C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70</w:t>
    </w:r>
    <w:r>
      <w:rPr>
        <w:rStyle w:val="PageNumber"/>
        <w:lang w:val="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72</w:t>
    </w:r>
    <w:r>
      <w:rPr>
        <w:rStyle w:val="PageNumber"/>
        <w:lang w:val="en-CA"/>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74</w:t>
    </w:r>
    <w:r>
      <w:rPr>
        <w:rStyle w:val="PageNumber"/>
        <w:lang w:val="en-CA"/>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9</w:t>
    </w:r>
    <w:r>
      <w:rPr>
        <w:rStyle w:val="PageNumber"/>
        <w:lang w:val="en-CA"/>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0</w:t>
    </w:r>
    <w:r>
      <w:rPr>
        <w:rStyle w:val="PageNumber"/>
        <w:lang w:val="en-CA"/>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84</w:t>
    </w:r>
    <w:r>
      <w:rPr>
        <w:rStyle w:val="PageNumber"/>
        <w:lang w:val="en-CA"/>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89</w:t>
    </w:r>
    <w:r>
      <w:rPr>
        <w:rStyle w:val="PageNumber"/>
        <w:lang w:val="en-CA"/>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w:t>
    </w:r>
    <w:r>
      <w:rPr>
        <w:rStyle w:val="PageNumber"/>
        <w:lang w:val="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14</w:t>
    </w:r>
    <w:r>
      <w:rPr>
        <w:rStyle w:val="PageNumber"/>
        <w:lang w:val="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10</w:t>
    </w:r>
    <w:r>
      <w:rPr>
        <w:rStyle w:val="PageNumber"/>
        <w:lang w:val="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18</w:t>
    </w:r>
    <w:r>
      <w:rPr>
        <w:rStyle w:val="PageNumber"/>
        <w:lang w:val="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15</w:t>
    </w:r>
    <w:r>
      <w:rPr>
        <w:rStyle w:val="PageNumber"/>
        <w:lang w:val="en-CA"/>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21</w:t>
    </w:r>
    <w:r>
      <w:rPr>
        <w:rStyle w:val="PageNumber"/>
        <w:lang w:val="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pBdr>
      <w:tabs>
        <w:tab w:val="center" w:pos="4320" w:leader="none"/>
        <w:tab w:val="right" w:pos="8640" w:leader="none"/>
        <w:tab w:val="right" w:pos="9360" w:leader="none"/>
      </w:tabs>
      <w:spacing w:before="60" w:after="6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19</w:t>
    </w:r>
    <w:r>
      <w:rPr>
        <w:rStyle w:val="PageNumber"/>
        <w:lang w:val="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Heading8"/>
      <w:spacing w:before="480" w:after="0"/>
      <w:ind w:hanging="0" w:start="0"/>
      <w:jc w:val="center"/>
      <w:rPr>
        <w:rFonts w:ascii="Times New Roman" w:hAnsi="Times New Roman" w:cs="Times New Roman"/>
        <w:b w:val="false"/>
        <w:sz w:val="24"/>
      </w:rPr>
    </w:pPr>
    <w:r>
      <w:rPr>
        <w:rFonts w:cs="Times New Roman" w:ascii="Times New Roman" w:hAnsi="Times New Roman"/>
        <w:b w:val="false"/>
        <w:sz w:val="24"/>
      </w:rPr>
      <w:t>Confidential Information Memorandum</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rPr>
    </w:pPr>
    <w:r>
      <w:rPr>
        <w:rFonts w:cs="Times New Roman" w:ascii="Times New Roman" w:hAnsi="Times New Roman"/>
        <w:color w:val="auto"/>
      </w:rPr>
      <w:t>enron monterrey POWER PROJECT</w:t>
      <w:tab/>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12960" w:leader="none"/>
      </w:tabs>
      <w:jc w:val="start"/>
      <w:rPr>
        <w:rFonts w:ascii="Times New Roman" w:hAnsi="Times New Roman" w:cs="Times New Roman"/>
      </w:rPr>
    </w:pPr>
    <w:r>
      <w:rPr>
        <w:rFonts w:cs="Times New Roman" w:ascii="Times New Roman" w:hAnsi="Times New Roman"/>
        <w:color w:val="auto"/>
      </w:rPr>
      <w:t>enron monterrey POWER PROJECT</w:t>
      <w:tab/>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12960" w:leader="none"/>
      </w:tabs>
      <w:jc w:val="start"/>
      <w:rPr>
        <w:rFonts w:ascii="Times New Roman" w:hAnsi="Times New Roman" w:cs="Times New Roman"/>
        <w:color w:val="auto"/>
      </w:rPr>
    </w:pPr>
    <w:r>
      <w:rPr>
        <w:rFonts w:cs="Times New Roman" w:ascii="Times New Roman" w:hAnsi="Times New Roman"/>
        <w:color w:val="auto"/>
      </w:rPr>
      <w:t>enron monterrey POWER PROJECT</w:t>
      <w:tab/>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 w:val="right" w:pos="12960" w:leader="none"/>
      </w:tabs>
      <w:jc w:val="start"/>
      <w:rPr>
        <w:rFonts w:ascii="Times New Roman" w:hAnsi="Times New Roman" w:cs="Times New Roman"/>
      </w:rPr>
    </w:pPr>
    <w:r>
      <w:rPr>
        <w:rFonts w:cs="Times New Roman" w:ascii="Times New Roman" w:hAnsi="Times New Roman"/>
        <w:color w:val="auto"/>
      </w:rPr>
      <w:t>enron monterrey POWER PROJECT</w:t>
      <w:tab/>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 w:val="right" w:pos="12960" w:leader="none"/>
      </w:tabs>
      <w:jc w:val="start"/>
      <w:rPr>
        <w:rFonts w:ascii="Times New Roman" w:hAnsi="Times New Roman" w:cs="Times New Roman"/>
        <w:color w:val="auto"/>
      </w:rPr>
    </w:pPr>
    <w:r>
      <w:rPr>
        <w:rFonts w:cs="Times New Roman" w:ascii="Times New Roman" w:hAnsi="Times New Roman"/>
        <w:color w:val="auto"/>
      </w:rPr>
      <w:t>enron monterrey POWER PROJECT</w:t>
      <w:tab/>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jc w:val="start"/>
      <w:rPr>
        <w:rFonts w:ascii="Times New Roman" w:hAnsi="Times New Roman" w:cs="Times New Roman"/>
        <w:color w:val="auto"/>
      </w:rPr>
    </w:pPr>
    <w:r>
      <w:rPr>
        <w:rFonts w:cs="Times New Roman" w:ascii="Times New Roman" w:hAnsi="Times New Roman"/>
        <w:color w:val="auto"/>
      </w:rPr>
      <w:t>enron monterrey POWER PROJECT</w:t>
      <w:tab/>
      <w:t xml:space="preserve"> </w:t>
    </w:r>
  </w:p>
  <w:p>
    <w:pPr>
      <w:pStyle w:val="Header"/>
      <w:ind w:start="-2160" w:end="0"/>
      <w:rPr>
        <w:rFonts w:ascii="Times New Roman" w:hAnsi="Times New Roman" w:cs="Times New Roman"/>
        <w:smallCaps/>
        <w:sz w:val="20"/>
        <w:lang w:val="en-CA"/>
      </w:rPr>
    </w:pPr>
    <w:r>
      <w:rPr>
        <w:rFonts w:cs="Times New Roman"/>
        <w:smallCaps/>
        <w:sz w:val="20"/>
        <w:lang w:val="en-CA"/>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de"/>
      <w:rPr/>
    </w:pPr>
    <w:r>
      <w:rPr/>
    </w:r>
  </w:p>
  <w:p>
    <w:pPr>
      <w:pStyle w:val="RedLine"/>
      <w:pBdr>
        <w:bottom w:val="single" w:sz="18" w:space="3" w:color="000000"/>
      </w:pBdr>
      <w:tabs>
        <w:tab w:val="clear" w:pos="720"/>
        <w:tab w:val="right" w:pos="9360" w:leader="none"/>
      </w:tabs>
      <w:spacing w:before="520" w:after="400"/>
      <w:jc w:val="start"/>
      <w:rPr>
        <w:rFonts w:ascii="Times New Roman" w:hAnsi="Times New Roman" w:cs="Times New Roman"/>
        <w:color w:val="auto"/>
      </w:rPr>
    </w:pPr>
    <w:r>
      <w:rPr>
        <w:rFonts w:cs="Times New Roman" w:ascii="Times New Roman" w:hAnsi="Times New Roman"/>
        <w:color w:val="auto"/>
      </w:rPr>
      <w:t>enron monterrey Power Project</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360"/>
        </w:tabs>
        <w:ind w:start="360" w:hanging="36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numFmt w:val="decimal"/>
      <w:lvlText w:val="%1"/>
      <w:lvlJc w:val="start"/>
      <w:pPr>
        <w:tabs>
          <w:tab w:val="num" w:pos="0"/>
        </w:tabs>
        <w:ind w:start="0" w:hanging="0"/>
      </w:p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decimal"/>
      <w:lvlText w:val="(%1)"/>
      <w:lvlJc w:val="start"/>
      <w:pPr>
        <w:tabs>
          <w:tab w:val="num" w:pos="389"/>
        </w:tabs>
        <w:ind w:start="389" w:hanging="360"/>
      </w:pPr>
      <w:rPr/>
    </w:lvl>
  </w:abstractNum>
  <w:abstractNum w:abstractNumId="8">
    <w:lvl w:ilvl="0">
      <w:start w:val="1"/>
      <w:numFmt w:val="bullet"/>
      <w:lvlText w:val=""/>
      <w:lvlJc w:val="start"/>
      <w:pPr>
        <w:tabs>
          <w:tab w:val="num" w:pos="360"/>
        </w:tabs>
        <w:ind w:start="360" w:hanging="360"/>
      </w:pPr>
      <w:rPr>
        <w:rFonts w:ascii="Wingdings" w:hAnsi="Wingdings" w:cs="Wingdings" w:hint="default"/>
        <w:sz w:val="20"/>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Letter"/>
      <w:lvlText w:val="%1."/>
      <w:lvlJc w:val="start"/>
      <w:pPr>
        <w:tabs>
          <w:tab w:val="num" w:pos="360"/>
        </w:tabs>
        <w:ind w:start="72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numFmt w:val="bullet"/>
      <w:lvlText w:val=""/>
      <w:lvlJc w:val="start"/>
      <w:pPr>
        <w:tabs>
          <w:tab w:val="num" w:pos="360"/>
        </w:tabs>
        <w:ind w:start="360" w:hanging="360"/>
      </w:pPr>
      <w:rPr>
        <w:rFonts w:ascii="Wingdings" w:hAnsi="Wingdings" w:cs="Wingdings" w:hint="default"/>
        <w:sz w:val="18"/>
        <w:color w:val="000000"/>
      </w:r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2"/>
      <w:szCs w:val="20"/>
      <w:lang w:val="en-US" w:eastAsia="zh-CN" w:bidi="hi-IN"/>
    </w:rPr>
  </w:style>
  <w:style w:type="paragraph" w:styleId="Heading1">
    <w:name w:val="heading 1"/>
    <w:basedOn w:val="Normal"/>
    <w:next w:val="Normal"/>
    <w:qFormat/>
    <w:pPr>
      <w:keepNext w:val="true"/>
      <w:numPr>
        <w:ilvl w:val="0"/>
        <w:numId w:val="1"/>
      </w:numPr>
      <w:spacing w:before="240" w:after="0"/>
      <w:jc w:val="both"/>
      <w:outlineLvl w:val="0"/>
    </w:pPr>
    <w:rPr>
      <w:i/>
    </w:rPr>
  </w:style>
  <w:style w:type="paragraph" w:styleId="Heading2">
    <w:name w:val="heading 2"/>
    <w:basedOn w:val="Normal"/>
    <w:next w:val="Normal"/>
    <w:qFormat/>
    <w:pPr>
      <w:keepNext w:val="true"/>
      <w:numPr>
        <w:ilvl w:val="1"/>
        <w:numId w:val="1"/>
      </w:numPr>
      <w:spacing w:before="240" w:after="60"/>
      <w:outlineLvl w:val="1"/>
    </w:pPr>
    <w:rPr>
      <w:rFonts w:ascii="SG LucidaT" w:hAnsi="SG LucidaT" w:cs="SG LucidaT"/>
      <w:b/>
      <w:smallCaps/>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u w:val="single"/>
    </w:rPr>
  </w:style>
  <w:style w:type="paragraph" w:styleId="Heading5">
    <w:name w:val="heading 5"/>
    <w:basedOn w:val="Normal"/>
    <w:next w:val="Normal"/>
    <w:qFormat/>
    <w:pPr>
      <w:keepNext w:val="true"/>
      <w:numPr>
        <w:ilvl w:val="4"/>
        <w:numId w:val="1"/>
      </w:numPr>
      <w:spacing w:before="240" w:after="120"/>
      <w:outlineLvl w:val="4"/>
    </w:pPr>
    <w:rPr>
      <w:rFonts w:ascii="SG LucidaT" w:hAnsi="SG LucidaT" w:cs="SG LucidaT"/>
      <w:b/>
      <w:smallCaps/>
      <w:sz w:val="28"/>
    </w:rPr>
  </w:style>
  <w:style w:type="paragraph" w:styleId="Heading6">
    <w:name w:val="heading 6"/>
    <w:basedOn w:val="Normal"/>
    <w:next w:val="Normal"/>
    <w:qFormat/>
    <w:pPr>
      <w:keepNext w:val="true"/>
      <w:numPr>
        <w:ilvl w:val="0"/>
        <w:numId w:val="2"/>
      </w:numPr>
      <w:tabs>
        <w:tab w:val="clear" w:pos="720"/>
        <w:tab w:val="left" w:pos="360" w:leader="none"/>
      </w:tabs>
      <w:outlineLvl w:val="5"/>
    </w:pPr>
    <w:rPr>
      <w:rFonts w:ascii="SG LucidaT" w:hAnsi="SG LucidaT" w:cs="SG LucidaT"/>
      <w:b/>
      <w:smallCaps/>
      <w:sz w:val="24"/>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keepNext w:val="true"/>
      <w:numPr>
        <w:ilvl w:val="7"/>
        <w:numId w:val="1"/>
      </w:numPr>
      <w:outlineLvl w:val="7"/>
    </w:pPr>
    <w:rPr>
      <w:rFonts w:ascii="SG LucidaSans" w:hAnsi="SG LucidaSans" w:cs="SG LucidaSans"/>
      <w:b/>
      <w:smallCaps/>
    </w:rPr>
  </w:style>
  <w:style w:type="paragraph" w:styleId="Heading9">
    <w:name w:val="heading 9"/>
    <w:basedOn w:val="Normal"/>
    <w:next w:val="Normal"/>
    <w:qFormat/>
    <w:pPr>
      <w:keepNext w:val="true"/>
      <w:numPr>
        <w:ilvl w:val="8"/>
        <w:numId w:val="1"/>
      </w:numPr>
      <w:outlineLvl w:val="8"/>
    </w:pPr>
    <w:rPr>
      <w:smallCaps/>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b w:val="false"/>
      <w:sz w:val="15"/>
    </w:rPr>
  </w:style>
  <w:style w:type="character" w:styleId="WW8Num17z0">
    <w:name w:val="WW8Num17z0"/>
    <w:qFormat/>
    <w:rPr>
      <w:rFonts w:ascii="Wingdings" w:hAnsi="Wingdings" w:cs="Wingdings"/>
    </w:rPr>
  </w:style>
  <w:style w:type="character" w:styleId="WW8Num18z0">
    <w:name w:val="WW8Num18z0"/>
    <w:qFormat/>
    <w:rPr>
      <w:rFonts w:ascii="LucidaSans;Times New Roman" w:hAnsi="LucidaSans;Times New Roman" w:cs="LucidaSans;Times New Roman"/>
    </w:rPr>
  </w:style>
  <w:style w:type="character" w:styleId="WW8Num19z0">
    <w:name w:val="WW8Num19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b w:val="false"/>
      <w:sz w:val="15"/>
    </w:rPr>
  </w:style>
  <w:style w:type="character" w:styleId="WW8Num35z0">
    <w:name w:val="WW8Num35z0"/>
    <w:qFormat/>
    <w:rPr>
      <w:rFonts w:ascii="Wingdings" w:hAnsi="Wingdings" w:cs="Wingdings"/>
    </w:rPr>
  </w:style>
  <w:style w:type="character" w:styleId="WW8Num41z0">
    <w:name w:val="WW8Num41z0"/>
    <w:qFormat/>
    <w:rPr>
      <w:rFonts w:ascii="Symbol" w:hAnsi="Symbol" w:cs="Symbol"/>
      <w:sz w:val="20"/>
    </w:rPr>
  </w:style>
  <w:style w:type="character" w:styleId="WW8Num42z0">
    <w:name w:val="WW8Num42z0"/>
    <w:qFormat/>
    <w:rPr>
      <w:rFonts w:ascii="Wingdings" w:hAnsi="Wingdings" w:cs="Wingdings"/>
      <w:sz w:val="20"/>
    </w:rPr>
  </w:style>
  <w:style w:type="character" w:styleId="WW8Num43z0">
    <w:name w:val="WW8Num43z0"/>
    <w:qFormat/>
    <w:rPr>
      <w:rFonts w:ascii="Symbol" w:hAnsi="Symbol" w:cs="Symbol"/>
    </w:rPr>
  </w:style>
  <w:style w:type="character" w:styleId="WW8Num47z0">
    <w:name w:val="WW8Num47z0"/>
    <w:qFormat/>
    <w:rPr>
      <w:b w:val="false"/>
      <w:sz w:val="15"/>
    </w:rPr>
  </w:style>
  <w:style w:type="character" w:styleId="WW8Num49z0">
    <w:name w:val="WW8Num49z0"/>
    <w:qFormat/>
    <w:rPr>
      <w:rFonts w:ascii="Wingdings" w:hAnsi="Wingdings" w:cs="Wingdings"/>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b w:val="false"/>
      <w:sz w:val="15"/>
    </w:rPr>
  </w:style>
  <w:style w:type="character" w:styleId="WW8Num54z0">
    <w:name w:val="WW8Num54z0"/>
    <w:qFormat/>
    <w:rPr>
      <w:rFonts w:ascii="Wingdings" w:hAnsi="Wingdings" w:cs="Wingdings"/>
    </w:rPr>
  </w:style>
  <w:style w:type="character" w:styleId="WW8Num56z0">
    <w:name w:val="WW8Num56z0"/>
    <w:qFormat/>
    <w:rPr/>
  </w:style>
  <w:style w:type="character" w:styleId="WW8Num57z0">
    <w:name w:val="WW8Num57z0"/>
    <w:qFormat/>
    <w:rPr>
      <w:b w:val="false"/>
      <w:sz w:val="15"/>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5z0">
    <w:name w:val="WW8Num65z0"/>
    <w:qFormat/>
    <w:rPr/>
  </w:style>
  <w:style w:type="character" w:styleId="WW8Num66z0">
    <w:name w:val="WW8Num66z0"/>
    <w:qFormat/>
    <w:rPr>
      <w:rFonts w:ascii="Symbol" w:hAnsi="Symbol" w:cs="Symbol"/>
    </w:rPr>
  </w:style>
  <w:style w:type="character" w:styleId="WW8Num68z0">
    <w:name w:val="WW8Num68z0"/>
    <w:qFormat/>
    <w:rPr>
      <w:rFonts w:ascii="Symbol" w:hAnsi="Symbol" w:cs="Symbol"/>
      <w:color w:val="auto"/>
    </w:rPr>
  </w:style>
  <w:style w:type="character" w:styleId="WW8Num69z0">
    <w:name w:val="WW8Num69z0"/>
    <w:qFormat/>
    <w:rPr/>
  </w:style>
  <w:style w:type="character" w:styleId="WW8Num71z0">
    <w:name w:val="WW8Num71z0"/>
    <w:qFormat/>
    <w:rPr>
      <w:rFonts w:ascii="Wingdings" w:hAnsi="Wingdings" w:cs="Wingdings"/>
    </w:rPr>
  </w:style>
  <w:style w:type="character" w:styleId="WW8Num73z0">
    <w:name w:val="WW8Num73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b w:val="false"/>
      <w:sz w:val="15"/>
    </w:rPr>
  </w:style>
  <w:style w:type="character" w:styleId="WW8Num80z0">
    <w:name w:val="WW8Num80z0"/>
    <w:qFormat/>
    <w:rPr/>
  </w:style>
  <w:style w:type="character" w:styleId="WW8Num81z0">
    <w:name w:val="WW8Num81z0"/>
    <w:qFormat/>
    <w:rPr>
      <w:rFonts w:ascii="Wingdings" w:hAnsi="Wingdings" w:cs="Wingdings"/>
      <w:sz w:val="20"/>
    </w:rPr>
  </w:style>
  <w:style w:type="character" w:styleId="WW8Num83z0">
    <w:name w:val="WW8Num83z0"/>
    <w:qFormat/>
    <w:rPr>
      <w:rFonts w:ascii="Wingdings" w:hAnsi="Wingdings" w:cs="Wingdings"/>
    </w:rPr>
  </w:style>
  <w:style w:type="character" w:styleId="WW8Num84z0">
    <w:name w:val="WW8Num84z0"/>
    <w:qFormat/>
    <w:rPr>
      <w:b w:val="false"/>
      <w:sz w:val="15"/>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color w:val="000000"/>
      <w:sz w:val="18"/>
    </w:rPr>
  </w:style>
  <w:style w:type="character" w:styleId="WW8Num87z0">
    <w:name w:val="WW8Num87z0"/>
    <w:qFormat/>
    <w:rPr>
      <w:rFonts w:ascii="Wingdings" w:hAnsi="Wingdings" w:cs="Wingdings"/>
    </w:rPr>
  </w:style>
  <w:style w:type="character" w:styleId="WW8Num88z0">
    <w:name w:val="WW8Num88z0"/>
    <w:qFormat/>
    <w:rPr>
      <w:b w:val="false"/>
      <w:sz w:val="15"/>
    </w:rPr>
  </w:style>
  <w:style w:type="character" w:styleId="WW8Num89z0">
    <w:name w:val="WW8Num89z0"/>
    <w:qFormat/>
    <w:rPr/>
  </w:style>
  <w:style w:type="character" w:styleId="WW8Num90z0">
    <w:name w:val="WW8Num90z0"/>
    <w:qFormat/>
    <w:rPr>
      <w:b w:val="false"/>
      <w:i w:val="false"/>
      <w:sz w:val="24"/>
    </w:rPr>
  </w:style>
  <w:style w:type="character" w:styleId="WW8Num92z0">
    <w:name w:val="WW8Num92z0"/>
    <w:qFormat/>
    <w:rPr>
      <w:b w:val="false"/>
      <w:sz w:val="15"/>
    </w:rPr>
  </w:style>
  <w:style w:type="character" w:styleId="WW8Num95z0">
    <w:name w:val="WW8Num95z0"/>
    <w:qFormat/>
    <w:rPr>
      <w:b w:val="false"/>
      <w:sz w:val="15"/>
    </w:rPr>
  </w:style>
  <w:style w:type="character" w:styleId="WW8Num96z0">
    <w:name w:val="WW8Num96z0"/>
    <w:qFormat/>
    <w:rPr>
      <w:b w:val="false"/>
      <w:sz w:val="15"/>
    </w:rPr>
  </w:style>
  <w:style w:type="character" w:styleId="WW8Num97z0">
    <w:name w:val="WW8Num97z0"/>
    <w:qFormat/>
    <w:rPr/>
  </w:style>
  <w:style w:type="character" w:styleId="WW8Num98z0">
    <w:name w:val="WW8Num98z0"/>
    <w:qFormat/>
    <w:rPr>
      <w:rFonts w:ascii="Wingdings" w:hAnsi="Wingdings" w:cs="Wingdings"/>
      <w:sz w:val="20"/>
    </w:rPr>
  </w:style>
  <w:style w:type="character" w:styleId="WW8Num108z0">
    <w:name w:val="WW8Num108z0"/>
    <w:qFormat/>
    <w:rPr>
      <w:rFonts w:ascii="Symbol" w:hAnsi="Symbol" w:cs="Symbol"/>
    </w:rPr>
  </w:style>
  <w:style w:type="character" w:styleId="WW8Num109z0">
    <w:name w:val="WW8Num109z0"/>
    <w:qFormat/>
    <w:rPr>
      <w:b w:val="false"/>
      <w:i w:val="false"/>
      <w:sz w:val="20"/>
    </w:rPr>
  </w:style>
  <w:style w:type="character" w:styleId="WW8Num110z0">
    <w:name w:val="WW8Num110z0"/>
    <w:qFormat/>
    <w:rPr/>
  </w:style>
  <w:style w:type="character" w:styleId="WW8Num114z0">
    <w:name w:val="WW8Num114z0"/>
    <w:qFormat/>
    <w:rPr>
      <w:rFonts w:ascii="Wingdings" w:hAnsi="Wingdings" w:cs="Wingdings"/>
      <w:sz w:val="20"/>
    </w:rPr>
  </w:style>
  <w:style w:type="character" w:styleId="WW8Num115z0">
    <w:name w:val="WW8Num115z0"/>
    <w:qFormat/>
    <w:rPr>
      <w:b w:val="false"/>
      <w:sz w:val="15"/>
    </w:rPr>
  </w:style>
  <w:style w:type="character" w:styleId="WW8Num116z0">
    <w:name w:val="WW8Num116z0"/>
    <w:qFormat/>
    <w:rPr>
      <w:rFonts w:ascii="Wingdings" w:hAnsi="Wingdings" w:cs="Wingdings"/>
    </w:rPr>
  </w:style>
  <w:style w:type="character" w:styleId="WW8Num117z0">
    <w:name w:val="WW8Num117z0"/>
    <w:qFormat/>
    <w:rPr>
      <w:b w:val="false"/>
      <w:sz w:val="15"/>
    </w:rPr>
  </w:style>
  <w:style w:type="character" w:styleId="WW8Num118z0">
    <w:name w:val="WW8Num118z0"/>
    <w:qFormat/>
    <w:rPr/>
  </w:style>
  <w:style w:type="character" w:styleId="WW8Num120z0">
    <w:name w:val="WW8Num120z0"/>
    <w:qFormat/>
    <w:rPr>
      <w:rFonts w:ascii="Wingdings" w:hAnsi="Wingdings" w:cs="Wingdings"/>
    </w:rPr>
  </w:style>
  <w:style w:type="character" w:styleId="WW8Num122z0">
    <w:name w:val="WW8Num122z0"/>
    <w:qFormat/>
    <w:rPr>
      <w:rFonts w:ascii="Wingdings" w:hAnsi="Wingdings" w:cs="Wingdings"/>
    </w:rPr>
  </w:style>
  <w:style w:type="character" w:styleId="WW8Num125z0">
    <w:name w:val="WW8Num125z0"/>
    <w:qFormat/>
    <w:rPr>
      <w:rFonts w:ascii="Wingdings" w:hAnsi="Wingdings" w:cs="Wingdings"/>
    </w:rPr>
  </w:style>
  <w:style w:type="character" w:styleId="WW8Num128z0">
    <w:name w:val="WW8Num128z0"/>
    <w:qFormat/>
    <w:rPr/>
  </w:style>
  <w:style w:type="character" w:styleId="WW8Num129z0">
    <w:name w:val="WW8Num129z0"/>
    <w:qFormat/>
    <w:rPr>
      <w:rFonts w:ascii="Wingdings" w:hAnsi="Wingdings" w:cs="Wingdings"/>
    </w:rPr>
  </w:style>
  <w:style w:type="character" w:styleId="WW8Num134z0">
    <w:name w:val="WW8Num134z0"/>
    <w:qFormat/>
    <w:rPr>
      <w:rFonts w:ascii="Symbol" w:hAnsi="Symbol" w:cs="Symbol"/>
    </w:rPr>
  </w:style>
  <w:style w:type="character" w:styleId="WW8Num136z0">
    <w:name w:val="WW8Num136z0"/>
    <w:qFormat/>
    <w:rPr>
      <w:rFonts w:ascii="Wingdings" w:hAnsi="Wingdings" w:cs="Wingdings"/>
    </w:rPr>
  </w:style>
  <w:style w:type="character" w:styleId="WW8Num137z0">
    <w:name w:val="WW8Num137z0"/>
    <w:qFormat/>
    <w:rPr>
      <w:rFonts w:ascii="Wingdings" w:hAnsi="Wingdings" w:cs="Wingdings"/>
    </w:rPr>
  </w:style>
  <w:style w:type="character" w:styleId="WW8Num140z0">
    <w:name w:val="WW8Num140z0"/>
    <w:qFormat/>
    <w:rPr>
      <w:rFonts w:ascii="Wingdings" w:hAnsi="Wingdings" w:cs="Wingdings"/>
      <w:color w:val="000000"/>
      <w:sz w:val="18"/>
    </w:rPr>
  </w:style>
  <w:style w:type="character" w:styleId="WW8Num141z0">
    <w:name w:val="WW8Num141z0"/>
    <w:qFormat/>
    <w:rPr>
      <w:b w:val="false"/>
      <w:sz w:val="15"/>
    </w:rPr>
  </w:style>
  <w:style w:type="character" w:styleId="WW8Num143z0">
    <w:name w:val="WW8Num143z0"/>
    <w:qFormat/>
    <w:rPr>
      <w:b w:val="false"/>
      <w:i w:val="false"/>
      <w:sz w:val="24"/>
    </w:rPr>
  </w:style>
  <w:style w:type="character" w:styleId="WW8Num145z0">
    <w:name w:val="WW8Num145z0"/>
    <w:qFormat/>
    <w:rPr/>
  </w:style>
  <w:style w:type="character" w:styleId="WW8Num147z0">
    <w:name w:val="WW8Num147z0"/>
    <w:qFormat/>
    <w:rPr>
      <w:b w:val="false"/>
      <w:sz w:val="15"/>
    </w:rPr>
  </w:style>
  <w:style w:type="character" w:styleId="WW8Num148z0">
    <w:name w:val="WW8Num148z0"/>
    <w:qFormat/>
    <w:rPr>
      <w:b w:val="false"/>
      <w:sz w:val="15"/>
    </w:rPr>
  </w:style>
  <w:style w:type="character" w:styleId="WW8Num149z0">
    <w:name w:val="WW8Num149z0"/>
    <w:qFormat/>
    <w:rPr>
      <w:b w:val="false"/>
      <w:i w:val="false"/>
      <w:sz w:val="24"/>
    </w:rPr>
  </w:style>
  <w:style w:type="character" w:styleId="WW8Num151z0">
    <w:name w:val="WW8Num151z0"/>
    <w:qFormat/>
    <w:rPr>
      <w:b w:val="false"/>
      <w:sz w:val="15"/>
    </w:rPr>
  </w:style>
  <w:style w:type="character" w:styleId="WW8NumSt10z0">
    <w:name w:val="WW8NumSt10z0"/>
    <w:qFormat/>
    <w:rPr>
      <w:rFonts w:ascii="Symbol" w:hAnsi="Symbol" w:cs="Symbol"/>
      <w:color w:val="000000"/>
    </w:rPr>
  </w:style>
  <w:style w:type="character" w:styleId="WW8NumSt11z0">
    <w:name w:val="WW8NumSt11z0"/>
    <w:qFormat/>
    <w:rPr>
      <w:rFonts w:ascii="Wingdings" w:hAnsi="Wingdings" w:cs="Wingdings"/>
      <w:color w:val="000000"/>
      <w:sz w:val="18"/>
    </w:rPr>
  </w:style>
  <w:style w:type="character" w:styleId="WW8NumSt12z0">
    <w:name w:val="WW8NumSt12z0"/>
    <w:qFormat/>
    <w:rPr>
      <w:sz w:val="28"/>
    </w:rPr>
  </w:style>
  <w:style w:type="character" w:styleId="WW8NumSt13z0">
    <w:name w:val="WW8NumSt13z0"/>
    <w:qFormat/>
    <w:rPr>
      <w:rFonts w:ascii="Symbol" w:hAnsi="Symbol" w:cs="Symbol"/>
    </w:rPr>
  </w:style>
  <w:style w:type="character" w:styleId="WW8NumSt14z0">
    <w:name w:val="WW8NumSt14z0"/>
    <w:qFormat/>
    <w:rPr>
      <w:rFonts w:ascii="Symbol" w:hAnsi="Symbol" w:cs="Symbol"/>
    </w:rPr>
  </w:style>
  <w:style w:type="character" w:styleId="WW8NumSt15z0">
    <w:name w:val="WW8NumSt15z0"/>
    <w:qFormat/>
    <w:rPr>
      <w:rFonts w:ascii="Symbol" w:hAnsi="Symbol" w:cs="Symbol"/>
      <w:sz w:val="20"/>
    </w:rPr>
  </w:style>
  <w:style w:type="character" w:styleId="WW8NumSt19z0">
    <w:name w:val="WW8NumSt19z0"/>
    <w:qFormat/>
    <w:rPr>
      <w:rFonts w:ascii="Times New Roman" w:hAnsi="Times New Roman" w:cs="Times New Roman"/>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Style11">
    <w:name w:val="Style1"/>
    <w:basedOn w:val="DefaultParagraphFont"/>
    <w:qFormat/>
    <w:rPr>
      <w:rFonts w:ascii="Times New Roman" w:hAnsi="Times New Roman" w:cs="Times New Roman"/>
    </w:rPr>
  </w:style>
  <w:style w:type="character" w:styleId="TOCPageNumber">
    <w:name w:val="TOC Page Number"/>
    <w:basedOn w:val="DefaultParagraphFont"/>
    <w:qFormat/>
    <w:rPr>
      <w:sz w:val="20"/>
    </w:rPr>
  </w:style>
  <w:style w:type="character" w:styleId="WP9PageNumber">
    <w:name w:val="WP9_Page Number"/>
    <w:qFormat/>
    <w:rPr>
      <w:sz w:val="20"/>
    </w:rPr>
  </w:style>
  <w:style w:type="paragraph" w:styleId="Heading">
    <w:name w:val="Heading"/>
    <w:basedOn w:val="Normal"/>
    <w:next w:val="BodyText"/>
    <w:qFormat/>
    <w:pPr>
      <w:jc w:val="center"/>
    </w:pPr>
    <w:rPr>
      <w:b/>
      <w:color w:val="auto"/>
      <w:sz w:val="28"/>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keepNext w:val="true"/>
      <w:spacing w:before="120" w:after="0"/>
      <w:jc w:val="center"/>
    </w:pPr>
    <w:rPr>
      <w:rFonts w:ascii="Lucida Sans Unicode" w:hAnsi="Lucida Sans Unicode" w:cs="Lucida Sans Unicode"/>
      <w:b/>
      <w:smallCaps/>
      <w:sz w:val="28"/>
    </w:rPr>
  </w:style>
  <w:style w:type="paragraph" w:styleId="Index">
    <w:name w:val="Index"/>
    <w:basedOn w:val="Normal"/>
    <w:qFormat/>
    <w:pPr>
      <w:suppressLineNumbers/>
    </w:pPr>
    <w:rPr>
      <w:rFonts w:cs="NotoSans NF"/>
    </w:rPr>
  </w:style>
  <w:style w:type="paragraph" w:styleId="Body">
    <w:name w:val="Body"/>
    <w:basedOn w:val="Normal"/>
    <w:qFormat/>
    <w:pPr>
      <w:spacing w:before="200" w:after="0"/>
      <w:jc w:val="both"/>
    </w:pPr>
    <w:rPr/>
  </w:style>
  <w:style w:type="paragraph" w:styleId="Bullet1">
    <w:name w:val="Bullet 1"/>
    <w:basedOn w:val="Normal"/>
    <w:qFormat/>
    <w:pPr>
      <w:numPr>
        <w:ilvl w:val="0"/>
        <w:numId w:val="12"/>
      </w:numPr>
      <w:tabs>
        <w:tab w:val="clear" w:pos="720"/>
        <w:tab w:val="left" w:pos="360" w:leader="none"/>
      </w:tabs>
      <w:spacing w:before="60" w:after="0"/>
      <w:jc w:val="both"/>
    </w:pPr>
    <w:rPr/>
  </w:style>
  <w:style w:type="paragraph" w:styleId="CoverSpacer">
    <w:name w:val="Cover Spacer"/>
    <w:next w:val="CoverSidetext"/>
    <w:qFormat/>
    <w:pPr>
      <w:widowControl/>
      <w:bidi w:val="0"/>
      <w:spacing w:before="0" w:after="1040"/>
    </w:pPr>
    <w:rPr>
      <w:rFonts w:ascii="Arial" w:hAnsi="Arial" w:eastAsia="Times New Roman" w:cs="Arial"/>
      <w:color w:val="auto"/>
      <w:sz w:val="22"/>
      <w:szCs w:val="20"/>
      <w:lang w:val="en-CA" w:eastAsia="zh-CN" w:bidi="hi-IN"/>
    </w:rPr>
  </w:style>
  <w:style w:type="paragraph" w:styleId="CoverSidetext">
    <w:name w:val="Cover Sidetext"/>
    <w:next w:val="CoverTitle"/>
    <w:qFormat/>
    <w:pPr>
      <w:widowControl/>
      <w:bidi w:val="0"/>
      <w:spacing w:lineRule="exact" w:line="280" w:before="180" w:after="0"/>
    </w:pPr>
    <w:rPr>
      <w:rFonts w:ascii="Arial" w:hAnsi="Arial" w:eastAsia="Times New Roman" w:cs="Arial"/>
      <w:b/>
      <w:color w:val="auto"/>
      <w:sz w:val="20"/>
      <w:szCs w:val="20"/>
      <w:lang w:val="en-US" w:eastAsia="zh-CN" w:bidi="hi-IN"/>
    </w:rPr>
  </w:style>
  <w:style w:type="paragraph" w:styleId="CoverTitle">
    <w:name w:val="Cover Title"/>
    <w:next w:val="CoverLogo"/>
    <w:qFormat/>
    <w:pPr>
      <w:widowControl/>
      <w:bidi w:val="0"/>
      <w:spacing w:lineRule="exact" w:line="480"/>
      <w:ind w:hanging="0" w:start="0" w:end="893"/>
    </w:pPr>
    <w:rPr>
      <w:rFonts w:ascii="Arial" w:hAnsi="Arial" w:eastAsia="Times New Roman" w:cs="Arial"/>
      <w:b/>
      <w:color w:val="auto"/>
      <w:sz w:val="32"/>
      <w:szCs w:val="20"/>
      <w:lang w:val="en-US" w:eastAsia="zh-CN" w:bidi="hi-IN"/>
    </w:rPr>
  </w:style>
  <w:style w:type="paragraph" w:styleId="CoverLogo">
    <w:name w:val="Cover Logo"/>
    <w:next w:val="CoverSubtitle"/>
    <w:qFormat/>
    <w:pPr>
      <w:widowControl/>
      <w:bidi w:val="0"/>
      <w:spacing w:before="240" w:after="0"/>
      <w:ind w:hanging="0" w:start="0" w:end="893"/>
    </w:pPr>
    <w:rPr>
      <w:rFonts w:ascii="Arial" w:hAnsi="Arial" w:eastAsia="Times New Roman" w:cs="Arial"/>
      <w:color w:val="auto"/>
      <w:sz w:val="20"/>
      <w:szCs w:val="20"/>
      <w:lang w:val="en-CA" w:eastAsia="zh-CN" w:bidi="hi-IN"/>
    </w:rPr>
  </w:style>
  <w:style w:type="paragraph" w:styleId="CoverSubtitle">
    <w:name w:val="Cover Subtitle"/>
    <w:next w:val="Body"/>
    <w:qFormat/>
    <w:pPr>
      <w:widowControl/>
      <w:bidi w:val="0"/>
      <w:spacing w:lineRule="exact" w:line="480"/>
      <w:ind w:hanging="0" w:start="0" w:end="893"/>
    </w:pPr>
    <w:rPr>
      <w:rFonts w:ascii="Arial" w:hAnsi="Arial" w:eastAsia="Times New Roman" w:cs="Arial"/>
      <w:color w:val="auto"/>
      <w:sz w:val="32"/>
      <w:szCs w:val="20"/>
      <w:lang w:val="en-US" w:eastAsia="zh-CN" w:bidi="hi-IN"/>
    </w:rPr>
  </w:style>
  <w:style w:type="paragraph" w:styleId="PageTitleOneLine">
    <w:name w:val="Page Title (One Line)"/>
    <w:next w:val="Body"/>
    <w:qFormat/>
    <w:pPr>
      <w:pageBreakBefore/>
      <w:widowControl/>
      <w:bidi w:val="0"/>
      <w:spacing w:lineRule="exact" w:line="340"/>
    </w:pPr>
    <w:rPr>
      <w:rFonts w:ascii="Arial" w:hAnsi="Arial" w:eastAsia="Times New Roman" w:cs="Arial"/>
      <w:b/>
      <w:color w:val="auto"/>
      <w:sz w:val="28"/>
      <w:szCs w:val="20"/>
      <w:lang w:val="en-US" w:eastAsia="zh-CN" w:bidi="hi-IN"/>
    </w:rPr>
  </w:style>
  <w:style w:type="paragraph" w:styleId="TOC-PageTitle">
    <w:name w:val="TOC-Page Title"/>
    <w:basedOn w:val="PageTitleOneLine"/>
    <w:qFormat/>
    <w:pPr/>
    <w:rPr/>
  </w:style>
  <w:style w:type="paragraph" w:styleId="TOC-Section">
    <w:name w:val="TOC-Section"/>
    <w:next w:val="TOC-Subsection"/>
    <w:qFormat/>
    <w:pPr>
      <w:widowControl/>
      <w:tabs>
        <w:tab w:val="clear" w:pos="720"/>
        <w:tab w:val="right" w:pos="-144" w:leader="none"/>
        <w:tab w:val="right" w:pos="6480" w:leader="none"/>
      </w:tabs>
      <w:bidi w:val="0"/>
      <w:spacing w:lineRule="exact" w:line="280" w:before="320" w:after="0"/>
      <w:ind w:hanging="720" w:start="0" w:end="0"/>
    </w:pPr>
    <w:rPr>
      <w:rFonts w:ascii="Arial" w:hAnsi="Arial" w:eastAsia="Times New Roman" w:cs="Arial"/>
      <w:b/>
      <w:color w:val="auto"/>
      <w:sz w:val="22"/>
      <w:szCs w:val="20"/>
      <w:lang w:val="en-US" w:eastAsia="zh-CN" w:bidi="hi-IN"/>
    </w:rPr>
  </w:style>
  <w:style w:type="paragraph" w:styleId="TOC-Subsection">
    <w:name w:val="TOC-Subsection"/>
    <w:qFormat/>
    <w:pPr>
      <w:widowControl/>
      <w:tabs>
        <w:tab w:val="clear" w:pos="720"/>
        <w:tab w:val="right" w:pos="6480" w:leader="dot"/>
      </w:tabs>
      <w:bidi w:val="0"/>
      <w:spacing w:lineRule="exact" w:line="280"/>
    </w:pPr>
    <w:rPr>
      <w:rFonts w:ascii="Arial" w:hAnsi="Arial" w:eastAsia="Times New Roman" w:cs="Arial"/>
      <w:color w:val="auto"/>
      <w:sz w:val="22"/>
      <w:szCs w:val="20"/>
      <w:lang w:val="en-US" w:eastAsia="zh-CN" w:bidi="hi-IN"/>
    </w:rPr>
  </w:style>
  <w:style w:type="paragraph" w:styleId="Company-NewPage">
    <w:name w:val="Company-NewPage"/>
    <w:basedOn w:val="Normal"/>
    <w:qFormat/>
    <w:pPr>
      <w:pageBreakBefore/>
      <w:spacing w:before="0" w:after="80"/>
    </w:pPr>
    <w:rPr>
      <w:rFonts w:ascii="Arial Black" w:hAnsi="Arial Black" w:cs="Arial Black"/>
      <w:sz w:val="24"/>
    </w:rPr>
  </w:style>
  <w:style w:type="paragraph" w:styleId="Name">
    <w:name w:val="Name"/>
    <w:basedOn w:val="Normal"/>
    <w:next w:val="TITLE"/>
    <w:qFormat/>
    <w:pPr>
      <w:spacing w:before="80" w:after="0"/>
    </w:pPr>
    <w:rPr>
      <w:rFonts w:ascii="Arial Black" w:hAnsi="Arial Black" w:cs="Arial Black"/>
      <w:sz w:val="18"/>
    </w:rPr>
  </w:style>
  <w:style w:type="paragraph" w:styleId="TITLE">
    <w:name w:val="TITLE"/>
    <w:basedOn w:val="Normal"/>
    <w:qFormat/>
    <w:pPr>
      <w:spacing w:before="0" w:after="80"/>
    </w:pPr>
    <w:rPr>
      <w:rFonts w:ascii="Arial" w:hAnsi="Arial" w:cs="Arial"/>
      <w:b/>
      <w:sz w:val="14"/>
    </w:rPr>
  </w:style>
  <w:style w:type="paragraph" w:styleId="Phone-3ptbefore">
    <w:name w:val="Phone-3pt before"/>
    <w:basedOn w:val="Name"/>
    <w:qFormat/>
    <w:pPr/>
    <w:rPr>
      <w:rFonts w:ascii="Arial Narrow" w:hAnsi="Arial Narrow" w:cs="Arial Narr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L-Name">
    <w:name w:val="CL-Name"/>
    <w:qFormat/>
    <w:pPr>
      <w:widowControl/>
      <w:bidi w:val="0"/>
      <w:spacing w:lineRule="atLeast" w:line="280"/>
    </w:pPr>
    <w:rPr>
      <w:rFonts w:ascii="Arial" w:hAnsi="Arial" w:eastAsia="Times New Roman" w:cs="Arial"/>
      <w:color w:val="auto"/>
      <w:sz w:val="20"/>
      <w:szCs w:val="20"/>
      <w:lang w:val="en-US" w:eastAsia="zh-CN" w:bidi="hi-IN"/>
    </w:rPr>
  </w:style>
  <w:style w:type="paragraph" w:styleId="Sidetext">
    <w:name w:val="Sidetext"/>
    <w:next w:val="Body"/>
    <w:qFormat/>
    <w:pPr>
      <w:widowControl/>
      <w:bidi w:val="0"/>
      <w:spacing w:lineRule="exact" w:line="280" w:before="240" w:after="0"/>
      <w:jc w:val="end"/>
    </w:pPr>
    <w:rPr>
      <w:rFonts w:ascii="Arial" w:hAnsi="Arial" w:eastAsia="Times New Roman" w:cs="Arial"/>
      <w:b/>
      <w:color w:val="auto"/>
      <w:sz w:val="20"/>
      <w:szCs w:val="20"/>
      <w:lang w:val="en-US" w:eastAsia="zh-CN" w:bidi="hi-IN"/>
    </w:rPr>
  </w:style>
  <w:style w:type="paragraph" w:styleId="BodyTextIndent2">
    <w:name w:val="Body Text Indent 2"/>
    <w:basedOn w:val="Normal"/>
    <w:qFormat/>
    <w:pPr>
      <w:spacing w:before="120" w:after="0"/>
      <w:ind w:hanging="0" w:start="90" w:end="0"/>
    </w:pPr>
    <w:rPr>
      <w:rFonts w:ascii="SG LucidaT" w:hAnsi="SG LucidaT" w:cs="SG LucidaT"/>
      <w:i/>
      <w:sz w:val="16"/>
    </w:rPr>
  </w:style>
  <w:style w:type="paragraph" w:styleId="BodyText2">
    <w:name w:val="Body Text 2"/>
    <w:basedOn w:val="Normal"/>
    <w:qFormat/>
    <w:pPr>
      <w:ind w:hanging="0" w:start="432" w:end="0"/>
      <w:jc w:val="both"/>
    </w:pPr>
    <w:rPr>
      <w:rFonts w:ascii="Arial" w:hAnsi="Arial" w:cs="Arial"/>
    </w:rPr>
  </w:style>
  <w:style w:type="paragraph" w:styleId="WW-BodyText2">
    <w:name w:val="WW-Body Text 2"/>
    <w:basedOn w:val="Normal"/>
    <w:qFormat/>
    <w:pPr>
      <w:widowControl w:val="false"/>
      <w:tabs>
        <w:tab w:val="clear" w:pos="720"/>
        <w:tab w:val="left" w:pos="2160" w:leader="none"/>
      </w:tabs>
      <w:ind w:hanging="2160" w:start="2160" w:end="0"/>
      <w:jc w:val="both"/>
    </w:pPr>
    <w:rPr>
      <w:sz w:val="24"/>
    </w:rPr>
  </w:style>
  <w:style w:type="paragraph" w:styleId="CoverHeader">
    <w:name w:val="Cover Header"/>
    <w:qFormat/>
    <w:pPr>
      <w:widowControl/>
      <w:bidi w:val="0"/>
      <w:spacing w:lineRule="exact" w:line="280"/>
    </w:pPr>
    <w:rPr>
      <w:rFonts w:ascii="Arial" w:hAnsi="Arial" w:eastAsia="Times New Roman" w:cs="Arial"/>
      <w:color w:val="auto"/>
      <w:sz w:val="18"/>
      <w:szCs w:val="20"/>
      <w:lang w:val="en-US" w:eastAsia="zh-CN" w:bidi="hi-IN"/>
    </w:rPr>
  </w:style>
  <w:style w:type="paragraph" w:styleId="CoverTopLine">
    <w:name w:val="Cover Top Line"/>
    <w:qFormat/>
    <w:pPr>
      <w:widowControl/>
      <w:bidi w:val="0"/>
      <w:spacing w:lineRule="exact" w:line="280" w:before="740" w:after="0"/>
      <w:ind w:hanging="0" w:start="-2520" w:end="1066"/>
    </w:pPr>
    <w:rPr>
      <w:rFonts w:ascii="Arial" w:hAnsi="Arial" w:eastAsia="Times New Roman" w:cs="Arial"/>
      <w:color w:val="auto"/>
      <w:sz w:val="16"/>
      <w:szCs w:val="20"/>
      <w:lang w:val="en-US" w:eastAsia="zh-CN" w:bidi="hi-IN"/>
    </w:rPr>
  </w:style>
  <w:style w:type="paragraph" w:styleId="CoverBCLogo">
    <w:name w:val="Cover BC Logo"/>
    <w:qFormat/>
    <w:pPr>
      <w:widowControl/>
      <w:bidi w:val="0"/>
    </w:pPr>
    <w:rPr>
      <w:rFonts w:ascii="Arial" w:hAnsi="Arial" w:eastAsia="Times New Roman" w:cs="Arial"/>
      <w:color w:val="auto"/>
      <w:sz w:val="16"/>
      <w:szCs w:val="20"/>
      <w:lang w:val="en-CA" w:eastAsia="zh-CN" w:bidi="hi-IN"/>
    </w:rPr>
  </w:style>
  <w:style w:type="paragraph" w:styleId="CoverFooter">
    <w:name w:val="Cover Footer"/>
    <w:qFormat/>
    <w:pPr>
      <w:widowControl/>
      <w:bidi w:val="0"/>
      <w:spacing w:lineRule="exact" w:line="160"/>
      <w:ind w:hanging="0" w:start="0" w:end="1080"/>
    </w:pPr>
    <w:rPr>
      <w:rFonts w:ascii="Arial Narrow" w:hAnsi="Arial Narrow" w:eastAsia="Times New Roman" w:cs="Arial Narrow"/>
      <w:color w:val="auto"/>
      <w:sz w:val="16"/>
      <w:szCs w:val="20"/>
      <w:lang w:val="en-US" w:eastAsia="zh-CN" w:bidi="hi-IN"/>
    </w:rPr>
  </w:style>
  <w:style w:type="paragraph" w:styleId="RunHeadBCLogo">
    <w:name w:val="Run Head BC Logo"/>
    <w:qFormat/>
    <w:pPr>
      <w:widowControl/>
      <w:bidi w:val="0"/>
    </w:pPr>
    <w:rPr>
      <w:rFonts w:ascii="Arial" w:hAnsi="Arial" w:eastAsia="Times New Roman" w:cs="Arial"/>
      <w:color w:val="auto"/>
      <w:sz w:val="18"/>
      <w:szCs w:val="20"/>
      <w:lang w:val="en-CA" w:eastAsia="zh-CN" w:bidi="hi-IN"/>
    </w:rPr>
  </w:style>
  <w:style w:type="paragraph" w:styleId="RunHeadLine">
    <w:name w:val="Run Head Line"/>
    <w:qFormat/>
    <w:pPr>
      <w:widowControl/>
      <w:bidi w:val="0"/>
      <w:ind w:hanging="0" w:start="-2520" w:end="0"/>
    </w:pPr>
    <w:rPr>
      <w:rFonts w:ascii="Arial" w:hAnsi="Arial" w:eastAsia="Times New Roman" w:cs="Arial"/>
      <w:color w:val="auto"/>
      <w:sz w:val="18"/>
      <w:szCs w:val="20"/>
      <w:lang w:val="en-CA" w:eastAsia="zh-CN" w:bidi="hi-IN"/>
    </w:rPr>
  </w:style>
  <w:style w:type="paragraph" w:styleId="docid">
    <w:name w:val="doc id"/>
    <w:qFormat/>
    <w:pPr>
      <w:widowControl/>
      <w:bidi w:val="0"/>
    </w:pPr>
    <w:rPr>
      <w:rFonts w:ascii="Arial" w:hAnsi="Arial" w:eastAsia="Times New Roman" w:cs="Arial"/>
      <w:color w:val="auto"/>
      <w:sz w:val="10"/>
      <w:szCs w:val="20"/>
      <w:vertAlign w:val="superscript"/>
      <w:lang w:val="en-CA" w:eastAsia="zh-CN" w:bidi="hi-IN"/>
    </w:rPr>
  </w:style>
  <w:style w:type="paragraph" w:styleId="RunFootLogo">
    <w:name w:val="Run Foot Logo"/>
    <w:qFormat/>
    <w:pPr>
      <w:widowControl/>
      <w:bidi w:val="0"/>
    </w:pPr>
    <w:rPr>
      <w:rFonts w:ascii="Arial" w:hAnsi="Arial" w:eastAsia="Times New Roman" w:cs="Arial"/>
      <w:color w:val="auto"/>
      <w:sz w:val="14"/>
      <w:szCs w:val="20"/>
      <w:lang w:val="en-CA" w:eastAsia="zh-CN" w:bidi="hi-IN"/>
    </w:rPr>
  </w:style>
  <w:style w:type="paragraph" w:styleId="Footer">
    <w:name w:val="footer"/>
    <w:basedOn w:val="Normal"/>
    <w:pPr>
      <w:tabs>
        <w:tab w:val="clear" w:pos="720"/>
        <w:tab w:val="center" w:pos="4320" w:leader="none"/>
        <w:tab w:val="right" w:pos="8640" w:leader="none"/>
      </w:tabs>
    </w:pPr>
    <w:rPr>
      <w:rFonts w:ascii="SG LucidaT" w:hAnsi="SG LucidaT" w:cs="SG LucidaT"/>
    </w:rPr>
  </w:style>
  <w:style w:type="paragraph" w:styleId="RunFootLine">
    <w:name w:val="Run Foot Line"/>
    <w:qFormat/>
    <w:pPr>
      <w:widowControl/>
      <w:bidi w:val="0"/>
    </w:pPr>
    <w:rPr>
      <w:rFonts w:ascii="Arial Narrow" w:hAnsi="Arial Narrow" w:eastAsia="Times New Roman" w:cs="Arial Narrow"/>
      <w:color w:val="auto"/>
      <w:sz w:val="16"/>
      <w:szCs w:val="20"/>
      <w:lang w:val="en-CA" w:eastAsia="zh-CN" w:bidi="hi-IN"/>
    </w:rPr>
  </w:style>
  <w:style w:type="paragraph" w:styleId="RunningFooter">
    <w:name w:val="Running Footer"/>
    <w:qFormat/>
    <w:pPr>
      <w:widowControl/>
      <w:tabs>
        <w:tab w:val="clear" w:pos="720"/>
        <w:tab w:val="right" w:pos="7186" w:leader="none"/>
      </w:tabs>
      <w:bidi w:val="0"/>
      <w:spacing w:lineRule="exact" w:line="160"/>
    </w:pPr>
    <w:rPr>
      <w:rFonts w:ascii="Arial" w:hAnsi="Arial" w:eastAsia="Times New Roman" w:cs="Arial"/>
      <w:color w:val="auto"/>
      <w:sz w:val="14"/>
      <w:szCs w:val="20"/>
      <w:lang w:val="en-US" w:eastAsia="zh-CN" w:bidi="hi-IN"/>
    </w:rPr>
  </w:style>
  <w:style w:type="paragraph" w:styleId="RunningHead">
    <w:name w:val="Running Head"/>
    <w:qFormat/>
    <w:pPr>
      <w:widowControl/>
      <w:bidi w:val="0"/>
      <w:spacing w:before="0" w:after="700"/>
    </w:pPr>
    <w:rPr>
      <w:rFonts w:ascii="Arial" w:hAnsi="Arial" w:eastAsia="Times New Roman" w:cs="Arial"/>
      <w:color w:val="auto"/>
      <w:sz w:val="18"/>
      <w:szCs w:val="20"/>
      <w:lang w:val="en-US" w:eastAsia="zh-CN" w:bidi="hi-IN"/>
    </w:rPr>
  </w:style>
  <w:style w:type="paragraph" w:styleId="PageTitleTwoLine">
    <w:name w:val="Page Title (Two Line)"/>
    <w:basedOn w:val="PageTitleOneLine"/>
    <w:next w:val="Body"/>
    <w:qFormat/>
    <w:pPr>
      <w:ind w:hanging="0" w:start="0" w:end="115"/>
    </w:pPr>
    <w:rPr/>
  </w:style>
  <w:style w:type="paragraph" w:styleId="TOC-ApndxHead">
    <w:name w:val="TOC-Apndx Head"/>
    <w:qFormat/>
    <w:pPr>
      <w:widowControl/>
      <w:bidi w:val="0"/>
      <w:spacing w:lineRule="exact" w:line="280" w:before="480" w:after="0"/>
    </w:pPr>
    <w:rPr>
      <w:rFonts w:ascii="Arial" w:hAnsi="Arial" w:eastAsia="Times New Roman" w:cs="Arial"/>
      <w:b/>
      <w:color w:val="auto"/>
      <w:sz w:val="22"/>
      <w:szCs w:val="20"/>
      <w:lang w:val="en-US" w:eastAsia="zh-CN" w:bidi="hi-IN"/>
    </w:rPr>
  </w:style>
  <w:style w:type="paragraph" w:styleId="TOC-Graphic">
    <w:name w:val="TOC-Graphic"/>
    <w:qFormat/>
    <w:pPr>
      <w:widowControl/>
      <w:bidi w:val="0"/>
    </w:pPr>
    <w:rPr>
      <w:rFonts w:ascii="Arial" w:hAnsi="Arial" w:eastAsia="Times New Roman" w:cs="Arial"/>
      <w:color w:val="auto"/>
      <w:sz w:val="20"/>
      <w:szCs w:val="20"/>
      <w:lang w:val="en-CA" w:eastAsia="zh-CN" w:bidi="hi-IN"/>
    </w:rPr>
  </w:style>
  <w:style w:type="paragraph" w:styleId="SidetextSpacer">
    <w:name w:val="Sidetext Spacer"/>
    <w:next w:val="Normal"/>
    <w:qFormat/>
    <w:pPr>
      <w:widowControl/>
      <w:bidi w:val="0"/>
      <w:spacing w:lineRule="exact" w:line="280"/>
    </w:pPr>
    <w:rPr>
      <w:rFonts w:ascii="Arial" w:hAnsi="Arial" w:eastAsia="Times New Roman" w:cs="Arial"/>
      <w:color w:val="auto"/>
      <w:sz w:val="22"/>
      <w:szCs w:val="20"/>
      <w:lang w:val="en-US" w:eastAsia="zh-CN" w:bidi="hi-IN"/>
    </w:rPr>
  </w:style>
  <w:style w:type="paragraph" w:styleId="Bullet3">
    <w:name w:val="Bullet 3"/>
    <w:basedOn w:val="Normal"/>
    <w:qFormat/>
    <w:pPr>
      <w:numPr>
        <w:ilvl w:val="0"/>
        <w:numId w:val="13"/>
      </w:numPr>
      <w:tabs>
        <w:tab w:val="clear" w:pos="720"/>
        <w:tab w:val="left" w:pos="360" w:leader="none"/>
      </w:tabs>
      <w:spacing w:before="60" w:after="0"/>
      <w:ind w:hanging="360" w:start="360" w:end="0"/>
    </w:pPr>
    <w:rPr>
      <w:rFonts w:ascii="LucidaT;Lucida Sans Unicode" w:hAnsi="LucidaT;Lucida Sans Unicode" w:cs="LucidaT;Lucida Sans Unicode"/>
    </w:rPr>
  </w:style>
  <w:style w:type="paragraph" w:styleId="Bullet2">
    <w:name w:val="Bullet 2"/>
    <w:basedOn w:val="Normal"/>
    <w:qFormat/>
    <w:pPr>
      <w:numPr>
        <w:ilvl w:val="0"/>
        <w:numId w:val="6"/>
      </w:numPr>
      <w:tabs>
        <w:tab w:val="left" w:pos="720" w:leader="none"/>
      </w:tabs>
      <w:spacing w:before="60" w:after="0"/>
      <w:ind w:hanging="0" w:start="720" w:end="0"/>
      <w:jc w:val="both"/>
    </w:pPr>
    <w:rPr/>
  </w:style>
  <w:style w:type="paragraph" w:styleId="TableHead1">
    <w:name w:val="Table Head 1"/>
    <w:next w:val="TableData"/>
    <w:qFormat/>
    <w:pPr>
      <w:keepNext w:val="true"/>
      <w:widowControl/>
      <w:bidi w:val="0"/>
      <w:spacing w:before="240" w:after="120"/>
    </w:pPr>
    <w:rPr>
      <w:rFonts w:ascii="Arial" w:hAnsi="Arial" w:eastAsia="Times New Roman" w:cs="Arial"/>
      <w:b/>
      <w:caps/>
      <w:color w:val="auto"/>
      <w:spacing w:val="40"/>
      <w:sz w:val="16"/>
      <w:szCs w:val="20"/>
      <w:lang w:val="en-US" w:eastAsia="zh-CN" w:bidi="hi-IN"/>
    </w:rPr>
  </w:style>
  <w:style w:type="paragraph" w:styleId="TableData">
    <w:name w:val="Table Data"/>
    <w:qFormat/>
    <w:pPr>
      <w:widowControl/>
      <w:bidi w:val="0"/>
      <w:spacing w:before="20" w:after="0"/>
    </w:pPr>
    <w:rPr>
      <w:rFonts w:ascii="Arial" w:hAnsi="Arial" w:eastAsia="Times New Roman" w:cs="Arial"/>
      <w:color w:val="auto"/>
      <w:sz w:val="18"/>
      <w:szCs w:val="20"/>
      <w:lang w:val="en-US" w:eastAsia="zh-CN" w:bidi="hi-IN"/>
    </w:rPr>
  </w:style>
  <w:style w:type="paragraph" w:styleId="FootnoteR-2">
    <w:name w:val="Footnote R-2"/>
    <w:qFormat/>
    <w:pPr>
      <w:widowControl/>
      <w:bidi w:val="0"/>
      <w:ind w:hanging="187" w:start="187" w:end="0"/>
    </w:pPr>
    <w:rPr>
      <w:rFonts w:ascii="Arial" w:hAnsi="Arial" w:eastAsia="Times New Roman" w:cs="Arial"/>
      <w:color w:val="auto"/>
      <w:sz w:val="14"/>
      <w:szCs w:val="20"/>
      <w:lang w:val="en-US" w:eastAsia="zh-CN" w:bidi="hi-IN"/>
    </w:rPr>
  </w:style>
  <w:style w:type="paragraph" w:styleId="FootnoteR">
    <w:name w:val="Footnote R"/>
    <w:next w:val="FootnoteR-2"/>
    <w:qFormat/>
    <w:pPr>
      <w:widowControl/>
      <w:bidi w:val="0"/>
      <w:spacing w:before="60" w:after="0"/>
      <w:ind w:hanging="187" w:start="187" w:end="0"/>
    </w:pPr>
    <w:rPr>
      <w:rFonts w:ascii="Arial" w:hAnsi="Arial" w:eastAsia="Times New Roman" w:cs="Arial"/>
      <w:color w:val="auto"/>
      <w:sz w:val="14"/>
      <w:szCs w:val="20"/>
      <w:lang w:val="en-US" w:eastAsia="zh-CN" w:bidi="hi-IN"/>
    </w:rPr>
  </w:style>
  <w:style w:type="paragraph" w:styleId="Source">
    <w:name w:val="Source"/>
    <w:basedOn w:val="Normal"/>
    <w:next w:val="Normal"/>
    <w:qFormat/>
    <w:pPr>
      <w:keepNext w:val="true"/>
      <w:ind w:hanging="576" w:start="576" w:end="0"/>
    </w:pPr>
    <w:rPr>
      <w:sz w:val="15"/>
    </w:rPr>
  </w:style>
  <w:style w:type="paragraph" w:styleId="TableColumnHead">
    <w:name w:val="Table Column Head"/>
    <w:qFormat/>
    <w:pPr>
      <w:widowControl/>
      <w:bidi w:val="0"/>
      <w:spacing w:before="60" w:after="60"/>
    </w:pPr>
    <w:rPr>
      <w:rFonts w:ascii="Arial" w:hAnsi="Arial" w:eastAsia="Times New Roman" w:cs="Arial"/>
      <w:b/>
      <w:color w:val="FFFFFF"/>
      <w:sz w:val="16"/>
      <w:szCs w:val="20"/>
      <w:lang w:val="en-US" w:eastAsia="zh-CN" w:bidi="hi-IN"/>
    </w:rPr>
  </w:style>
  <w:style w:type="paragraph" w:styleId="TableSubhead">
    <w:name w:val="Table Subhead"/>
    <w:next w:val="TableData"/>
    <w:qFormat/>
    <w:pPr>
      <w:keepNext w:val="true"/>
      <w:widowControl/>
      <w:bidi w:val="0"/>
      <w:spacing w:before="0" w:after="160"/>
    </w:pPr>
    <w:rPr>
      <w:rFonts w:ascii="Arial" w:hAnsi="Arial" w:eastAsia="Times New Roman" w:cs="Arial"/>
      <w:color w:val="auto"/>
      <w:sz w:val="16"/>
      <w:szCs w:val="20"/>
      <w:lang w:val="en-US" w:eastAsia="zh-CN" w:bidi="hi-IN"/>
    </w:rPr>
  </w:style>
  <w:style w:type="paragraph" w:styleId="TableHead2">
    <w:name w:val="Table Head 2"/>
    <w:next w:val="TableSubhead"/>
    <w:qFormat/>
    <w:pPr>
      <w:keepNext w:val="true"/>
      <w:widowControl/>
      <w:bidi w:val="0"/>
      <w:spacing w:before="240" w:after="0"/>
    </w:pPr>
    <w:rPr>
      <w:rFonts w:ascii="Arial" w:hAnsi="Arial" w:eastAsia="Times New Roman" w:cs="Arial"/>
      <w:b/>
      <w:caps/>
      <w:color w:val="auto"/>
      <w:spacing w:val="40"/>
      <w:sz w:val="16"/>
      <w:szCs w:val="20"/>
      <w:lang w:val="en-US" w:eastAsia="zh-CN" w:bidi="hi-IN"/>
    </w:rPr>
  </w:style>
  <w:style w:type="paragraph" w:styleId="HiddenTracker">
    <w:name w:val="Hidden Tracker"/>
    <w:next w:val="Body"/>
    <w:qFormat/>
    <w:pPr>
      <w:widowControl/>
      <w:bidi w:val="0"/>
    </w:pPr>
    <w:rPr>
      <w:rFonts w:ascii="Arial" w:hAnsi="Arial" w:eastAsia="Times New Roman" w:cs="Arial"/>
      <w:b/>
      <w:vanish/>
      <w:color w:val="FF0000"/>
      <w:sz w:val="16"/>
      <w:szCs w:val="20"/>
      <w:lang w:val="en-CA" w:eastAsia="zh-CN" w:bidi="hi-IN"/>
    </w:rPr>
  </w:style>
  <w:style w:type="paragraph" w:styleId="TOC-Appendix">
    <w:name w:val="TOC-Appendix"/>
    <w:qFormat/>
    <w:pPr>
      <w:widowControl/>
      <w:numPr>
        <w:ilvl w:val="0"/>
        <w:numId w:val="14"/>
      </w:numPr>
      <w:bidi w:val="0"/>
      <w:spacing w:lineRule="atLeast" w:line="270" w:before="120" w:after="0"/>
      <w:ind w:hanging="360" w:start="360" w:end="0"/>
    </w:pPr>
    <w:rPr>
      <w:rFonts w:ascii="Arial" w:hAnsi="Arial" w:eastAsia="Times New Roman" w:cs="Arial"/>
      <w:color w:val="auto"/>
      <w:sz w:val="22"/>
      <w:szCs w:val="20"/>
      <w:lang w:val="en-US" w:eastAsia="zh-CN" w:bidi="hi-IN"/>
    </w:rPr>
  </w:style>
  <w:style w:type="paragraph" w:styleId="SIDETEXTCAPS1">
    <w:name w:val="SIDETEXT CAPS 1"/>
    <w:next w:val="Body"/>
    <w:qFormat/>
    <w:pPr>
      <w:keepNext w:val="true"/>
      <w:widowControl/>
      <w:bidi w:val="0"/>
      <w:spacing w:lineRule="exact" w:line="280"/>
      <w:jc w:val="end"/>
    </w:pPr>
    <w:rPr>
      <w:rFonts w:ascii="Arial" w:hAnsi="Arial" w:eastAsia="Times New Roman" w:cs="Arial"/>
      <w:b/>
      <w:caps/>
      <w:color w:val="auto"/>
      <w:sz w:val="20"/>
      <w:szCs w:val="20"/>
      <w:lang w:val="en-US" w:eastAsia="zh-CN" w:bidi="hi-IN"/>
    </w:rPr>
  </w:style>
  <w:style w:type="paragraph" w:styleId="SIDETEXTCAPS2">
    <w:name w:val="SIDETEXT CAPS 2"/>
    <w:basedOn w:val="SIDETEXTCAPS1"/>
    <w:next w:val="Body"/>
    <w:qFormat/>
    <w:pPr>
      <w:spacing w:before="240" w:after="0"/>
    </w:pPr>
    <w:rPr/>
  </w:style>
  <w:style w:type="paragraph" w:styleId="NumberBullet1">
    <w:name w:val="NumberBullet1"/>
    <w:qFormat/>
    <w:pPr>
      <w:widowControl/>
      <w:numPr>
        <w:ilvl w:val="0"/>
        <w:numId w:val="15"/>
      </w:numPr>
      <w:bidi w:val="0"/>
      <w:spacing w:lineRule="exact" w:line="280" w:before="120" w:after="0"/>
      <w:ind w:hanging="360" w:start="360" w:end="0"/>
    </w:pPr>
    <w:rPr>
      <w:rFonts w:ascii="Arial" w:hAnsi="Arial" w:eastAsia="Times New Roman" w:cs="Arial"/>
      <w:color w:val="auto"/>
      <w:sz w:val="22"/>
      <w:szCs w:val="20"/>
      <w:lang w:val="en-US" w:eastAsia="zh-CN" w:bidi="hi-IN"/>
    </w:rPr>
  </w:style>
  <w:style w:type="paragraph" w:styleId="NumberBullet2">
    <w:name w:val="NumberBullet2"/>
    <w:qFormat/>
    <w:pPr>
      <w:widowControl/>
      <w:numPr>
        <w:ilvl w:val="0"/>
        <w:numId w:val="16"/>
      </w:numPr>
      <w:bidi w:val="0"/>
      <w:spacing w:before="120" w:after="0"/>
      <w:ind w:hanging="360" w:start="792" w:end="0"/>
    </w:pPr>
    <w:rPr>
      <w:rFonts w:ascii="Arial" w:hAnsi="Arial" w:eastAsia="Times New Roman" w:cs="Arial"/>
      <w:color w:val="auto"/>
      <w:sz w:val="22"/>
      <w:szCs w:val="20"/>
      <w:lang w:val="en-US" w:eastAsia="zh-CN" w:bidi="hi-IN"/>
    </w:rPr>
  </w:style>
  <w:style w:type="paragraph" w:styleId="Sidetext1">
    <w:name w:val="Sidetext 1"/>
    <w:next w:val="Body"/>
    <w:qFormat/>
    <w:pPr>
      <w:widowControl/>
      <w:bidi w:val="0"/>
      <w:spacing w:lineRule="exact" w:line="280"/>
      <w:jc w:val="end"/>
    </w:pPr>
    <w:rPr>
      <w:rFonts w:ascii="Arial" w:hAnsi="Arial" w:eastAsia="Times New Roman" w:cs="Arial"/>
      <w:b/>
      <w:color w:val="auto"/>
      <w:sz w:val="20"/>
      <w:szCs w:val="20"/>
      <w:lang w:val="en-US" w:eastAsia="zh-CN" w:bidi="hi-IN"/>
    </w:rPr>
  </w:style>
  <w:style w:type="paragraph" w:styleId="Sidetext2">
    <w:name w:val="Sidetext 2"/>
    <w:basedOn w:val="Sidetext1"/>
    <w:next w:val="Body"/>
    <w:qFormat/>
    <w:pPr>
      <w:spacing w:before="240" w:after="0"/>
    </w:pPr>
    <w:rPr/>
  </w:style>
  <w:style w:type="paragraph" w:styleId="CL-Company">
    <w:name w:val="CL-Company"/>
    <w:qFormat/>
    <w:pPr>
      <w:widowControl/>
      <w:bidi w:val="0"/>
      <w:spacing w:lineRule="atLeast" w:line="280" w:before="60" w:after="60"/>
    </w:pPr>
    <w:rPr>
      <w:rFonts w:ascii="Arial" w:hAnsi="Arial" w:eastAsia="Times New Roman" w:cs="Arial"/>
      <w:b/>
      <w:caps/>
      <w:color w:val="auto"/>
      <w:sz w:val="20"/>
      <w:szCs w:val="20"/>
      <w:lang w:val="en-US" w:eastAsia="zh-CN" w:bidi="hi-IN"/>
    </w:rPr>
  </w:style>
  <w:style w:type="paragraph" w:styleId="CL-Address">
    <w:name w:val="CL-Address"/>
    <w:qFormat/>
    <w:pPr>
      <w:widowControl/>
      <w:bidi w:val="0"/>
      <w:spacing w:lineRule="atLeast" w:line="280" w:before="120" w:after="120"/>
    </w:pPr>
    <w:rPr>
      <w:rFonts w:ascii="Arial" w:hAnsi="Arial" w:eastAsia="Times New Roman" w:cs="Arial"/>
      <w:b/>
      <w:color w:val="auto"/>
      <w:sz w:val="20"/>
      <w:szCs w:val="20"/>
      <w:lang w:val="en-US" w:eastAsia="zh-CN" w:bidi="hi-IN"/>
    </w:rPr>
  </w:style>
  <w:style w:type="paragraph" w:styleId="CL-CoPhone">
    <w:name w:val="CL-Co. Phone"/>
    <w:basedOn w:val="CL-Address"/>
    <w:qFormat/>
    <w:pPr>
      <w:jc w:val="end"/>
    </w:pPr>
    <w:rPr/>
  </w:style>
  <w:style w:type="paragraph" w:styleId="CL-Division">
    <w:name w:val="CL-Division"/>
    <w:qFormat/>
    <w:pPr>
      <w:widowControl/>
      <w:bidi w:val="0"/>
      <w:spacing w:lineRule="atLeast" w:line="200" w:before="120" w:after="120"/>
    </w:pPr>
    <w:rPr>
      <w:rFonts w:ascii="Arial" w:hAnsi="Arial" w:eastAsia="Times New Roman" w:cs="Arial"/>
      <w:b/>
      <w:caps/>
      <w:color w:val="auto"/>
      <w:sz w:val="16"/>
      <w:szCs w:val="20"/>
      <w:lang w:val="en-US" w:eastAsia="zh-CN" w:bidi="hi-IN"/>
    </w:rPr>
  </w:style>
  <w:style w:type="paragraph" w:styleId="CL-DivPhone">
    <w:name w:val="CL-Div Phone"/>
    <w:basedOn w:val="CL-Division"/>
    <w:qFormat/>
    <w:pPr>
      <w:jc w:val="end"/>
    </w:pPr>
    <w:rPr/>
  </w:style>
  <w:style w:type="paragraph" w:styleId="CL-Subdivision">
    <w:name w:val="CL-Subdivision"/>
    <w:qFormat/>
    <w:pPr>
      <w:widowControl/>
      <w:bidi w:val="0"/>
      <w:spacing w:before="120" w:after="0"/>
    </w:pPr>
    <w:rPr>
      <w:rFonts w:ascii="Arial" w:hAnsi="Arial" w:eastAsia="Times New Roman" w:cs="Arial"/>
      <w:caps/>
      <w:color w:val="auto"/>
      <w:sz w:val="16"/>
      <w:szCs w:val="20"/>
      <w:lang w:val="en-US" w:eastAsia="zh-CN" w:bidi="hi-IN"/>
    </w:rPr>
  </w:style>
  <w:style w:type="paragraph" w:styleId="CL-Phone">
    <w:name w:val="CL-Phone"/>
    <w:basedOn w:val="CL-Name"/>
    <w:qFormat/>
    <w:pPr>
      <w:jc w:val="end"/>
    </w:pPr>
    <w:rPr/>
  </w:style>
  <w:style w:type="paragraph" w:styleId="TextTable-RowHead">
    <w:name w:val="Text Table - Row Head"/>
    <w:qFormat/>
    <w:pPr>
      <w:widowControl/>
      <w:bidi w:val="0"/>
      <w:spacing w:lineRule="exact" w:line="260" w:before="0" w:after="320"/>
      <w:jc w:val="end"/>
    </w:pPr>
    <w:rPr>
      <w:rFonts w:ascii="Arial" w:hAnsi="Arial" w:eastAsia="Times New Roman" w:cs="Arial"/>
      <w:b/>
      <w:color w:val="auto"/>
      <w:sz w:val="20"/>
      <w:szCs w:val="20"/>
      <w:lang w:val="en-CA" w:eastAsia="zh-CN" w:bidi="hi-IN"/>
    </w:rPr>
  </w:style>
  <w:style w:type="paragraph" w:styleId="TextTable-Body">
    <w:name w:val="Text Table - Body"/>
    <w:qFormat/>
    <w:pPr>
      <w:widowControl/>
      <w:bidi w:val="0"/>
      <w:spacing w:lineRule="exact" w:line="260" w:before="0" w:after="320"/>
    </w:pPr>
    <w:rPr>
      <w:rFonts w:ascii="Arial" w:hAnsi="Arial" w:eastAsia="Times New Roman" w:cs="Arial"/>
      <w:color w:val="auto"/>
      <w:sz w:val="20"/>
      <w:szCs w:val="20"/>
      <w:lang w:val="en-US" w:eastAsia="zh-CN" w:bidi="hi-IN"/>
    </w:rPr>
  </w:style>
  <w:style w:type="paragraph" w:styleId="SmallCalendarHead">
    <w:name w:val="Small Calendar Head"/>
    <w:qFormat/>
    <w:pPr>
      <w:widowControl/>
      <w:bidi w:val="0"/>
      <w:spacing w:before="40" w:after="40"/>
    </w:pPr>
    <w:rPr>
      <w:rFonts w:ascii="Arial" w:hAnsi="Arial" w:eastAsia="Times New Roman" w:cs="Arial"/>
      <w:b/>
      <w:color w:val="FFFFFF"/>
      <w:sz w:val="24"/>
      <w:szCs w:val="20"/>
      <w:lang w:val="en-US" w:eastAsia="zh-CN" w:bidi="hi-IN"/>
    </w:rPr>
  </w:style>
  <w:style w:type="paragraph" w:styleId="CalendarDays">
    <w:name w:val="Calendar Days"/>
    <w:qFormat/>
    <w:pPr>
      <w:widowControl/>
      <w:bidi w:val="0"/>
      <w:spacing w:lineRule="exact" w:line="320"/>
      <w:jc w:val="center"/>
    </w:pPr>
    <w:rPr>
      <w:rFonts w:ascii="Arial" w:hAnsi="Arial" w:eastAsia="Times New Roman" w:cs="Arial"/>
      <w:b/>
      <w:smallCaps/>
      <w:color w:val="auto"/>
      <w:sz w:val="20"/>
      <w:szCs w:val="20"/>
      <w:lang w:val="en-US" w:eastAsia="zh-CN" w:bidi="hi-IN"/>
    </w:rPr>
  </w:style>
  <w:style w:type="paragraph" w:styleId="CompanyPhone">
    <w:name w:val="CompanyPhone"/>
    <w:basedOn w:val="Company-NewPage"/>
    <w:qFormat/>
    <w:pPr/>
    <w:rPr>
      <w:rFonts w:ascii="Arial" w:hAnsi="Arial" w:cs="Arial"/>
      <w:b/>
      <w:sz w:val="18"/>
    </w:rPr>
  </w:style>
  <w:style w:type="paragraph" w:styleId="BodyTextIndent3">
    <w:name w:val="Body Text Indent 3"/>
    <w:basedOn w:val="Normal"/>
    <w:qFormat/>
    <w:pPr>
      <w:ind w:firstLine="180" w:start="1980" w:end="0"/>
    </w:pPr>
    <w:rPr>
      <w:rFonts w:ascii="Arial" w:hAnsi="Arial" w:cs="Arial"/>
    </w:rPr>
  </w:style>
  <w:style w:type="paragraph" w:styleId="Text">
    <w:name w:val="Text"/>
    <w:basedOn w:val="Caption"/>
    <w:qFormat/>
    <w:pPr/>
    <w:rPr/>
  </w:style>
  <w:style w:type="paragraph" w:styleId="WW-Text">
    <w:name w:val="WW-Text"/>
    <w:basedOn w:val="Normal"/>
    <w:qFormat/>
    <w:pPr>
      <w:numPr>
        <w:ilvl w:val="0"/>
        <w:numId w:val="0"/>
      </w:numPr>
      <w:tabs>
        <w:tab w:val="clear" w:pos="720"/>
        <w:tab w:val="left" w:pos="2160" w:leader="none"/>
      </w:tabs>
      <w:spacing w:before="120" w:after="0"/>
      <w:ind w:hanging="0" w:start="0" w:end="0"/>
      <w:jc w:val="both"/>
    </w:pPr>
    <w:rPr/>
  </w:style>
  <w:style w:type="paragraph" w:styleId="BodyText3">
    <w:name w:val="Body Text 3"/>
    <w:basedOn w:val="Normal"/>
    <w:qFormat/>
    <w:pPr>
      <w:spacing w:before="120" w:after="0"/>
    </w:pPr>
    <w:rPr>
      <w:rFonts w:ascii="SG LucidaT" w:hAnsi="SG LucidaT" w:cs="SG LucidaT"/>
    </w:rPr>
  </w:style>
  <w:style w:type="paragraph" w:styleId="Heading10">
    <w:name w:val="Heading 10"/>
    <w:basedOn w:val="Body"/>
    <w:next w:val="BodyText"/>
    <w:qFormat/>
    <w:pPr>
      <w:numPr>
        <w:ilvl w:val="8"/>
        <w:numId w:val="1"/>
      </w:numPr>
      <w:spacing w:before="0" w:after="120"/>
      <w:ind w:hanging="0" w:start="-2160" w:end="0"/>
      <w:outlineLvl w:val="8"/>
    </w:pPr>
    <w:rPr>
      <w:rFonts w:ascii="SG LucidaT" w:hAnsi="SG LucidaT" w:cs="SG LucidaT"/>
      <w:b/>
      <w:smallCaps/>
      <w:lang w:val="en-AU"/>
    </w:rPr>
  </w:style>
  <w:style w:type="paragraph" w:styleId="Title2">
    <w:name w:val="Title2"/>
    <w:basedOn w:val="Normal"/>
    <w:qFormat/>
    <w:pPr>
      <w:keepNext w:val="true"/>
      <w:spacing w:before="240" w:after="0"/>
      <w:ind w:hanging="720" w:start="720" w:end="0"/>
      <w:jc w:val="both"/>
    </w:pPr>
    <w:rPr>
      <w:b/>
    </w:rPr>
  </w:style>
  <w:style w:type="paragraph" w:styleId="FootnoteText">
    <w:name w:val="footnote text"/>
    <w:basedOn w:val="Normal"/>
    <w:pPr/>
    <w:rPr>
      <w:sz w:val="15"/>
    </w:rPr>
  </w:style>
  <w:style w:type="paragraph" w:styleId="InsideAddress">
    <w:name w:val="InsideAddress"/>
    <w:basedOn w:val="Normal"/>
    <w:qFormat/>
    <w:pPr>
      <w:spacing w:before="480" w:after="0"/>
    </w:pPr>
    <w:rPr/>
  </w:style>
  <w:style w:type="paragraph" w:styleId="ProjStatements">
    <w:name w:val="ProjStatements"/>
    <w:basedOn w:val="Normal"/>
    <w:qFormat/>
    <w:pPr/>
    <w:rPr>
      <w:rFonts w:ascii="Courier New" w:hAnsi="Courier New" w:cs="Courier New"/>
      <w:sz w:val="16"/>
    </w:rPr>
  </w:style>
  <w:style w:type="paragraph" w:styleId="PortFinancials">
    <w:name w:val="PortFinancials"/>
    <w:basedOn w:val="ProjStatements"/>
    <w:qFormat/>
    <w:pPr/>
    <w:rPr>
      <w:sz w:val="18"/>
    </w:rPr>
  </w:style>
  <w:style w:type="paragraph" w:styleId="Graphic">
    <w:name w:val="Graphic"/>
    <w:basedOn w:val="Normal"/>
    <w:qFormat/>
    <w:pPr>
      <w:spacing w:before="320" w:after="0"/>
      <w:ind w:hanging="0" w:start="29" w:end="0"/>
      <w:jc w:val="center"/>
    </w:pPr>
    <w:rPr>
      <w:rFonts w:ascii="LucidaSans;Times New Roman" w:hAnsi="LucidaSans;Times New Roman" w:cs="LucidaSans;Times New Roman"/>
      <w:sz w:val="20"/>
    </w:rPr>
  </w:style>
  <w:style w:type="paragraph" w:styleId="Title1">
    <w:name w:val="Title1"/>
    <w:basedOn w:val="Normal"/>
    <w:qFormat/>
    <w:pPr>
      <w:keepNext w:val="true"/>
      <w:spacing w:before="240" w:after="0"/>
      <w:jc w:val="both"/>
    </w:pPr>
    <w:rPr>
      <w:b/>
    </w:rPr>
  </w:style>
  <w:style w:type="paragraph" w:styleId="ital">
    <w:name w:val="ital"/>
    <w:basedOn w:val="WW-Text"/>
    <w:qFormat/>
    <w:pPr>
      <w:spacing w:before="240" w:after="0"/>
    </w:pPr>
    <w:rPr>
      <w:b/>
      <w:i/>
      <w:sz w:val="20"/>
    </w:rPr>
  </w:style>
  <w:style w:type="paragraph" w:styleId="WW-BodyText21">
    <w:name w:val="WW-Body Text 21"/>
    <w:basedOn w:val="Normal"/>
    <w:qFormat/>
    <w:pPr>
      <w:tabs>
        <w:tab w:val="clear" w:pos="720"/>
        <w:tab w:val="left" w:pos="-720" w:leader="none"/>
        <w:tab w:val="left" w:pos="2160" w:leader="none"/>
      </w:tabs>
      <w:suppressAutoHyphens w:val="true"/>
      <w:spacing w:before="240" w:after="0"/>
      <w:ind w:hanging="0" w:start="2160" w:end="0"/>
      <w:jc w:val="both"/>
    </w:pPr>
    <w:rPr>
      <w:rFonts w:ascii="SG LucidaT" w:hAnsi="SG LucidaT" w:cs="SG LucidaT"/>
    </w:rPr>
  </w:style>
  <w:style w:type="paragraph" w:styleId="Textbold">
    <w:name w:val="Textbold"/>
    <w:qFormat/>
    <w:pPr>
      <w:keepNext w:val="true"/>
      <w:widowControl/>
      <w:tabs>
        <w:tab w:val="left" w:pos="720" w:leader="none"/>
      </w:tabs>
      <w:bidi w:val="0"/>
      <w:spacing w:before="200" w:after="0"/>
    </w:pPr>
    <w:rPr>
      <w:rFonts w:ascii="Times New Roman" w:hAnsi="Times New Roman" w:eastAsia="Times New Roman" w:cs="Times New Roman"/>
      <w:b/>
      <w:color w:val="auto"/>
      <w:sz w:val="21"/>
      <w:szCs w:val="20"/>
      <w:lang w:val="en-US" w:eastAsia="zh-CN" w:bidi="hi-IN"/>
    </w:rPr>
  </w:style>
  <w:style w:type="paragraph" w:styleId="Textboldital">
    <w:name w:val="Textboldital"/>
    <w:basedOn w:val="Textbold"/>
    <w:qFormat/>
    <w:pPr>
      <w:spacing w:before="120" w:after="0"/>
    </w:pPr>
    <w:rPr>
      <w:i/>
    </w:rPr>
  </w:style>
  <w:style w:type="paragraph" w:styleId="Textital">
    <w:name w:val="Textital"/>
    <w:basedOn w:val="Textboldital"/>
    <w:qFormat/>
    <w:pPr>
      <w:jc w:val="both"/>
    </w:pPr>
    <w:rPr>
      <w:b w:val="false"/>
      <w:color w:val="auto"/>
    </w:rPr>
  </w:style>
  <w:style w:type="paragraph" w:styleId="TOC2">
    <w:name w:val="TOC2"/>
    <w:basedOn w:val="Normal"/>
    <w:qFormat/>
    <w:pPr>
      <w:tabs>
        <w:tab w:val="clear" w:pos="720"/>
        <w:tab w:val="right" w:pos="9360" w:leader="dot"/>
      </w:tabs>
      <w:spacing w:before="320" w:after="0"/>
    </w:pPr>
    <w:rPr/>
  </w:style>
  <w:style w:type="paragraph" w:styleId="Hidden">
    <w:name w:val="Hidden"/>
    <w:basedOn w:val="Normal"/>
    <w:qFormat/>
    <w:pPr>
      <w:keepNext w:val="true"/>
    </w:pPr>
    <w:rPr>
      <w:rFonts w:ascii="LucidaSans;Times New Roman" w:hAnsi="LucidaSans;Times New Roman" w:cs="LucidaSans;Times New Roman"/>
      <w:vanish/>
      <w:color w:val="FF0000"/>
      <w:sz w:val="18"/>
      <w:u w:val="double"/>
      <w:lang w:val="en-CA"/>
    </w:rPr>
  </w:style>
  <w:style w:type="paragraph" w:styleId="TOC1">
    <w:name w:val="TOC1"/>
    <w:basedOn w:val="Normal"/>
    <w:qFormat/>
    <w:pPr>
      <w:numPr>
        <w:ilvl w:val="0"/>
        <w:numId w:val="9"/>
      </w:numPr>
      <w:tabs>
        <w:tab w:val="clear" w:pos="720"/>
        <w:tab w:val="right" w:pos="8640" w:leader="none"/>
      </w:tabs>
      <w:spacing w:before="320" w:after="0"/>
    </w:pPr>
    <w:rPr>
      <w:caps/>
    </w:rPr>
  </w:style>
  <w:style w:type="paragraph" w:styleId="TOC21">
    <w:name w:val="toc 2"/>
    <w:basedOn w:val="Normal"/>
    <w:pPr>
      <w:tabs>
        <w:tab w:val="left" w:pos="720" w:leader="none"/>
        <w:tab w:val="right" w:pos="9360" w:leader="dot"/>
      </w:tabs>
      <w:spacing w:before="60" w:after="0"/>
      <w:ind w:hanging="0" w:start="360" w:end="0"/>
    </w:pPr>
    <w:rPr>
      <w:lang w:val="en-CA" w:eastAsia="en-CA"/>
    </w:rPr>
  </w:style>
  <w:style w:type="paragraph" w:styleId="WW-BodyText22">
    <w:name w:val="WW-Body Text 22"/>
    <w:basedOn w:val="Normal"/>
    <w:qFormat/>
    <w:pPr>
      <w:tabs>
        <w:tab w:val="clear" w:pos="720"/>
        <w:tab w:val="left" w:pos="2520" w:leader="none"/>
      </w:tabs>
      <w:spacing w:before="240" w:after="0"/>
      <w:ind w:hanging="0" w:start="90" w:end="0"/>
      <w:jc w:val="both"/>
    </w:pPr>
    <w:rPr/>
  </w:style>
  <w:style w:type="paragraph" w:styleId="TOC3">
    <w:name w:val="TOC3"/>
    <w:basedOn w:val="Normal"/>
    <w:qFormat/>
    <w:pPr>
      <w:tabs>
        <w:tab w:val="clear" w:pos="720"/>
        <w:tab w:val="left" w:pos="1080" w:leader="none"/>
        <w:tab w:val="right" w:pos="9360" w:leader="dot"/>
      </w:tabs>
      <w:spacing w:before="20" w:after="0"/>
      <w:ind w:hanging="360" w:start="1080" w:end="0"/>
    </w:pPr>
    <w:rPr>
      <w:rFonts w:ascii="LucidaSans;Times New Roman" w:hAnsi="LucidaSans;Times New Roman" w:cs="LucidaSans;Times New Roman"/>
    </w:rPr>
  </w:style>
  <w:style w:type="paragraph" w:styleId="code">
    <w:name w:val="code"/>
    <w:basedOn w:val="Normal"/>
    <w:next w:val="Normal"/>
    <w:qFormat/>
    <w:pPr/>
    <w:rPr>
      <w:rFonts w:ascii="LucidaSans;Times New Roman" w:hAnsi="LucidaSans;Times New Roman" w:cs="LucidaSans;Times New Roman"/>
      <w:color w:val="auto"/>
      <w:sz w:val="11"/>
      <w:lang w:val="en-CA"/>
    </w:rPr>
  </w:style>
  <w:style w:type="paragraph" w:styleId="Bullet">
    <w:name w:val="Bullet"/>
    <w:basedOn w:val="Normal"/>
    <w:qFormat/>
    <w:pPr>
      <w:numPr>
        <w:ilvl w:val="0"/>
        <w:numId w:val="17"/>
      </w:numPr>
      <w:tabs>
        <w:tab w:val="clear" w:pos="720"/>
        <w:tab w:val="left" w:pos="-2790" w:leader="none"/>
      </w:tabs>
      <w:spacing w:before="240" w:after="0"/>
      <w:ind w:hanging="360" w:start="360" w:end="0"/>
      <w:jc w:val="both"/>
    </w:pPr>
    <w:rPr/>
  </w:style>
  <w:style w:type="paragraph" w:styleId="H3">
    <w:name w:val="H3"/>
    <w:basedOn w:val="Normal"/>
    <w:next w:val="Normal"/>
    <w:qFormat/>
    <w:pPr>
      <w:keepNext w:val="true"/>
      <w:spacing w:before="100" w:after="100"/>
    </w:pPr>
    <w:rPr>
      <w:b/>
      <w:sz w:val="28"/>
    </w:rPr>
  </w:style>
  <w:style w:type="paragraph" w:styleId="WW-BodyText23">
    <w:name w:val="WW-Body Text 23"/>
    <w:basedOn w:val="Normal"/>
    <w:qFormat/>
    <w:pPr>
      <w:ind w:firstLine="720" w:start="0" w:end="0"/>
      <w:jc w:val="both"/>
    </w:pPr>
    <w:rPr>
      <w:rFonts w:ascii="SG LucidaT" w:hAnsi="SG LucidaT" w:cs="SG LucidaT"/>
    </w:rPr>
  </w:style>
  <w:style w:type="paragraph" w:styleId="bu">
    <w:name w:val="bu"/>
    <w:basedOn w:val="Body"/>
    <w:qFormat/>
    <w:pPr/>
    <w:rPr/>
  </w:style>
  <w:style w:type="paragraph" w:styleId="CoverClientLogo">
    <w:name w:val="Cover Client Logo"/>
    <w:basedOn w:val="Normal"/>
    <w:next w:val="Normal"/>
    <w:qFormat/>
    <w:pPr>
      <w:tabs>
        <w:tab w:val="clear" w:pos="720"/>
        <w:tab w:val="left" w:pos="2304" w:leader="none"/>
        <w:tab w:val="left" w:pos="11520" w:leader="none"/>
      </w:tabs>
    </w:pPr>
    <w:rPr>
      <w:rFonts w:ascii="LucidaSans;Times New Roman" w:hAnsi="LucidaSans;Times New Roman" w:cs="LucidaSans;Times New Roman"/>
      <w:sz w:val="28"/>
    </w:rPr>
  </w:style>
  <w:style w:type="paragraph" w:styleId="Covercompanyname">
    <w:name w:val="Cover company name"/>
    <w:basedOn w:val="Normal"/>
    <w:next w:val="CoverSubtitle"/>
    <w:qFormat/>
    <w:pPr>
      <w:spacing w:before="1400" w:after="0"/>
    </w:pPr>
    <w:rPr>
      <w:rFonts w:ascii="LucidaSans;Times New Roman" w:hAnsi="LucidaSans;Times New Roman" w:cs="LucidaSans;Times New Roman"/>
      <w:color w:val="FF0000"/>
      <w:sz w:val="60"/>
    </w:rPr>
  </w:style>
  <w:style w:type="paragraph" w:styleId="Coverconfidential">
    <w:name w:val="Cover confidential"/>
    <w:basedOn w:val="Normal"/>
    <w:next w:val="Normal"/>
    <w:qFormat/>
    <w:pPr>
      <w:spacing w:before="0" w:after="1900"/>
      <w:jc w:val="end"/>
    </w:pPr>
    <w:rPr>
      <w:rFonts w:ascii="LucidaSans;Times New Roman" w:hAnsi="LucidaSans;Times New Roman" w:cs="LucidaSans;Times New Roman"/>
      <w:sz w:val="28"/>
    </w:rPr>
  </w:style>
  <w:style w:type="paragraph" w:styleId="Coverdate">
    <w:name w:val="Cover date"/>
    <w:basedOn w:val="Normal"/>
    <w:qFormat/>
    <w:pPr>
      <w:spacing w:before="1280" w:after="0"/>
    </w:pPr>
    <w:rPr>
      <w:rFonts w:ascii="LucidaSans;Times New Roman" w:hAnsi="LucidaSans;Times New Roman" w:cs="LucidaSans;Times New Roman"/>
      <w:sz w:val="32"/>
    </w:rPr>
  </w:style>
  <w:style w:type="paragraph" w:styleId="Coverpresentation">
    <w:name w:val="Cover presentation"/>
    <w:basedOn w:val="Normal"/>
    <w:next w:val="Covercompanyname"/>
    <w:qFormat/>
    <w:pPr>
      <w:spacing w:before="240" w:after="0"/>
    </w:pPr>
    <w:rPr>
      <w:rFonts w:ascii="LucidaSans;Times New Roman" w:hAnsi="LucidaSans;Times New Roman" w:cs="LucidaSans;Times New Roman"/>
      <w:caps/>
      <w:sz w:val="32"/>
    </w:rPr>
  </w:style>
  <w:style w:type="paragraph" w:styleId="CoverSGCowenlogo">
    <w:name w:val="Cover SG Cowen logo"/>
    <w:basedOn w:val="Normal"/>
    <w:qFormat/>
    <w:pPr>
      <w:spacing w:before="280" w:after="0"/>
    </w:pPr>
    <w:rPr>
      <w:rFonts w:ascii="LucidaSans;Times New Roman" w:hAnsi="LucidaSans;Times New Roman" w:cs="LucidaSans;Times New Roman"/>
      <w:b/>
      <w:color w:val="FF0000"/>
      <w:sz w:val="48"/>
    </w:rPr>
  </w:style>
  <w:style w:type="paragraph" w:styleId="CoverSGCowentext">
    <w:name w:val="Cover SG Cowen text"/>
    <w:basedOn w:val="Normal"/>
    <w:qFormat/>
    <w:pPr>
      <w:spacing w:before="280" w:after="0"/>
    </w:pPr>
    <w:rPr>
      <w:rFonts w:ascii="SG LucidaSans" w:hAnsi="SG LucidaSans" w:cs="SG LucidaSans"/>
      <w:b/>
      <w:color w:val="FF0000"/>
      <w:sz w:val="48"/>
    </w:rPr>
  </w:style>
  <w:style w:type="paragraph" w:styleId="Coversubtitle1">
    <w:name w:val="Cover subtitle1"/>
    <w:basedOn w:val="Normal"/>
    <w:next w:val="Coverdate"/>
    <w:qFormat/>
    <w:pPr>
      <w:spacing w:before="360" w:after="0"/>
    </w:pPr>
    <w:rPr>
      <w:rFonts w:ascii="LucidaT;Lucida Sans Unicode" w:hAnsi="LucidaT;Lucida Sans Unicode" w:cs="LucidaT;Lucida Sans Unicode"/>
      <w:sz w:val="36"/>
    </w:rPr>
  </w:style>
  <w:style w:type="paragraph" w:styleId="EnvelopeReturn">
    <w:name w:val="envelope return"/>
    <w:basedOn w:val="Normal"/>
    <w:pPr/>
    <w:rPr>
      <w:rFonts w:ascii="Arial Narrow" w:hAnsi="Arial Narrow" w:cs="Arial Narrow"/>
    </w:rPr>
  </w:style>
  <w:style w:type="paragraph" w:styleId="FinAnalysisHeader">
    <w:name w:val="Fin Analysis Header"/>
    <w:basedOn w:val="Normal"/>
    <w:qFormat/>
    <w:pPr>
      <w:widowControl w:val="false"/>
    </w:pPr>
    <w:rPr>
      <w:rFonts w:ascii="Arial" w:hAnsi="Arial" w:cs="Arial"/>
      <w:b/>
      <w:smallCaps/>
      <w:sz w:val="26"/>
    </w:rPr>
  </w:style>
  <w:style w:type="paragraph" w:styleId="FooterB">
    <w:name w:val="Footer B"/>
    <w:basedOn w:val="Footer"/>
    <w:qFormat/>
    <w:pPr>
      <w:widowControl w:val="false"/>
      <w:pBdr>
        <w:top w:val="double" w:sz="6" w:space="1" w:color="000000"/>
        <w:left w:val="double" w:sz="6" w:space="4" w:color="000000"/>
        <w:bottom w:val="double" w:sz="6" w:space="1" w:color="000000"/>
        <w:right w:val="double" w:sz="6" w:space="4" w:color="000000"/>
      </w:pBdr>
      <w:tabs>
        <w:tab w:val="center" w:pos="4320" w:leader="none"/>
        <w:tab w:val="left" w:pos="8640" w:leader="none"/>
      </w:tabs>
      <w:jc w:val="center"/>
    </w:pPr>
    <w:rPr>
      <w:rFonts w:ascii="Times New Roman" w:hAnsi="Times New Roman" w:cs="Times New Roman"/>
      <w:b/>
      <w:smallCaps/>
      <w:sz w:val="15"/>
    </w:rPr>
  </w:style>
  <w:style w:type="paragraph" w:styleId="GraphicHeadsmall">
    <w:name w:val="Graphic Head small"/>
    <w:basedOn w:val="Normal"/>
    <w:next w:val="Graphic"/>
    <w:qFormat/>
    <w:pPr>
      <w:spacing w:lineRule="exact" w:line="320" w:before="320" w:after="0"/>
      <w:ind w:hanging="0" w:start="29" w:end="0"/>
      <w:jc w:val="center"/>
    </w:pPr>
    <w:rPr>
      <w:b/>
      <w:sz w:val="18"/>
    </w:rPr>
  </w:style>
  <w:style w:type="paragraph" w:styleId="GraphicHead">
    <w:name w:val="Graphic Head"/>
    <w:basedOn w:val="Normal"/>
    <w:qFormat/>
    <w:pPr>
      <w:keepNext w:val="true"/>
      <w:spacing w:before="360" w:after="0"/>
      <w:jc w:val="center"/>
    </w:pPr>
    <w:rPr>
      <w:b/>
      <w:sz w:val="21"/>
    </w:rPr>
  </w:style>
  <w:style w:type="paragraph" w:styleId="Logoframe-footerSG">
    <w:name w:val="Logo frame - footer SG"/>
    <w:basedOn w:val="Normal"/>
    <w:qFormat/>
    <w:pPr/>
    <w:rPr>
      <w:rFonts w:ascii="SG LucidaT" w:hAnsi="SG LucidaT" w:cs="SG LucidaT"/>
    </w:rPr>
  </w:style>
  <w:style w:type="paragraph" w:styleId="Logoframe-headerClient">
    <w:name w:val="Logo frame - header Client"/>
    <w:basedOn w:val="Normal"/>
    <w:qFormat/>
    <w:pPr>
      <w:tabs>
        <w:tab w:val="clear" w:pos="720"/>
        <w:tab w:val="center" w:pos="1080" w:leader="none"/>
      </w:tabs>
      <w:spacing w:before="20" w:after="0"/>
    </w:pPr>
    <w:rPr>
      <w:rFonts w:ascii="LucidaSans;Times New Roman" w:hAnsi="LucidaSans;Times New Roman" w:cs="LucidaSans;Times New Roman"/>
      <w:color w:val="0000FF"/>
      <w:sz w:val="24"/>
    </w:rPr>
  </w:style>
  <w:style w:type="paragraph" w:styleId="MinorTitle">
    <w:name w:val="Minor Title"/>
    <w:basedOn w:val="Normal"/>
    <w:next w:val="WW-Text"/>
    <w:qFormat/>
    <w:pPr>
      <w:keepNext w:val="true"/>
      <w:spacing w:before="300" w:after="0"/>
    </w:pPr>
    <w:rPr>
      <w:rFonts w:ascii="LucidaSans;Times New Roman" w:hAnsi="LucidaSans;Times New Roman" w:cs="LucidaSans;Times New Roman"/>
      <w:i/>
    </w:rPr>
  </w:style>
  <w:style w:type="paragraph" w:styleId="NormalEntry">
    <w:name w:val="Normal Entry"/>
    <w:basedOn w:val="Normal"/>
    <w:qFormat/>
    <w:pPr>
      <w:widowControl w:val="false"/>
      <w:tabs>
        <w:tab w:val="clear" w:pos="720"/>
        <w:tab w:val="left" w:pos="2520" w:leader="dot"/>
      </w:tabs>
      <w:ind w:hanging="2520" w:start="2520" w:end="0"/>
    </w:pPr>
    <w:rPr>
      <w:sz w:val="24"/>
    </w:rPr>
  </w:style>
  <w:style w:type="paragraph" w:styleId="NormalIndent">
    <w:name w:val="Normal Indent"/>
    <w:basedOn w:val="Normal"/>
    <w:qFormat/>
    <w:pPr>
      <w:ind w:hanging="0" w:start="720" w:end="0"/>
    </w:pPr>
    <w:rPr/>
  </w:style>
  <w:style w:type="paragraph" w:styleId="OperatorNotes">
    <w:name w:val="Operator Notes"/>
    <w:basedOn w:val="Normal"/>
    <w:qFormat/>
    <w:pPr/>
    <w:rPr>
      <w:rFonts w:ascii="LucidaSans;Times New Roman" w:hAnsi="LucidaSans;Times New Roman" w:cs="LucidaSans;Times New Roman"/>
      <w:vanish/>
      <w:color w:val="0000FF"/>
      <w:sz w:val="18"/>
      <w:lang w:val="en-CA" w:eastAsia="en-CA"/>
    </w:rPr>
  </w:style>
  <w:style w:type="paragraph" w:styleId="PageTitle">
    <w:name w:val="Page Title"/>
    <w:basedOn w:val="Normal"/>
    <w:next w:val="Normal"/>
    <w:qFormat/>
    <w:pPr>
      <w:keepNext w:val="true"/>
      <w:pageBreakBefore/>
      <w:numPr>
        <w:ilvl w:val="0"/>
        <w:numId w:val="5"/>
      </w:numPr>
      <w:spacing w:before="0" w:after="60"/>
    </w:pPr>
    <w:rPr>
      <w:rFonts w:ascii="SG LucidaSans" w:hAnsi="SG LucidaSans" w:cs="SG LucidaSans"/>
      <w:caps/>
      <w:sz w:val="28"/>
    </w:rPr>
  </w:style>
  <w:style w:type="paragraph" w:styleId="RedLine">
    <w:name w:val="Red Line"/>
    <w:basedOn w:val="Normal"/>
    <w:next w:val="Normal"/>
    <w:qFormat/>
    <w:pPr>
      <w:pBdr>
        <w:bottom w:val="single" w:sz="18" w:space="3" w:color="000000"/>
      </w:pBdr>
      <w:spacing w:before="520" w:after="400"/>
      <w:jc w:val="end"/>
    </w:pPr>
    <w:rPr>
      <w:rFonts w:ascii="SG LucidaSans" w:hAnsi="SG LucidaSans" w:cs="SG LucidaSans"/>
      <w:caps/>
      <w:sz w:val="16"/>
    </w:rPr>
  </w:style>
  <w:style w:type="paragraph" w:styleId="SideBar">
    <w:name w:val="Side Bar"/>
    <w:basedOn w:val="Normal"/>
    <w:qFormat/>
    <w:pPr>
      <w:tabs>
        <w:tab w:val="clear" w:pos="720"/>
        <w:tab w:val="left" w:pos="360" w:leader="none"/>
      </w:tabs>
      <w:spacing w:before="360" w:after="0"/>
    </w:pPr>
    <w:rPr>
      <w:rFonts w:ascii="LucidaSans;Times New Roman" w:hAnsi="LucidaSans;Times New Roman" w:cs="LucidaSans;Times New Roman"/>
      <w:b/>
    </w:rPr>
  </w:style>
  <w:style w:type="paragraph" w:styleId="Spacerhalf">
    <w:name w:val="Spacer half"/>
    <w:basedOn w:val="Normal"/>
    <w:qFormat/>
    <w:pPr>
      <w:spacing w:lineRule="exact" w:line="180"/>
    </w:pPr>
    <w:rPr>
      <w:rFonts w:ascii="LucidaT;Lucida Sans Unicode" w:hAnsi="LucidaT;Lucida Sans Unicode" w:cs="LucidaT;Lucida Sans Unicode"/>
      <w:color w:val="C0C0C0"/>
      <w:sz w:val="14"/>
    </w:rPr>
  </w:style>
  <w:style w:type="paragraph" w:styleId="Spacer">
    <w:name w:val="Spacer"/>
    <w:basedOn w:val="Normal"/>
    <w:qFormat/>
    <w:pPr>
      <w:keepNext w:val="true"/>
      <w:spacing w:lineRule="exact" w:line="360"/>
    </w:pPr>
    <w:rPr>
      <w:rFonts w:ascii="LucidaT;Lucida Sans Unicode" w:hAnsi="LucidaT;Lucida Sans Unicode" w:cs="LucidaT;Lucida Sans Unicode"/>
      <w:color w:val="C0C0C0"/>
    </w:rPr>
  </w:style>
  <w:style w:type="paragraph" w:styleId="Style0">
    <w:name w:val="Style0"/>
    <w:qFormat/>
    <w:pPr>
      <w:widowControl/>
      <w:bidi w:val="0"/>
    </w:pPr>
    <w:rPr>
      <w:rFonts w:ascii="Arial" w:hAnsi="Arial" w:eastAsia="Times New Roman" w:cs="Arial"/>
      <w:color w:val="auto"/>
      <w:sz w:val="24"/>
      <w:szCs w:val="20"/>
      <w:lang w:val="en-US" w:eastAsia="zh-CN" w:bidi="hi-IN"/>
    </w:rPr>
  </w:style>
  <w:style w:type="paragraph" w:styleId="SubTitleItal">
    <w:name w:val="Sub Title Ital"/>
    <w:basedOn w:val="Normal"/>
    <w:qFormat/>
    <w:pPr>
      <w:keepNext w:val="true"/>
      <w:spacing w:before="360" w:after="0"/>
    </w:pPr>
    <w:rPr>
      <w:rFonts w:ascii="SG LucidaSans" w:hAnsi="SG LucidaSans" w:cs="SG LucidaSans"/>
      <w:b/>
      <w:i/>
      <w:sz w:val="20"/>
    </w:rPr>
  </w:style>
  <w:style w:type="paragraph" w:styleId="SubTitle">
    <w:name w:val="Sub Title"/>
    <w:basedOn w:val="Normal"/>
    <w:next w:val="Normal"/>
    <w:qFormat/>
    <w:pPr>
      <w:keepNext w:val="true"/>
      <w:spacing w:before="360" w:after="0"/>
    </w:pPr>
    <w:rPr>
      <w:rFonts w:ascii="LucidaSans;Times New Roman" w:hAnsi="LucidaSans;Times New Roman" w:cs="LucidaSans;Times New Roman"/>
      <w:b/>
    </w:rPr>
  </w:style>
  <w:style w:type="paragraph" w:styleId="Subheading">
    <w:name w:val="Subheading"/>
    <w:basedOn w:val="WW-Text"/>
    <w:qFormat/>
    <w:pPr>
      <w:jc w:val="center"/>
    </w:pPr>
    <w:rPr>
      <w:b/>
      <w:color w:val="auto"/>
      <w:sz w:val="20"/>
    </w:rPr>
  </w:style>
  <w:style w:type="paragraph" w:styleId="TabPage">
    <w:name w:val="Tab Page"/>
    <w:basedOn w:val="Normal"/>
    <w:next w:val="PageTitle"/>
    <w:qFormat/>
    <w:pPr>
      <w:pageBreakBefore/>
      <w:numPr>
        <w:ilvl w:val="0"/>
        <w:numId w:val="0"/>
      </w:numPr>
      <w:spacing w:before="4240" w:after="0"/>
      <w:ind w:hanging="0" w:start="0" w:end="0"/>
    </w:pPr>
    <w:rPr>
      <w:caps/>
      <w:sz w:val="40"/>
      <w:lang w:val="en-AU"/>
    </w:rPr>
  </w:style>
  <w:style w:type="paragraph" w:styleId="TableBullet1">
    <w:name w:val="Table Bullet 1"/>
    <w:basedOn w:val="Normal"/>
    <w:qFormat/>
    <w:pPr>
      <w:numPr>
        <w:ilvl w:val="0"/>
        <w:numId w:val="18"/>
      </w:numPr>
      <w:tabs>
        <w:tab w:val="clear" w:pos="720"/>
        <w:tab w:val="left" w:pos="216" w:leader="none"/>
      </w:tabs>
      <w:spacing w:before="120" w:after="0"/>
      <w:ind w:hanging="216" w:start="216" w:end="288"/>
    </w:pPr>
    <w:rPr>
      <w:rFonts w:ascii="LucidaT;Lucida Sans Unicode" w:hAnsi="LucidaT;Lucida Sans Unicode" w:cs="LucidaT;Lucida Sans Unicode"/>
    </w:rPr>
  </w:style>
  <w:style w:type="paragraph" w:styleId="TableBullet2">
    <w:name w:val="Table Bullet 2"/>
    <w:basedOn w:val="Normal"/>
    <w:qFormat/>
    <w:pPr>
      <w:numPr>
        <w:ilvl w:val="0"/>
        <w:numId w:val="19"/>
      </w:numPr>
      <w:tabs>
        <w:tab w:val="clear" w:pos="720"/>
        <w:tab w:val="left" w:pos="432" w:leader="none"/>
      </w:tabs>
      <w:spacing w:before="40" w:after="0"/>
      <w:ind w:hanging="216" w:start="432" w:end="288"/>
    </w:pPr>
    <w:rPr>
      <w:rFonts w:ascii="LucidaT;Lucida Sans Unicode" w:hAnsi="LucidaT;Lucida Sans Unicode" w:cs="LucidaT;Lucida Sans Unicode"/>
    </w:rPr>
  </w:style>
  <w:style w:type="paragraph" w:styleId="TableBullet3">
    <w:name w:val="Table Bullet 3"/>
    <w:basedOn w:val="Normal"/>
    <w:qFormat/>
    <w:pPr>
      <w:numPr>
        <w:ilvl w:val="0"/>
        <w:numId w:val="20"/>
      </w:numPr>
      <w:tabs>
        <w:tab w:val="left" w:pos="720" w:leader="none"/>
      </w:tabs>
      <w:spacing w:before="40" w:after="0"/>
      <w:ind w:hanging="216" w:start="720" w:end="288"/>
    </w:pPr>
    <w:rPr>
      <w:rFonts w:ascii="LucidaT;Lucida Sans Unicode" w:hAnsi="LucidaT;Lucida Sans Unicode" w:cs="LucidaT;Lucida Sans Unicode"/>
    </w:rPr>
  </w:style>
  <w:style w:type="paragraph" w:styleId="TableFootnote">
    <w:name w:val="Table Footnote"/>
    <w:basedOn w:val="Normal"/>
    <w:qFormat/>
    <w:pPr>
      <w:tabs>
        <w:tab w:val="clear" w:pos="720"/>
        <w:tab w:val="left" w:pos="360" w:leader="none"/>
      </w:tabs>
      <w:ind w:hanging="360" w:start="360" w:end="0"/>
    </w:pPr>
    <w:rPr>
      <w:sz w:val="15"/>
    </w:rPr>
  </w:style>
  <w:style w:type="paragraph" w:styleId="TableHeadsmall">
    <w:name w:val="Table Head small"/>
    <w:basedOn w:val="Normal"/>
    <w:qFormat/>
    <w:pPr>
      <w:keepLines/>
      <w:spacing w:before="120" w:after="60"/>
      <w:ind w:hanging="0" w:start="72" w:end="72"/>
    </w:pPr>
    <w:rPr>
      <w:rFonts w:ascii="LucidaSans;Times New Roman" w:hAnsi="LucidaSans;Times New Roman" w:cs="LucidaSans;Times New Roman"/>
      <w:b/>
      <w:color w:val="FFFFFF"/>
      <w:sz w:val="18"/>
    </w:rPr>
  </w:style>
  <w:style w:type="paragraph" w:styleId="Texthead">
    <w:name w:val="Texthead"/>
    <w:basedOn w:val="Normal"/>
    <w:qFormat/>
    <w:pPr>
      <w:spacing w:before="120" w:after="60"/>
      <w:ind w:hanging="0" w:start="72" w:end="72"/>
    </w:pPr>
    <w:rPr>
      <w:b/>
      <w:color w:val="FFFFFF"/>
      <w:sz w:val="24"/>
    </w:rPr>
  </w:style>
  <w:style w:type="paragraph" w:styleId="TOCAppendix">
    <w:name w:val="TOC Appendix"/>
    <w:basedOn w:val="Normal"/>
    <w:qFormat/>
    <w:pPr>
      <w:spacing w:before="240" w:after="0"/>
      <w:ind w:hanging="1548" w:start="1980" w:end="0"/>
    </w:pPr>
    <w:rPr>
      <w:rFonts w:ascii="LucidaSans;Times New Roman" w:hAnsi="LucidaSans;Times New Roman" w:cs="LucidaSans;Times New Roman"/>
      <w:caps/>
    </w:rPr>
  </w:style>
  <w:style w:type="paragraph" w:styleId="TOC4">
    <w:name w:val="TOC4"/>
    <w:basedOn w:val="Normal"/>
    <w:qFormat/>
    <w:pPr>
      <w:tabs>
        <w:tab w:val="clear" w:pos="720"/>
        <w:tab w:val="left" w:pos="1440" w:leader="none"/>
        <w:tab w:val="right" w:pos="9360" w:leader="dot"/>
      </w:tabs>
      <w:ind w:hanging="360" w:start="1440" w:end="0"/>
    </w:pPr>
    <w:rPr>
      <w:rFonts w:ascii="LucidaSans;Times New Roman" w:hAnsi="LucidaSans;Times New Roman" w:cs="LucidaSans;Times New Roman"/>
    </w:rPr>
  </w:style>
  <w:style w:type="paragraph" w:styleId="WP9Header">
    <w:name w:val="WP9_Header"/>
    <w:basedOn w:val="Normal"/>
    <w:qFormat/>
    <w:pPr>
      <w:widowControl w:val="false"/>
      <w:tabs>
        <w:tab w:val="clear" w:pos="720"/>
        <w:tab w:val="left" w:pos="0" w:leader="none"/>
        <w:tab w:val="center" w:pos="4320" w:leader="none"/>
        <w:tab w:val="right" w:pos="8640" w:leader="none"/>
        <w:tab w:val="right" w:pos="9360" w:leader="none"/>
      </w:tabs>
    </w:pPr>
    <w:rPr>
      <w:sz w:val="24"/>
    </w:rPr>
  </w:style>
  <w:style w:type="paragraph" w:styleId="ListBullet2">
    <w:name w:val="List Bullet 2"/>
    <w:basedOn w:val="Normal"/>
    <w:qFormat/>
    <w:pPr>
      <w:numPr>
        <w:ilvl w:val="0"/>
        <w:numId w:val="21"/>
      </w:numPr>
      <w:tabs>
        <w:tab w:val="clear" w:pos="720"/>
        <w:tab w:val="left" w:pos="864" w:leader="none"/>
      </w:tabs>
      <w:ind w:hanging="360" w:start="864" w:end="0"/>
      <w:jc w:val="both"/>
    </w:pPr>
    <w:rPr>
      <w:color w:val="auto"/>
    </w:rPr>
  </w:style>
  <w:style w:type="paragraph" w:styleId="ListBullet3">
    <w:name w:val="List Bullet 3"/>
    <w:basedOn w:val="Normal"/>
    <w:qFormat/>
    <w:pPr>
      <w:numPr>
        <w:ilvl w:val="0"/>
        <w:numId w:val="22"/>
      </w:numPr>
      <w:tabs>
        <w:tab w:val="clear" w:pos="720"/>
        <w:tab w:val="left" w:pos="1296" w:leader="none"/>
      </w:tabs>
      <w:ind w:hanging="288" w:start="1224" w:end="0"/>
    </w:pPr>
    <w:rPr>
      <w:color w:val="auto"/>
      <w:sz w:val="24"/>
    </w:rPr>
  </w:style>
  <w:style w:type="paragraph" w:styleId="DefaultText">
    <w:name w:val="Default Text"/>
    <w:basedOn w:val="Normal"/>
    <w:qFormat/>
    <w:pPr/>
    <w:rPr>
      <w:color w:val="auto"/>
      <w:sz w:val="24"/>
      <w:lang w:val="en-CA" w:eastAsia="en-CA"/>
    </w:rPr>
  </w:style>
  <w:style w:type="paragraph" w:styleId="BodyTextIndent">
    <w:name w:val="Body Text Indent"/>
    <w:basedOn w:val="Normal"/>
    <w:pPr>
      <w:widowControl w:val="false"/>
      <w:tabs>
        <w:tab w:val="clear" w:pos="720"/>
        <w:tab w:val="left" w:pos="1309" w:leader="none"/>
        <w:tab w:val="left" w:pos="5278" w:leader="none"/>
        <w:tab w:val="left" w:pos="7560" w:leader="none"/>
        <w:tab w:val="left" w:pos="8400" w:leader="none"/>
        <w:tab w:val="left" w:pos="9240" w:leader="none"/>
      </w:tabs>
      <w:spacing w:lineRule="exact" w:line="240"/>
      <w:ind w:hanging="706" w:start="1311" w:end="0"/>
    </w:pPr>
    <w:rPr>
      <w:color w:val="auto"/>
    </w:rPr>
  </w:style>
  <w:style w:type="paragraph" w:styleId="CommentText">
    <w:name w:val="Comment Text"/>
    <w:basedOn w:val="Normal"/>
    <w:qFormat/>
    <w:pPr>
      <w:widowControl w:val="false"/>
    </w:pPr>
    <w:rPr>
      <w:color w:val="auto"/>
      <w:sz w:val="20"/>
    </w:rPr>
  </w:style>
  <w:style w:type="paragraph" w:styleId="Textbulletsmall">
    <w:name w:val="Textbulletsmall"/>
    <w:qFormat/>
    <w:pPr>
      <w:widowControl/>
      <w:numPr>
        <w:ilvl w:val="0"/>
        <w:numId w:val="11"/>
      </w:numPr>
      <w:bidi w:val="0"/>
      <w:spacing w:before="200" w:after="0"/>
      <w:jc w:val="both"/>
    </w:pPr>
    <w:rPr>
      <w:rFonts w:ascii="Times New Roman" w:hAnsi="Times New Roman" w:eastAsia="Times New Roman" w:cs="Times New Roman"/>
      <w:color w:val="auto"/>
      <w:sz w:val="21"/>
      <w:szCs w:val="20"/>
      <w:lang w:val="en-US" w:eastAsia="zh-CN" w:bidi="hi-IN"/>
    </w:rPr>
  </w:style>
  <w:style w:type="paragraph" w:styleId="bulletindent">
    <w:name w:val="bulletindent"/>
    <w:basedOn w:val="WW-Text"/>
    <w:qFormat/>
    <w:pPr>
      <w:spacing w:before="200" w:after="0"/>
      <w:ind w:hanging="0" w:start="360" w:end="0"/>
    </w:pPr>
    <w:rPr/>
  </w:style>
  <w:style w:type="paragraph" w:styleId="Textboldbreak">
    <w:name w:val="Textboldbreak"/>
    <w:basedOn w:val="Textbold"/>
    <w:qFormat/>
    <w:pPr>
      <w:pageBreakBefore/>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oleObject" Target="embeddings/oleObject1.bin"/><Relationship Id="rId13" Type="http://schemas.openxmlformats.org/officeDocument/2006/relationships/image" Target="media/image3.wmf"/><Relationship Id="rId14" Type="http://schemas.openxmlformats.org/officeDocument/2006/relationships/image" Target="media/image4.wmf"/><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image" Target="media/image5.wmf"/><Relationship Id="rId28" Type="http://schemas.openxmlformats.org/officeDocument/2006/relationships/image" Target="media/image6.wmf"/><Relationship Id="rId29" Type="http://schemas.openxmlformats.org/officeDocument/2006/relationships/image" Target="media/image7.wmf"/><Relationship Id="rId30" Type="http://schemas.openxmlformats.org/officeDocument/2006/relationships/image" Target="media/image8.wmf"/><Relationship Id="rId31" Type="http://schemas.openxmlformats.org/officeDocument/2006/relationships/image" Target="media/image9.wmf"/><Relationship Id="rId32" Type="http://schemas.openxmlformats.org/officeDocument/2006/relationships/image" Target="media/image10.wmf"/><Relationship Id="rId33" Type="http://schemas.openxmlformats.org/officeDocument/2006/relationships/image" Target="media/image11.wmf"/><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image" Target="media/image12.wmf"/><Relationship Id="rId43" Type="http://schemas.openxmlformats.org/officeDocument/2006/relationships/header" Target="header16.xml"/><Relationship Id="rId44" Type="http://schemas.openxmlformats.org/officeDocument/2006/relationships/header" Target="header17.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header" Target="header18.xml"/><Relationship Id="rId48" Type="http://schemas.openxmlformats.org/officeDocument/2006/relationships/header" Target="header19.xml"/><Relationship Id="rId49" Type="http://schemas.openxmlformats.org/officeDocument/2006/relationships/footer" Target="footer16.xml"/><Relationship Id="rId50" Type="http://schemas.openxmlformats.org/officeDocument/2006/relationships/footer" Target="footer17.xml"/><Relationship Id="rId51" Type="http://schemas.openxmlformats.org/officeDocument/2006/relationships/image" Target="media/image13.wmf"/><Relationship Id="rId52" Type="http://schemas.openxmlformats.org/officeDocument/2006/relationships/oleObject" Target="embeddings/oleObject2.bin"/><Relationship Id="rId53" Type="http://schemas.openxmlformats.org/officeDocument/2006/relationships/image" Target="media/image14.wmf"/><Relationship Id="rId54" Type="http://schemas.openxmlformats.org/officeDocument/2006/relationships/header" Target="header20.xml"/><Relationship Id="rId55" Type="http://schemas.openxmlformats.org/officeDocument/2006/relationships/header" Target="header21.xml"/><Relationship Id="rId56" Type="http://schemas.openxmlformats.org/officeDocument/2006/relationships/footer" Target="footer18.xml"/><Relationship Id="rId57" Type="http://schemas.openxmlformats.org/officeDocument/2006/relationships/footer" Target="footer19.xml"/><Relationship Id="rId58" Type="http://schemas.openxmlformats.org/officeDocument/2006/relationships/header" Target="header22.xml"/><Relationship Id="rId59" Type="http://schemas.openxmlformats.org/officeDocument/2006/relationships/header" Target="header23.xml"/><Relationship Id="rId60" Type="http://schemas.openxmlformats.org/officeDocument/2006/relationships/footer" Target="footer20.xml"/><Relationship Id="rId61" Type="http://schemas.openxmlformats.org/officeDocument/2006/relationships/footer" Target="footer21.xml"/><Relationship Id="rId62" Type="http://schemas.openxmlformats.org/officeDocument/2006/relationships/image" Target="media/image15.wmf"/><Relationship Id="rId63" Type="http://schemas.openxmlformats.org/officeDocument/2006/relationships/image" Target="media/image16.wmf"/><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22.xml"/><Relationship Id="rId67" Type="http://schemas.openxmlformats.org/officeDocument/2006/relationships/footer" Target="footer23.xml"/><Relationship Id="rId68" Type="http://schemas.openxmlformats.org/officeDocument/2006/relationships/image" Target="media/image17.wmf"/><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24.xml"/><Relationship Id="rId72" Type="http://schemas.openxmlformats.org/officeDocument/2006/relationships/footer" Target="footer25.xml"/><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2001-03-14T17:51:00Z</dcterms:created>
  <dc:creator>Bailey, Kevin</dc:creator>
  <dc:description>d&amp;r from banker's email infomemosellside-v.18.1.doc</dc:description>
  <cp:keywords>November 2000</cp:keywords>
  <dc:language>en-CA</dc:language>
  <cp:lastModifiedBy>mgarcia3</cp:lastModifiedBy>
  <cp:lastPrinted>2000-11-13T15:02:00Z</cp:lastPrinted>
  <dcterms:modified xsi:type="dcterms:W3CDTF">2001-03-14T17:51:00Z</dcterms:modified>
  <cp:revision>2</cp:revision>
  <dc:subject>Confidential Information Memorandum</dc:subject>
  <dc:title>Enron Monterrey Power Project</dc:title>
</cp:coreProperties>
</file>