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r>
    </w:p>
    <w:tbl>
      <w:tblPr>
        <w:tblW w:w="9468" w:type="dxa"/>
        <w:jc w:val="start"/>
        <w:tblInd w:w="0" w:type="dxa"/>
        <w:tblLayout w:type="fixed"/>
        <w:tblCellMar>
          <w:top w:w="0" w:type="dxa"/>
          <w:start w:w="108" w:type="dxa"/>
          <w:bottom w:w="0" w:type="dxa"/>
          <w:end w:w="108" w:type="dxa"/>
        </w:tblCellMar>
      </w:tblPr>
      <w:tblGrid>
        <w:gridCol w:w="9468"/>
      </w:tblGrid>
      <w:tr>
        <w:trPr/>
        <w:tc>
          <w:tcPr>
            <w:tcW w:w="9468" w:type="dxa"/>
            <w:tcBorders/>
          </w:tcPr>
          <w:p>
            <w:pPr>
              <w:pStyle w:val="Normal"/>
              <w:tabs>
                <w:tab w:val="clear" w:pos="720"/>
                <w:tab w:val="left" w:pos="2412" w:leader="none"/>
              </w:tabs>
              <w:ind w:start="1962" w:end="0"/>
              <w:jc w:val="end"/>
              <w:rPr>
                <w:b/>
                <w:sz w:val="22"/>
              </w:rPr>
            </w:pPr>
            <w:r>
              <w:drawing>
                <wp:anchor behindDoc="0" distT="0" distB="0" distL="114935" distR="114935" simplePos="0" locked="0" layoutInCell="0" allowOverlap="1" relativeHeight="2">
                  <wp:simplePos x="0" y="0"/>
                  <wp:positionH relativeFrom="margin">
                    <wp:posOffset>0</wp:posOffset>
                  </wp:positionH>
                  <wp:positionV relativeFrom="paragraph">
                    <wp:posOffset>36830</wp:posOffset>
                  </wp:positionV>
                  <wp:extent cx="995680" cy="98171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1710"/>
                          </a:xfrm>
                          <a:prstGeom prst="rect">
                            <a:avLst/>
                          </a:prstGeom>
                          <a:noFill/>
                        </pic:spPr>
                      </pic:pic>
                    </a:graphicData>
                  </a:graphic>
                </wp:anchor>
              </w:drawing>
            </w:r>
            <w:r>
              <w:rPr>
                <w:b/>
                <w:sz w:val="22"/>
              </w:rPr>
              <w:t>Enron North America Corp.</w:t>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Index1"/>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rPr>
      </w:r>
    </w:p>
    <w:p>
      <w:pPr>
        <w:pStyle w:val="Normal"/>
        <w:rPr/>
      </w:pPr>
      <w:r>
        <w:rPr/>
        <w:t>January 18, 2000</w:t>
      </w:r>
    </w:p>
    <w:p>
      <w:pPr>
        <w:pStyle w:val="Normal"/>
        <w:rPr/>
      </w:pPr>
      <w:r>
        <w:rPr/>
      </w:r>
    </w:p>
    <w:p>
      <w:pPr>
        <w:pStyle w:val="Index1"/>
        <w:rPr>
          <w:rFonts w:ascii="Times New Roman" w:hAnsi="Times New Roman" w:cs="Times New Roman"/>
        </w:rPr>
      </w:pPr>
      <w:r>
        <w:rPr>
          <w:rFonts w:cs="Times New Roman" w:ascii="Times New Roman" w:hAnsi="Times New Roman"/>
        </w:rPr>
        <w:t>Inergy Partners, LLC</w:t>
      </w:r>
    </w:p>
    <w:p>
      <w:pPr>
        <w:pStyle w:val="Normal"/>
        <w:rPr/>
      </w:pPr>
      <w:r>
        <w:rPr/>
        <w:t>1101 Walnut Street, Suite 1500</w:t>
      </w:r>
    </w:p>
    <w:p>
      <w:pPr>
        <w:pStyle w:val="Normal"/>
        <w:rPr/>
      </w:pPr>
      <w:r>
        <w:rPr/>
        <w:t>Kansas City, Missouri  64106</w:t>
      </w:r>
    </w:p>
    <w:p>
      <w:pPr>
        <w:pStyle w:val="Normal"/>
        <w:rPr/>
      </w:pPr>
      <w:r>
        <w:rPr/>
        <w:t>Attention: Bill Gautreaux</w:t>
      </w:r>
    </w:p>
    <w:p>
      <w:pPr>
        <w:pStyle w:val="Normal"/>
        <w:rPr/>
      </w:pPr>
      <w:r>
        <w:rPr/>
      </w:r>
    </w:p>
    <w:p>
      <w:pPr>
        <w:pStyle w:val="Normal"/>
        <w:rPr/>
      </w:pPr>
      <w:r>
        <w:rPr/>
        <w:t>Fax No.: (816) 842-1904</w:t>
      </w:r>
    </w:p>
    <w:p>
      <w:pPr>
        <w:pStyle w:val="Normal"/>
        <w:rPr/>
      </w:pPr>
      <w:r>
        <w:rPr/>
        <w:t>Telephone No.: (816) 842-8181</w:t>
      </w:r>
    </w:p>
    <w:p>
      <w:pPr>
        <w:pStyle w:val="Index1"/>
        <w:rPr>
          <w:rFonts w:ascii="Times New Roman" w:hAnsi="Times New Roman" w:cs="Times New Roman"/>
        </w:rPr>
      </w:pPr>
      <w:r>
        <w:rPr>
          <w:rFonts w:cs="Times New Roman" w:ascii="Times New Roman" w:hAnsi="Times New Roman"/>
        </w:rPr>
      </w:r>
    </w:p>
    <w:p>
      <w:pPr>
        <w:pStyle w:val="Normal"/>
        <w:rPr/>
      </w:pPr>
      <w:r>
        <w:rPr/>
        <w:t>Re:</w:t>
        <w:tab/>
        <w:t>TRANSACTION ENA Contract No. WR0809</w:t>
      </w:r>
    </w:p>
    <w:p>
      <w:pPr>
        <w:pStyle w:val="Normal"/>
        <w:rPr/>
      </w:pPr>
      <w:r>
        <w:rPr/>
      </w:r>
    </w:p>
    <w:p>
      <w:pPr>
        <w:pStyle w:val="Normal"/>
        <w:rPr/>
      </w:pPr>
      <w:r>
        <w:rPr/>
        <w:t>Dear Sirs:</w:t>
      </w:r>
    </w:p>
    <w:p>
      <w:pPr>
        <w:pStyle w:val="Normal"/>
        <w:rPr/>
      </w:pPr>
      <w:r>
        <w:rPr/>
      </w:r>
    </w:p>
    <w:p>
      <w:pPr>
        <w:pStyle w:val="Normal"/>
        <w:jc w:val="both"/>
        <w:rPr/>
      </w:pPr>
      <w:r>
        <w:rPr/>
        <w:t xml:space="preserve">The purpose of this document is to confirm the terms and conditions of the transaction entered into between </w:t>
      </w:r>
      <w:r>
        <w:rPr>
          <w:color w:val="000000"/>
        </w:rPr>
        <w:t>Inergy Partners, LLC</w:t>
      </w:r>
      <w:r>
        <w:rPr/>
        <w:t xml:space="preserve"> (“Counterparty”) and Enron North America Corp. (“ENA”) on January 14, 2000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January 14, 2000 between Marty Malinow of ENA and Bill Gautreaux of Counterparty.</w:t>
      </w:r>
    </w:p>
    <w:p>
      <w:pPr>
        <w:pStyle w:val="Normal"/>
        <w:jc w:val="both"/>
        <w:rPr/>
      </w:pPr>
      <w:r>
        <w:rPr/>
      </w:r>
    </w:p>
    <w:p>
      <w:pPr>
        <w:pStyle w:val="BodyText"/>
        <w:rPr>
          <w:color w:val="000000"/>
        </w:rPr>
      </w:pPr>
      <w:r>
        <w:rPr>
          <w:color w:val="000000"/>
        </w:rPr>
        <w:t>1.</w:t>
        <w:tab/>
        <w:t>The definitions and provisions contained in the 1991 ISDA Definitions and the 1993 ISDA Commodity Derivatives Definitions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color w:val="000000"/>
        </w:rPr>
      </w:pPr>
      <w:r>
        <w:rPr>
          <w:color w:val="000000"/>
        </w:rPr>
      </w:r>
    </w:p>
    <w:p>
      <w:pPr>
        <w:pStyle w:val="Normal"/>
        <w:jc w:val="both"/>
        <w:rPr/>
      </w:pPr>
      <w:r>
        <w:rPr/>
        <w:t>2.</w:t>
        <w:tab/>
      </w:r>
      <w:r>
        <w:rPr>
          <w:b/>
          <w:u w:val="single"/>
        </w:rPr>
        <w:t>Terms of Transaction</w:t>
      </w:r>
      <w:r>
        <w:rPr>
          <w:b/>
        </w:rPr>
        <w:t xml:space="preserve">.  </w:t>
      </w:r>
      <w:r>
        <w:rPr/>
        <w:t>The terms of the particular Transaction to which this Confirmation relates are as follows:</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color w:val="000000"/>
              </w:rPr>
            </w:pPr>
            <w:r>
              <w:rPr>
                <w:color w:val="000000"/>
              </w:rPr>
              <w:t>Transaction Type:</w:t>
            </w:r>
          </w:p>
        </w:tc>
        <w:tc>
          <w:tcPr>
            <w:tcW w:w="6408" w:type="dxa"/>
            <w:tcBorders/>
          </w:tcPr>
          <w:p>
            <w:pPr>
              <w:pStyle w:val="Normal"/>
              <w:jc w:val="both"/>
              <w:rPr>
                <w:color w:val="000000"/>
              </w:rPr>
            </w:pPr>
            <w:r>
              <w:rPr>
                <w:color w:val="000000"/>
              </w:rPr>
              <w:t>Heating Degree Day (“HDD”) Swap</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Notional Amount:</w:t>
            </w:r>
          </w:p>
        </w:tc>
        <w:tc>
          <w:tcPr>
            <w:tcW w:w="6408" w:type="dxa"/>
            <w:tcBorders/>
          </w:tcPr>
          <w:p>
            <w:pPr>
              <w:pStyle w:val="Normal"/>
              <w:jc w:val="both"/>
              <w:rPr/>
            </w:pPr>
            <w:r>
              <w:rPr>
                <w:color w:val="FF0000"/>
              </w:rPr>
              <w:t xml:space="preserve">$1,000 </w:t>
            </w:r>
            <w:r>
              <w:rPr>
                <w:color w:val="000000"/>
              </w:rPr>
              <w:t>per HDD</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Trade Date:</w:t>
            </w:r>
          </w:p>
        </w:tc>
        <w:tc>
          <w:tcPr>
            <w:tcW w:w="6408" w:type="dxa"/>
            <w:tcBorders/>
          </w:tcPr>
          <w:p>
            <w:pPr>
              <w:pStyle w:val="Normal"/>
              <w:jc w:val="both"/>
              <w:rPr>
                <w:color w:val="000000"/>
              </w:rPr>
            </w:pPr>
            <w:r>
              <w:rPr>
                <w:color w:val="FF0000"/>
              </w:rPr>
              <w:t>January 14, 2000</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Effective Date:</w:t>
            </w:r>
          </w:p>
        </w:tc>
        <w:tc>
          <w:tcPr>
            <w:tcW w:w="6408" w:type="dxa"/>
            <w:tcBorders/>
          </w:tcPr>
          <w:p>
            <w:pPr>
              <w:pStyle w:val="Normal"/>
              <w:jc w:val="both"/>
              <w:rPr>
                <w:color w:val="000000"/>
              </w:rPr>
            </w:pPr>
            <w:r>
              <w:rPr>
                <w:color w:val="FF0000"/>
              </w:rPr>
              <w:t>January 1, 2000</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Termination Date:</w:t>
            </w:r>
          </w:p>
        </w:tc>
        <w:tc>
          <w:tcPr>
            <w:tcW w:w="6408" w:type="dxa"/>
            <w:tcBorders/>
          </w:tcPr>
          <w:p>
            <w:pPr>
              <w:pStyle w:val="Normal"/>
              <w:jc w:val="both"/>
              <w:rPr>
                <w:color w:val="000000"/>
              </w:rPr>
            </w:pPr>
            <w:r>
              <w:rPr>
                <w:color w:val="FF0000"/>
              </w:rPr>
              <w:t>February 29, 2000</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Calculation Period:</w:t>
            </w:r>
          </w:p>
        </w:tc>
        <w:tc>
          <w:tcPr>
            <w:tcW w:w="6408" w:type="dxa"/>
            <w:tcBorders/>
          </w:tcPr>
          <w:p>
            <w:pPr>
              <w:pStyle w:val="Normal"/>
              <w:jc w:val="both"/>
              <w:rPr>
                <w:color w:val="000000"/>
              </w:rPr>
            </w:pPr>
            <w:r>
              <w:rPr>
                <w:color w:val="000000"/>
              </w:rPr>
              <w:t>The period from and including the Effective Date to and including the Termination Date.</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Payment Date(s):</w:t>
            </w:r>
          </w:p>
        </w:tc>
        <w:tc>
          <w:tcPr>
            <w:tcW w:w="6408" w:type="dxa"/>
            <w:tcBorders/>
          </w:tcPr>
          <w:p>
            <w:pPr>
              <w:pStyle w:val="Normal"/>
              <w:jc w:val="both"/>
              <w:rPr/>
            </w:pPr>
            <w:r>
              <w:rPr>
                <w:color w:val="000000"/>
              </w:rPr>
              <w:t>The fifth Business Day after the Floating Amount for the Calculation Period is determinable,</w:t>
            </w:r>
            <w:r>
              <w:rPr>
                <w:b/>
                <w:color w:val="000000"/>
              </w:rPr>
              <w:t xml:space="preserve"> provided, however,</w:t>
            </w:r>
            <w:r>
              <w:rPr>
                <w:color w:val="000000"/>
              </w:rPr>
              <w:t xml:space="preserve"> that a one time adjustment in the amount paid will be made by the appropriate party, if applicable, if the National Climatic Data Center (“NCDC”) makes any correction or adjustment to the reported daily maximum and minimum temperatures within 95 days of the end of the Calculation Period for any day within the Calculation Period.</w:t>
            </w:r>
          </w:p>
          <w:p>
            <w:pPr>
              <w:pStyle w:val="Normal"/>
              <w:jc w:val="both"/>
              <w:rPr>
                <w:color w:val="000000"/>
              </w:rPr>
            </w:pPr>
            <w:r>
              <w:rPr>
                <w:color w:val="000000"/>
              </w:rPr>
            </w:r>
          </w:p>
          <w:p>
            <w:pPr>
              <w:pStyle w:val="Normal"/>
              <w:jc w:val="both"/>
              <w:rPr>
                <w:color w:val="000000"/>
              </w:rPr>
            </w:pPr>
            <w:r>
              <w:rPr>
                <w:color w:val="000000"/>
              </w:rPr>
              <w:t>“</w:t>
            </w:r>
            <w:r>
              <w:rPr>
                <w:color w:val="000000"/>
              </w:rPr>
              <w:t>NCDC” means the National Climatic Data Center, a unit of the National Oceanic and Atmospheric Administration Center, or its successor organization, which reports temperature information by the NWS.</w:t>
            </w:r>
          </w:p>
          <w:p>
            <w:pPr>
              <w:pStyle w:val="Normal"/>
              <w:jc w:val="both"/>
              <w:rPr>
                <w:color w:val="000000"/>
              </w:rPr>
            </w:pPr>
            <w:r>
              <w:rPr>
                <w:color w:val="000000"/>
              </w:rPr>
            </w:r>
          </w:p>
        </w:tc>
      </w:tr>
      <w:tr>
        <w:trPr/>
        <w:tc>
          <w:tcPr>
            <w:tcW w:w="3168" w:type="dxa"/>
            <w:tcBorders/>
          </w:tcPr>
          <w:p>
            <w:pPr>
              <w:pStyle w:val="Normal"/>
              <w:jc w:val="both"/>
              <w:rPr>
                <w:color w:val="000000"/>
              </w:rPr>
            </w:pPr>
            <w:r>
              <w:rPr>
                <w:color w:val="000000"/>
              </w:rPr>
              <w:t>Fixed Amount Payer:</w:t>
            </w:r>
          </w:p>
          <w:p>
            <w:pPr>
              <w:pStyle w:val="Normal"/>
              <w:jc w:val="both"/>
              <w:rPr>
                <w:color w:val="000000"/>
              </w:rPr>
            </w:pPr>
            <w:r>
              <w:rPr>
                <w:color w:val="000000"/>
              </w:rPr>
            </w:r>
          </w:p>
        </w:tc>
        <w:tc>
          <w:tcPr>
            <w:tcW w:w="6408" w:type="dxa"/>
            <w:tcBorders/>
          </w:tcPr>
          <w:p>
            <w:pPr>
              <w:pStyle w:val="Normal"/>
              <w:jc w:val="both"/>
              <w:rPr>
                <w:color w:val="000000"/>
              </w:rPr>
            </w:pPr>
            <w:r>
              <w:rPr>
                <w:color w:val="FF0000"/>
              </w:rPr>
              <w:t>ENA</w:t>
            </w:r>
          </w:p>
        </w:tc>
      </w:tr>
      <w:tr>
        <w:trPr/>
        <w:tc>
          <w:tcPr>
            <w:tcW w:w="3168" w:type="dxa"/>
            <w:tcBorders/>
          </w:tcPr>
          <w:p>
            <w:pPr>
              <w:pStyle w:val="Normal"/>
              <w:jc w:val="both"/>
              <w:rPr>
                <w:color w:val="000000"/>
              </w:rPr>
            </w:pPr>
            <w:r>
              <w:rPr>
                <w:color w:val="000000"/>
              </w:rPr>
              <w:t>Floating Amount Payer:</w:t>
            </w:r>
          </w:p>
          <w:p>
            <w:pPr>
              <w:pStyle w:val="Normal"/>
              <w:jc w:val="both"/>
              <w:rPr>
                <w:color w:val="000000"/>
              </w:rPr>
            </w:pPr>
            <w:r>
              <w:rPr>
                <w:color w:val="000000"/>
              </w:rPr>
            </w:r>
          </w:p>
        </w:tc>
        <w:tc>
          <w:tcPr>
            <w:tcW w:w="6408" w:type="dxa"/>
            <w:tcBorders/>
          </w:tcPr>
          <w:p>
            <w:pPr>
              <w:pStyle w:val="Normal"/>
              <w:jc w:val="both"/>
              <w:rPr>
                <w:color w:val="000000"/>
              </w:rPr>
            </w:pPr>
            <w:r>
              <w:rPr>
                <w:color w:val="FF0000"/>
              </w:rPr>
              <w:t>Counterparty</w:t>
            </w:r>
          </w:p>
        </w:tc>
      </w:tr>
      <w:tr>
        <w:trPr/>
        <w:tc>
          <w:tcPr>
            <w:tcW w:w="3168" w:type="dxa"/>
            <w:tcBorders/>
          </w:tcPr>
          <w:p>
            <w:pPr>
              <w:pStyle w:val="Normal"/>
              <w:jc w:val="both"/>
              <w:rPr>
                <w:color w:val="000000"/>
              </w:rPr>
            </w:pPr>
            <w:r>
              <w:rPr>
                <w:color w:val="000000"/>
              </w:rPr>
              <w:t>Strike Amount:</w:t>
            </w:r>
          </w:p>
        </w:tc>
        <w:tc>
          <w:tcPr>
            <w:tcW w:w="6408" w:type="dxa"/>
            <w:tcBorders/>
          </w:tcPr>
          <w:p>
            <w:pPr>
              <w:pStyle w:val="Normal"/>
              <w:jc w:val="both"/>
              <w:rPr/>
            </w:pPr>
            <w:r>
              <w:rPr>
                <w:color w:val="FF0000"/>
              </w:rPr>
              <w:t>943</w:t>
            </w:r>
            <w:r>
              <w:rPr>
                <w:color w:val="000000"/>
              </w:rPr>
              <w:t xml:space="preserve"> HDD </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Floating Amount:</w:t>
            </w:r>
          </w:p>
        </w:tc>
        <w:tc>
          <w:tcPr>
            <w:tcW w:w="6408" w:type="dxa"/>
            <w:tcBorders/>
          </w:tcPr>
          <w:p>
            <w:pPr>
              <w:pStyle w:val="Normal"/>
              <w:jc w:val="both"/>
              <w:rPr>
                <w:color w:val="000000"/>
              </w:rPr>
            </w:pPr>
            <w:r>
              <w:rPr>
                <w:color w:val="000000"/>
              </w:rPr>
              <w:t>The sum of HDD’s calculated in accordance with the procedure detailed below, for each day during the applicable Calculation Period.</w:t>
            </w:r>
          </w:p>
          <w:p>
            <w:pPr>
              <w:pStyle w:val="Normal"/>
              <w:jc w:val="both"/>
              <w:rPr>
                <w:color w:val="000000"/>
              </w:rPr>
            </w:pPr>
            <w:r>
              <w:rPr>
                <w:color w:val="000000"/>
              </w:rPr>
            </w:r>
          </w:p>
          <w:p>
            <w:pPr>
              <w:pStyle w:val="BodyText3"/>
              <w:rPr/>
            </w:pPr>
            <w:r>
              <w:rPr/>
              <w:t>HDD’s for each day is equal to the greater of (i) 65 minus the non-rounded average of the daily maximum and daily minimum temperatures in degrees Fahrenheit from and including 12:01 AM on that day to and including 12:00 AM on the next day local time as measured by the NWS, and reported by the NCDC, for the Reference Weather Station or (ii) zero.  The daily maximum and minimum temperatures measured by the NWS and reported by the NCDC shall be rounded to whole numbers prior to the calculation of HDD’s as follows:  if the first number after the decimal point is five (5) or greater then the whole number shall be increased by one (1), and if the first number after the decimal point is less than five (5) then the whole number shall remain unchanged (the “Rounding Convention”).</w:t>
            </w:r>
          </w:p>
          <w:p>
            <w:pPr>
              <w:pStyle w:val="Normal"/>
              <w:jc w:val="both"/>
              <w:rPr>
                <w:color w:val="000000"/>
              </w:rPr>
            </w:pPr>
            <w:r>
              <w:rPr>
                <w:color w:val="000000"/>
              </w:rPr>
            </w:r>
          </w:p>
          <w:p>
            <w:pPr>
              <w:pStyle w:val="Normal"/>
              <w:jc w:val="both"/>
              <w:rPr>
                <w:color w:val="000000"/>
              </w:rPr>
            </w:pPr>
            <w:r>
              <w:rPr/>
              <w:t>“</w:t>
            </w:r>
            <w:r>
              <w:rPr/>
              <w:t>NWS” means the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Reference Weather Station</w:t>
            </w:r>
          </w:p>
          <w:p>
            <w:pPr>
              <w:pStyle w:val="Normal"/>
              <w:jc w:val="both"/>
              <w:rPr>
                <w:color w:val="000000"/>
              </w:rPr>
            </w:pPr>
            <w:r>
              <w:rPr>
                <w:color w:val="000000"/>
              </w:rPr>
              <w:t>(“RWS”):</w:t>
            </w:r>
          </w:p>
        </w:tc>
        <w:tc>
          <w:tcPr>
            <w:tcW w:w="6408" w:type="dxa"/>
            <w:tcBorders/>
          </w:tcPr>
          <w:p>
            <w:pPr>
              <w:pStyle w:val="Normal"/>
              <w:jc w:val="both"/>
              <w:rPr>
                <w:color w:val="000000"/>
              </w:rPr>
            </w:pPr>
            <w:r>
              <w:rPr>
                <w:color w:val="FF0000"/>
              </w:rPr>
              <w:t>Atlanta Hartsfield International Airport, Atlanta, GA, WBAN #13874, WMO #72219</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Fallback Reference Weather Station (“FRWS”):</w:t>
            </w:r>
          </w:p>
        </w:tc>
        <w:tc>
          <w:tcPr>
            <w:tcW w:w="6408" w:type="dxa"/>
            <w:tcBorders/>
          </w:tcPr>
          <w:p>
            <w:pPr>
              <w:pStyle w:val="Normal"/>
              <w:jc w:val="both"/>
              <w:rPr>
                <w:color w:val="000000"/>
              </w:rPr>
            </w:pPr>
            <w:r>
              <w:rPr>
                <w:color w:val="000000"/>
              </w:rPr>
              <w:t xml:space="preserve">If for any day during the Calculation Period a daily maximum or daily minimum temperature is unavailable for the RWS then the missing temperature(s) for that day at such RWS shall be calculated in accordance with the following procedure: </w:t>
            </w:r>
          </w:p>
          <w:p>
            <w:pPr>
              <w:pStyle w:val="Normal"/>
              <w:jc w:val="both"/>
              <w:rPr>
                <w:color w:val="000000"/>
              </w:rPr>
            </w:pPr>
            <w:r>
              <w:rPr>
                <w:color w:val="000000"/>
              </w:rPr>
            </w:r>
          </w:p>
          <w:p>
            <w:pPr>
              <w:pStyle w:val="Normal"/>
              <w:numPr>
                <w:ilvl w:val="0"/>
                <w:numId w:val="2"/>
              </w:numPr>
              <w:jc w:val="both"/>
              <w:rPr>
                <w:color w:val="000000"/>
              </w:rPr>
            </w:pPr>
            <w:r>
              <w:rPr>
                <w:color w:val="000000"/>
              </w:rPr>
              <w:t xml:space="preserve">the daily maximum (if the missing temperature is a daily maximum) or daily minimum (if the missing temperature is a daily minimum) temperature for the corresponding day of each of the previous 30 years at such RWS shall be identified as reported in degrees Fahrenheit by the NCDC (which numbers as reported by the NCDC shall not be rounded by the parties) and an average temperature shall be determined, which average temperature shall be determined to and including four decimal points; </w:t>
            </w:r>
          </w:p>
          <w:p>
            <w:pPr>
              <w:pStyle w:val="Normal"/>
              <w:numPr>
                <w:ilvl w:val="0"/>
                <w:numId w:val="2"/>
              </w:numPr>
              <w:jc w:val="both"/>
              <w:rPr>
                <w:color w:val="000000"/>
              </w:rPr>
            </w:pPr>
            <w:r>
              <w:rPr>
                <w:color w:val="000000"/>
              </w:rPr>
              <w:t xml:space="preserve">in accordance with the above procedures, the daily maximum or daily minimum temperature as appropriate shall be determined for the corresponding day of each of the previous 30 years at the NWS Weather Station at </w:t>
            </w:r>
            <w:r>
              <w:rPr>
                <w:color w:val="FF0000"/>
              </w:rPr>
              <w:t xml:space="preserve">Montgomery Dannelly Field, Montgomery, AL, WBAN #13895, WMO #72226 </w:t>
            </w:r>
            <w:r>
              <w:rPr>
                <w:color w:val="000000"/>
              </w:rPr>
              <w:t xml:space="preserve"> (the “Fallback Reference Weather </w:t>
            </w:r>
            <w:r>
              <w:rPr/>
              <w:t xml:space="preserve">Station”) </w:t>
            </w:r>
            <w:r>
              <w:rPr>
                <w:lang w:eastAsia="en-US"/>
              </w:rPr>
              <w:t xml:space="preserve">or in the event such data is not available, from the closest geographical location that publishes NWS data for that period </w:t>
            </w:r>
            <w:r>
              <w:rPr>
                <w:color w:val="000000"/>
              </w:rPr>
              <w:t>as reported in degrees Fahrenheit by the NCDC (which numbers as reported by the NCDC shall not be rounded by the parties), and an average temperature shall be determined, which average temperature shall be determined to and including four decimal points;</w:t>
            </w:r>
          </w:p>
          <w:p>
            <w:pPr>
              <w:pStyle w:val="Normal"/>
              <w:numPr>
                <w:ilvl w:val="0"/>
                <w:numId w:val="2"/>
              </w:numPr>
              <w:jc w:val="both"/>
              <w:rPr>
                <w:color w:val="000000"/>
              </w:rPr>
            </w:pPr>
            <w:r>
              <w:rPr>
                <w:color w:val="000000"/>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color w:val="000000"/>
              </w:rPr>
            </w:pPr>
            <w:r>
              <w:rPr>
                <w:color w:val="000000"/>
              </w:rPr>
              <w:t xml:space="preserve">the daily maximum or daily minimum temperature as appropriate for the corresponding FRWS for the day for which the daily maximum or daily minimum temperature is missing for the RWS shall be identified as reported in degrees Fahrenheit by the NCDC (which number as reported by the NCDC shall not be rounded); and </w:t>
            </w:r>
          </w:p>
          <w:p>
            <w:pPr>
              <w:pStyle w:val="Normal"/>
              <w:numPr>
                <w:ilvl w:val="0"/>
                <w:numId w:val="2"/>
              </w:numPr>
              <w:jc w:val="both"/>
              <w:rPr>
                <w:color w:val="000000"/>
              </w:rPr>
            </w:pPr>
            <w:r>
              <w:rPr>
                <w:color w:val="000000"/>
              </w:rPr>
              <w:t xml:space="preserve">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whole number determined in (v) shall be deemed the daily maximum or daily minimum temperature as appropriate for the RWS for the relevant day and shall be the number used to make the calculations as required pursuant to the procedures set forth in the “Floating Amount” above. </w:t>
            </w:r>
          </w:p>
          <w:p>
            <w:pPr>
              <w:pStyle w:val="Normal"/>
              <w:jc w:val="both"/>
              <w:rPr>
                <w:color w:val="000000"/>
              </w:rPr>
            </w:pPr>
            <w:r>
              <w:rPr>
                <w:color w:val="000000"/>
              </w:rPr>
            </w:r>
          </w:p>
        </w:tc>
      </w:tr>
      <w:tr>
        <w:trPr/>
        <w:tc>
          <w:tcPr>
            <w:tcW w:w="3168" w:type="dxa"/>
            <w:tcBorders/>
          </w:tcPr>
          <w:p>
            <w:pPr>
              <w:pStyle w:val="Normal"/>
              <w:jc w:val="both"/>
              <w:rPr>
                <w:color w:val="000000"/>
              </w:rPr>
            </w:pPr>
            <w:r>
              <w:rPr>
                <w:color w:val="000000"/>
              </w:rPr>
              <w:t>Data Sources:</w:t>
            </w:r>
          </w:p>
        </w:tc>
        <w:tc>
          <w:tcPr>
            <w:tcW w:w="6408" w:type="dxa"/>
            <w:tcBorders/>
          </w:tcPr>
          <w:p>
            <w:pPr>
              <w:pStyle w:val="Normal"/>
              <w:spacing w:lineRule="atLeast" w:line="240"/>
              <w:jc w:val="both"/>
              <w:rPr/>
            </w:pPr>
            <w:r>
              <w:rPr>
                <w:rFonts w:cs="Tms Rmn" w:ascii="Tms Rmn" w:hAnsi="Tms Rmn"/>
                <w:color w:val="000000"/>
                <w:lang w:eastAsia="en-US"/>
              </w:rPr>
              <w:t xml:space="preserve">The data used to determine the Floating Amount (and to the extent required, data for the FRWS) shall be obtained from the NCDC’s official website located at </w:t>
            </w:r>
            <w:r>
              <w:rPr>
                <w:rFonts w:cs="Tms Rmn" w:ascii="Tms Rmn" w:hAnsi="Tms Rmn"/>
                <w:color w:val="FF0000"/>
                <w:lang w:eastAsia="en-US"/>
              </w:rPr>
              <w:t xml:space="preserve">http://www.nndc.noaa.gov, </w:t>
            </w:r>
            <w:r>
              <w:rPr>
                <w:rFonts w:cs="Tms Rmn" w:ascii="Tms Rmn" w:hAnsi="Tms Rmn"/>
                <w:color w:val="000000"/>
                <w:lang w:eastAsia="en-US"/>
              </w:rPr>
              <w:t xml:space="preserve">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(i) the NCDC data is corrected or adjusted within 95 days of the end of the Calculation Period or (ii) the data is temporarily sourced from the Regional Climate Data Center, then the data for such new, adjusted or corrected number(s) shall be obtained from the NCDC’s official website located at </w:t>
            </w:r>
            <w:r>
              <w:rPr>
                <w:rFonts w:cs="Tms Rmn" w:ascii="Tms Rmn" w:hAnsi="Tms Rmn"/>
                <w:color w:val="FF0000"/>
                <w:lang w:eastAsia="en-US"/>
              </w:rPr>
              <w:t>http://www4.ncdc.noaa.gov.</w:t>
            </w:r>
            <w:r>
              <w:rPr>
                <w:rFonts w:cs="Tms Rmn" w:ascii="Tms Rmn" w:hAnsi="Tms Rmn"/>
                <w:color w:val="000000"/>
                <w:lang w:eastAsia="en-US"/>
              </w:rPr>
              <w:t xml:space="preserve"> Notwithstanding the foregoing, if neither the Regional Climate Data Center nor the NCDC issues data for the RWS, then the procedures set forth under "Fallback Reference Weather Station(s)" shall be utilized to determine the missing data.</w:t>
            </w:r>
          </w:p>
          <w:p>
            <w:pPr>
              <w:pStyle w:val="Normal"/>
              <w:jc w:val="both"/>
              <w:rPr>
                <w:rFonts w:ascii="Tms Rmn" w:hAnsi="Tms Rmn" w:cs="Tms Rmn"/>
                <w:color w:val="000000"/>
                <w:lang w:eastAsia="en-US"/>
              </w:rPr>
            </w:pPr>
            <w:r>
              <w:rPr>
                <w:rFonts w:cs="Tms Rmn" w:ascii="Tms Rmn" w:hAnsi="Tms Rmn"/>
                <w:color w:val="000000"/>
                <w:lang w:eastAsia="en-US"/>
              </w:rPr>
            </w:r>
          </w:p>
        </w:tc>
      </w:tr>
      <w:tr>
        <w:trPr/>
        <w:tc>
          <w:tcPr>
            <w:tcW w:w="3168" w:type="dxa"/>
            <w:tcBorders/>
          </w:tcPr>
          <w:p>
            <w:pPr>
              <w:pStyle w:val="Normal"/>
              <w:jc w:val="both"/>
              <w:rPr>
                <w:color w:val="000000"/>
              </w:rPr>
            </w:pPr>
            <w:r>
              <w:rPr>
                <w:color w:val="000000"/>
              </w:rPr>
              <w:t>Strike Amount Differential:</w:t>
            </w:r>
          </w:p>
        </w:tc>
        <w:tc>
          <w:tcPr>
            <w:tcW w:w="6408" w:type="dxa"/>
            <w:tcBorders/>
          </w:tcPr>
          <w:p>
            <w:pPr>
              <w:pStyle w:val="Normal"/>
              <w:jc w:val="both"/>
              <w:rPr>
                <w:color w:val="000000"/>
              </w:rPr>
            </w:pPr>
            <w:r>
              <w:rPr>
                <w:color w:val="000000"/>
              </w:rPr>
              <w:t>The amount equal to the difference between (i) the Floating Amount minus (ii) the Strike Amount</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Payment Amount:</w:t>
            </w:r>
          </w:p>
        </w:tc>
        <w:tc>
          <w:tcPr>
            <w:tcW w:w="6408" w:type="dxa"/>
            <w:tcBorders/>
          </w:tcPr>
          <w:p>
            <w:pPr>
              <w:pStyle w:val="Normal"/>
              <w:keepNext w:val="true"/>
              <w:keepLines/>
              <w:jc w:val="both"/>
              <w:rPr>
                <w:color w:val="000000"/>
              </w:rPr>
            </w:pPr>
            <w:r>
              <w:rPr>
                <w:color w:val="000000"/>
              </w:rPr>
              <w:t>Notwithstanding any provision of the Agreement to the contrary, if the Strike Amount Differential is a:</w:t>
            </w:r>
          </w:p>
          <w:p>
            <w:pPr>
              <w:pStyle w:val="Normal"/>
              <w:keepNext w:val="true"/>
              <w:keepLines/>
              <w:jc w:val="both"/>
              <w:rPr/>
            </w:pPr>
            <w:r>
              <w:rPr>
                <w:color w:val="000000"/>
              </w:rPr>
              <w:t xml:space="preserve">(i) positive number, the Floating Amount Payer shall pay the Fixed Amount Payer an amount in </w:t>
            </w:r>
            <w:r>
              <w:rPr>
                <w:color w:val="FF0000"/>
              </w:rPr>
              <w:t xml:space="preserve">US Dollars </w:t>
            </w:r>
            <w:r>
              <w:rPr>
                <w:color w:val="000000"/>
              </w:rPr>
              <w:t xml:space="preserve">equal to the product of (i) the Notional Amount and (ii) the Strike Amount Differential, which amount shall be due and payable on the applicable Payment Date, </w:t>
            </w:r>
            <w:r>
              <w:rPr>
                <w:b/>
                <w:color w:val="000000"/>
              </w:rPr>
              <w:t>provided, however</w:t>
            </w:r>
            <w:r>
              <w:rPr>
                <w:color w:val="000000"/>
              </w:rPr>
              <w:t xml:space="preserve">, that the maximum amount payable by the Floating Amount Payer shall not exceed </w:t>
            </w:r>
            <w:r>
              <w:rPr>
                <w:color w:val="FF0000"/>
              </w:rPr>
              <w:t xml:space="preserve">500,000, </w:t>
            </w:r>
            <w:r>
              <w:rPr/>
              <w:t xml:space="preserve">or </w:t>
            </w:r>
          </w:p>
          <w:p>
            <w:pPr>
              <w:pStyle w:val="Normal"/>
              <w:keepNext w:val="true"/>
              <w:keepLines/>
              <w:jc w:val="both"/>
              <w:rPr>
                <w:color w:val="000000"/>
              </w:rPr>
            </w:pPr>
            <w:r>
              <w:rPr/>
              <w:t xml:space="preserve">(ii) negative number, the Fixed Amount Payer shall pay the Floating Amount Payer an absolute amount in </w:t>
            </w:r>
            <w:r>
              <w:rPr>
                <w:color w:val="FF0000"/>
              </w:rPr>
              <w:t xml:space="preserve">US Dollars </w:t>
            </w:r>
            <w:r>
              <w:rPr>
                <w:color w:val="000000"/>
              </w:rPr>
              <w:t xml:space="preserve">equal to the product of (i) the Notional Amount and (ii) the Strike Amount Differential, which amount shall be due and payable on the applicable Payment Date, </w:t>
            </w:r>
            <w:r>
              <w:rPr>
                <w:b/>
                <w:color w:val="000000"/>
              </w:rPr>
              <w:t>provided, however</w:t>
            </w:r>
            <w:r>
              <w:rPr>
                <w:color w:val="000000"/>
              </w:rPr>
              <w:t xml:space="preserve">, that the maximum amount payable by the Fixed Amount Payer shall not exceed </w:t>
            </w:r>
            <w:r>
              <w:rPr>
                <w:color w:val="FF0000"/>
              </w:rPr>
              <w:t>500,000.</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keepNext w:val="true"/>
              <w:keepLines/>
              <w:snapToGrid w:val="false"/>
              <w:jc w:val="both"/>
              <w:rPr>
                <w:color w:val="000000"/>
              </w:rPr>
            </w:pPr>
            <w:r>
              <w:rPr>
                <w:color w:val="000000"/>
              </w:rPr>
            </w:r>
          </w:p>
        </w:tc>
      </w:tr>
    </w:tbl>
    <w:p>
      <w:pPr>
        <w:pStyle w:val="Normal"/>
        <w:rPr/>
      </w:pPr>
      <w:r>
        <w:rPr/>
      </w:r>
    </w:p>
    <w:p>
      <w:pPr>
        <w:pStyle w:val="Normal"/>
        <w:rPr/>
      </w:pPr>
      <w:r>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pPr>
            <w:r>
              <w:rPr/>
            </w:r>
          </w:p>
          <w:p>
            <w:pPr>
              <w:pStyle w:val="Normal"/>
              <w:rPr/>
            </w:pPr>
            <w:r>
              <w:rPr/>
              <w:t xml:space="preserve">3.            </w:t>
            </w:r>
            <w:r>
              <w:rPr>
                <w:b/>
                <w:u w:val="single"/>
              </w:rPr>
              <w:t>Account Details.</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ab/>
            </w:r>
            <w:r>
              <w:rPr>
                <w:u w:val="single"/>
              </w:rPr>
              <w:t>Payments to ENA:</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bl>
    <w:p>
      <w:pPr>
        <w:pStyle w:val="Normal"/>
        <w:rPr/>
      </w:pPr>
      <w:r>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pPr>
            <w:r>
              <w:rPr/>
              <w:t xml:space="preserve">Pay  </w:t>
            </w:r>
          </w:p>
        </w:tc>
        <w:tc>
          <w:tcPr>
            <w:tcW w:w="5490" w:type="dxa"/>
            <w:gridSpan w:val="2"/>
            <w:tcBorders/>
          </w:tcPr>
          <w:p>
            <w:pPr>
              <w:pStyle w:val="Normal"/>
              <w:tabs>
                <w:tab w:val="clear" w:pos="720"/>
                <w:tab w:val="left" w:pos="360" w:leader="none"/>
              </w:tabs>
              <w:ind w:hanging="360" w:start="360" w:end="0"/>
              <w:rPr/>
            </w:pPr>
            <w:r>
              <w:rPr/>
              <w:t>:</w:t>
              <w:tab/>
              <w:t>Bank of America, N.A.</w:t>
            </w:r>
          </w:p>
        </w:tc>
      </w:tr>
      <w:tr>
        <w:trPr/>
        <w:tc>
          <w:tcPr>
            <w:tcW w:w="5490" w:type="dxa"/>
            <w:tcBorders/>
          </w:tcPr>
          <w:p>
            <w:pPr>
              <w:pStyle w:val="Normal"/>
              <w:snapToGrid w:val="false"/>
              <w:ind w:hanging="2160"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For the Account of</w:t>
            </w:r>
          </w:p>
        </w:tc>
        <w:tc>
          <w:tcPr>
            <w:tcW w:w="5490" w:type="dxa"/>
            <w:gridSpan w:val="2"/>
            <w:tcBorders/>
          </w:tcPr>
          <w:p>
            <w:pPr>
              <w:pStyle w:val="Normal"/>
              <w:tabs>
                <w:tab w:val="clear" w:pos="720"/>
                <w:tab w:val="left" w:pos="360" w:leader="none"/>
              </w:tabs>
              <w:ind w:hanging="360" w:start="360" w:end="0"/>
              <w:rPr/>
            </w:pPr>
            <w:r>
              <w:rPr/>
              <w:t>:</w:t>
              <w:tab/>
              <w:t>Enron North America Corp.</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Account Number/</w:t>
            </w:r>
          </w:p>
          <w:p>
            <w:pPr>
              <w:pStyle w:val="Normal"/>
              <w:ind w:start="2862" w:end="0"/>
              <w:rPr/>
            </w:pPr>
            <w:r>
              <w:rPr/>
              <w:t>CHIPS UID</w:t>
            </w:r>
          </w:p>
        </w:tc>
        <w:tc>
          <w:tcPr>
            <w:tcW w:w="5490" w:type="dxa"/>
            <w:gridSpan w:val="2"/>
            <w:tcBorders/>
          </w:tcPr>
          <w:p>
            <w:pPr>
              <w:pStyle w:val="Normal"/>
              <w:tabs>
                <w:tab w:val="clear" w:pos="720"/>
                <w:tab w:val="left" w:pos="360" w:leader="none"/>
              </w:tabs>
              <w:snapToGrid w:val="false"/>
              <w:ind w:hanging="360" w:start="360" w:end="0"/>
              <w:rPr/>
            </w:pPr>
            <w:r>
              <w:rPr/>
            </w:r>
          </w:p>
          <w:p>
            <w:pPr>
              <w:pStyle w:val="Normal"/>
              <w:tabs>
                <w:tab w:val="clear" w:pos="720"/>
                <w:tab w:val="left" w:pos="360" w:leader="none"/>
              </w:tabs>
              <w:ind w:hanging="360" w:start="360" w:end="0"/>
              <w:rPr/>
            </w:pPr>
            <w:r>
              <w:rPr/>
              <w:t>:</w:t>
              <w:tab/>
              <w:t>3750494727</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Fed. ABA No.</w:t>
            </w:r>
          </w:p>
        </w:tc>
        <w:tc>
          <w:tcPr>
            <w:tcW w:w="5490" w:type="dxa"/>
            <w:gridSpan w:val="2"/>
            <w:tcBorders/>
          </w:tcPr>
          <w:p>
            <w:pPr>
              <w:pStyle w:val="Normal"/>
              <w:tabs>
                <w:tab w:val="clear" w:pos="720"/>
                <w:tab w:val="left" w:pos="360" w:leader="none"/>
              </w:tabs>
              <w:ind w:hanging="360" w:start="360" w:end="0"/>
              <w:rPr/>
            </w:pPr>
            <w:r>
              <w:rPr/>
              <w:t>:</w:t>
              <w:tab/>
              <w:t>111000012</w:t>
            </w:r>
          </w:p>
        </w:tc>
      </w:tr>
      <w:tr>
        <w:trPr/>
        <w:tc>
          <w:tcPr>
            <w:tcW w:w="5499" w:type="dxa"/>
            <w:gridSpan w:val="2"/>
            <w:tcBorders/>
          </w:tcPr>
          <w:p>
            <w:pPr>
              <w:pStyle w:val="Normal"/>
              <w:snapToGrid w:val="false"/>
              <w:ind w:firstLine="90" w:start="2862" w:end="0"/>
              <w:rPr/>
            </w:pPr>
            <w:r>
              <w:rPr/>
            </w:r>
          </w:p>
        </w:tc>
        <w:tc>
          <w:tcPr>
            <w:tcW w:w="5499" w:type="dxa"/>
            <w:tcBorders/>
          </w:tcPr>
          <w:p>
            <w:pPr>
              <w:pStyle w:val="Normal"/>
              <w:snapToGrid w:val="false"/>
              <w:rPr/>
            </w:pPr>
            <w:r>
              <w:rPr/>
            </w:r>
          </w:p>
        </w:tc>
      </w:tr>
      <w:tr>
        <w:trPr/>
        <w:tc>
          <w:tcPr>
            <w:tcW w:w="5499" w:type="dxa"/>
            <w:gridSpan w:val="2"/>
            <w:tcBorders/>
          </w:tcPr>
          <w:p>
            <w:pPr>
              <w:pStyle w:val="Normal"/>
              <w:keepNext w:val="true"/>
              <w:ind w:hanging="2160" w:start="2862" w:end="0"/>
              <w:rPr/>
            </w:pPr>
            <w:r>
              <w:rPr/>
              <w:tab/>
            </w:r>
            <w:r>
              <w:rPr>
                <w:u w:val="single"/>
              </w:rPr>
              <w:t>Payments to Counterparty:</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r>
        <w:trPr/>
        <w:tc>
          <w:tcPr>
            <w:tcW w:w="5490" w:type="dxa"/>
            <w:tcBorders/>
          </w:tcPr>
          <w:p>
            <w:pPr>
              <w:pStyle w:val="Normal"/>
              <w:keepNext w:val="true"/>
              <w:ind w:start="2862" w:end="0"/>
              <w:rPr/>
            </w:pPr>
            <w:r>
              <w:rPr/>
              <w:t xml:space="preserve">Pay  </w:t>
            </w:r>
          </w:p>
        </w:tc>
        <w:tc>
          <w:tcPr>
            <w:tcW w:w="5490" w:type="dxa"/>
            <w:gridSpan w:val="2"/>
            <w:tcBorders/>
          </w:tcPr>
          <w:p>
            <w:pPr>
              <w:pStyle w:val="Normal"/>
              <w:keepNext w:val="true"/>
              <w:tabs>
                <w:tab w:val="clear" w:pos="720"/>
                <w:tab w:val="left" w:pos="360" w:leader="none"/>
              </w:tabs>
              <w:ind w:hanging="360" w:start="360" w:end="0"/>
              <w:rPr/>
            </w:pPr>
            <w:r>
              <w:rPr/>
              <w:t>[Please Advise]</w:t>
            </w:r>
          </w:p>
        </w:tc>
      </w:tr>
      <w:tr>
        <w:trPr/>
        <w:tc>
          <w:tcPr>
            <w:tcW w:w="5490" w:type="dxa"/>
            <w:tcBorders/>
          </w:tcPr>
          <w:p>
            <w:pPr>
              <w:pStyle w:val="Normal"/>
              <w:keepNext w:val="true"/>
              <w:snapToGrid w:val="false"/>
              <w:ind w:hanging="2160"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For the Account of</w:t>
            </w:r>
          </w:p>
        </w:tc>
        <w:tc>
          <w:tcPr>
            <w:tcW w:w="5490" w:type="dxa"/>
            <w:gridSpan w:val="2"/>
            <w:tcBorders/>
          </w:tcPr>
          <w:p>
            <w:pPr>
              <w:pStyle w:val="Normal"/>
              <w:keepNext w:val="true"/>
              <w:tabs>
                <w:tab w:val="clear" w:pos="720"/>
                <w:tab w:val="left" w:pos="360" w:leader="none"/>
              </w:tabs>
              <w:ind w:hanging="360" w:start="360" w:end="0"/>
              <w:rPr/>
            </w:pPr>
            <w:r>
              <w:rPr/>
              <w:t>[Please Advise]</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Account Number/</w:t>
            </w:r>
          </w:p>
          <w:p>
            <w:pPr>
              <w:pStyle w:val="Normal"/>
              <w:keepNext w:val="true"/>
              <w:ind w:start="2862" w:end="0"/>
              <w:rPr/>
            </w:pPr>
            <w:r>
              <w:rPr/>
              <w:t>CHIPS UID</w:t>
            </w:r>
          </w:p>
        </w:tc>
        <w:tc>
          <w:tcPr>
            <w:tcW w:w="5490" w:type="dxa"/>
            <w:gridSpan w:val="2"/>
            <w:tcBorders/>
          </w:tcPr>
          <w:p>
            <w:pPr>
              <w:pStyle w:val="Normal"/>
              <w:keepNext w:val="true"/>
              <w:tabs>
                <w:tab w:val="clear" w:pos="720"/>
                <w:tab w:val="left" w:pos="360" w:leader="none"/>
              </w:tabs>
              <w:snapToGrid w:val="false"/>
              <w:ind w:hanging="360" w:start="360" w:end="0"/>
              <w:rPr/>
            </w:pPr>
            <w:r>
              <w:rPr/>
            </w:r>
          </w:p>
          <w:p>
            <w:pPr>
              <w:pStyle w:val="Normal"/>
              <w:keepNext w:val="true"/>
              <w:tabs>
                <w:tab w:val="clear" w:pos="720"/>
                <w:tab w:val="left" w:pos="360" w:leader="none"/>
              </w:tabs>
              <w:ind w:hanging="360" w:start="360" w:end="0"/>
              <w:rPr/>
            </w:pPr>
            <w:r>
              <w:rPr/>
              <w:t>[Please Advise]</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Fed. ABA No.</w:t>
            </w:r>
          </w:p>
        </w:tc>
        <w:tc>
          <w:tcPr>
            <w:tcW w:w="5490" w:type="dxa"/>
            <w:gridSpan w:val="2"/>
            <w:tcBorders/>
          </w:tcPr>
          <w:p>
            <w:pPr>
              <w:pStyle w:val="Normal"/>
              <w:keepNext w:val="true"/>
              <w:tabs>
                <w:tab w:val="clear" w:pos="720"/>
                <w:tab w:val="left" w:pos="360" w:leader="none"/>
              </w:tabs>
              <w:ind w:hanging="360" w:start="360" w:end="0"/>
              <w:rPr/>
            </w:pPr>
            <w:r>
              <w:rPr/>
              <w:t>[Please Advise]</w:t>
            </w:r>
          </w:p>
        </w:tc>
      </w:tr>
      <w:tr>
        <w:trPr/>
        <w:tc>
          <w:tcPr>
            <w:tcW w:w="5499" w:type="dxa"/>
            <w:gridSpan w:val="2"/>
            <w:tcBorders/>
          </w:tcPr>
          <w:p>
            <w:pPr>
              <w:pStyle w:val="Normal"/>
              <w:keepNext w:val="true"/>
              <w:snapToGrid w:val="false"/>
              <w:ind w:firstLine="90" w:start="2862" w:end="0"/>
              <w:rPr/>
            </w:pPr>
            <w:r>
              <w:rPr/>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ind w:hanging="2160" w:start="2862" w:end="0"/>
              <w:rPr/>
            </w:pPr>
            <w:r>
              <w:rPr/>
              <w:tab/>
              <w:t xml:space="preserve">Attn:  </w:t>
            </w:r>
          </w:p>
        </w:tc>
        <w:tc>
          <w:tcPr>
            <w:tcW w:w="5499" w:type="dxa"/>
            <w:tcBorders/>
          </w:tcPr>
          <w:p>
            <w:pPr>
              <w:pStyle w:val="Normal"/>
              <w:keepNext w:val="true"/>
              <w:rPr/>
            </w:pPr>
            <w:r>
              <w:rPr/>
              <w:t>[Please Advise]</w:t>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bl>
    <w:p>
      <w:pPr>
        <w:pStyle w:val="Normal"/>
        <w:jc w:val="both"/>
        <w:rPr/>
      </w:pPr>
      <w:r>
        <w:rPr/>
      </w:r>
    </w:p>
    <w:p>
      <w:pPr>
        <w:pStyle w:val="Normal"/>
        <w:jc w:val="both"/>
        <w:rPr/>
      </w:pPr>
      <w:r>
        <w:rPr/>
        <w:t>4.</w:t>
        <w:tab/>
      </w:r>
      <w:r>
        <w:rPr>
          <w:b/>
          <w:u w:val="single"/>
        </w:rPr>
        <w:t>General</w:t>
      </w:r>
      <w:r>
        <w:rPr>
          <w:b/>
        </w:rPr>
        <w:t>.</w:t>
      </w:r>
      <w:r>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pPr>
      <w:r>
        <w:rPr/>
      </w:r>
    </w:p>
    <w:p>
      <w:pPr>
        <w:pStyle w:val="Normal"/>
        <w:jc w:val="both"/>
        <w:rPr/>
      </w:pPr>
      <w:r>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
    </w:p>
    <w:p>
      <w:pPr>
        <w:pStyle w:val="Normal"/>
        <w:tabs>
          <w:tab w:val="clear" w:pos="720"/>
          <w:tab w:val="left" w:pos="360" w:leader="none"/>
        </w:tabs>
        <w:jc w:val="both"/>
        <w:rPr/>
      </w:pPr>
      <w:r>
        <w:rPr/>
        <w:t>5.</w:t>
      </w:r>
      <w:r>
        <w:rPr>
          <w:b/>
        </w:rPr>
        <w:tab/>
        <w:tab/>
      </w:r>
      <w:r>
        <w:rPr>
          <w:b/>
          <w:u w:val="single"/>
        </w:rPr>
        <w:t>Representations</w:t>
      </w:r>
      <w:r>
        <w:rPr>
          <w:b/>
        </w:rPr>
        <w:t>.</w:t>
      </w:r>
      <w:r>
        <w:rPr/>
        <w:t xml:space="preserve">  To induce the other to enter into the Transaction, each party represents and warrants to the other that : (a) </w:t>
      </w:r>
      <w:r>
        <w:rPr>
          <w:u w:val="single"/>
        </w:rPr>
        <w:t>Authority</w:t>
      </w:r>
      <w:r>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u w:val="single"/>
        </w:rPr>
        <w:t>Eligible Swap Participant</w:t>
      </w:r>
      <w:r>
        <w:rPr/>
        <w:t xml:space="preserve">: it constitutes an “eligible swap participant” as such term is defined in  17 C.F.R. Section 35.1(b)(2) and this Confirmation constitutes a “swap agreement” within the meaning of 17 C.F.R. Section 35.1(b)(1); and (c) </w:t>
      </w:r>
      <w:r>
        <w:rPr>
          <w:u w:val="single"/>
        </w:rPr>
        <w:t>Line of Business</w:t>
      </w:r>
      <w:r>
        <w:rPr/>
        <w:t xml:space="preserve">:  </w:t>
      </w:r>
      <w:r>
        <w:rPr>
          <w:color w:val="000000"/>
        </w:rPr>
        <w:t>as of the Trade Date it is:  (i) exposed in the conduct of its business to the risk of variations in weather of the kind reflected in this Transaction and (ii) entering into this Transaction solely to offset or manage that risk;</w:t>
      </w:r>
      <w:r>
        <w:rPr/>
        <w:t xml:space="preserve"> (d) </w:t>
      </w:r>
      <w:r>
        <w:rPr>
          <w:u w:val="single"/>
        </w:rPr>
        <w:t>No Reliance and No Advisory Status</w:t>
      </w:r>
      <w:r>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(f) </w:t>
      </w:r>
      <w:r>
        <w:rPr>
          <w:u w:val="single"/>
        </w:rPr>
        <w:t>Tax Representations and Covenants</w:t>
      </w:r>
      <w:r>
        <w:rPr/>
        <w:t xml:space="preserve">:  for purposes of Section 3(e) and 3(f) of the ISDA Agreement, each of the parties makes the representations applicable to it as set forth in Sections I(a) and (b) of </w:t>
      </w:r>
      <w:r>
        <w:rPr>
          <w:u w:val="single"/>
        </w:rPr>
        <w:t>Annex A</w:t>
      </w:r>
      <w:r>
        <w:rPr/>
        <w:t xml:space="preserve"> to this Confirmation as of the Trade Date and as of the date of this Confirmation and in the case of the representations given for purposes of Section 3(f) of the ISDA Agreement (which representations are set forth in Section I(b) of </w:t>
      </w:r>
      <w:r>
        <w:rPr>
          <w:u w:val="single"/>
        </w:rPr>
        <w:t>Annex A</w:t>
      </w:r>
      <w:r>
        <w:rPr/>
        <w:t xml:space="preserve">), at all times until termination of the Transaction.  In addition, each party covenants and agrees that it will deliver to the other party the Tax forms, documents or certificates as required pursuant to Section II(a) of </w:t>
      </w:r>
      <w:r>
        <w:rPr>
          <w:u w:val="single"/>
        </w:rPr>
        <w:t>Annex A</w:t>
      </w:r>
      <w:r>
        <w:rPr/>
        <w:t>.</w:t>
      </w:r>
    </w:p>
    <w:p>
      <w:pPr>
        <w:pStyle w:val="Normal"/>
        <w:jc w:val="both"/>
        <w:rPr/>
      </w:pPr>
      <w:r>
        <w:rPr/>
      </w:r>
    </w:p>
    <w:p>
      <w:pPr>
        <w:pStyle w:val="Normal"/>
        <w:jc w:val="both"/>
        <w:rPr/>
      </w:pPr>
      <w:r>
        <w:rPr/>
        <w:t>6.</w:t>
        <w:tab/>
      </w:r>
      <w:r>
        <w:rPr>
          <w:b/>
          <w:u w:val="single"/>
        </w:rPr>
        <w:t>Early Termination</w:t>
      </w:r>
      <w:r>
        <w:rPr>
          <w:b/>
        </w:rPr>
        <w:t>.</w:t>
      </w:r>
      <w:r>
        <w:rPr/>
        <w:t xml:space="preserve">  For purposes of Section 6(e) of the ISDA Agreement, the Second Method and Loss shall apply.</w:t>
      </w:r>
    </w:p>
    <w:p>
      <w:pPr>
        <w:pStyle w:val="Normal"/>
        <w:jc w:val="both"/>
        <w:rPr/>
      </w:pPr>
      <w:r>
        <w:rPr/>
      </w:r>
    </w:p>
    <w:p>
      <w:pPr>
        <w:pStyle w:val="Normal"/>
        <w:jc w:val="both"/>
        <w:rPr/>
      </w:pPr>
      <w:r>
        <w:rPr/>
        <w:t>7.</w:t>
        <w:tab/>
      </w:r>
      <w:r>
        <w:rPr>
          <w:b/>
          <w:u w:val="single"/>
        </w:rPr>
        <w:t>Governing Law/Jurisdiction</w:t>
      </w:r>
      <w:r>
        <w:rPr>
          <w:b/>
        </w:rPr>
        <w:t>.</w:t>
      </w:r>
      <w:r>
        <w:rPr/>
        <w:t xml:space="preserve">  This Confirmation and the ISDA Agreement will be governed by and construed in accordance with the laws of the State of </w:t>
      </w:r>
      <w:r>
        <w:rPr>
          <w:color w:val="000000"/>
        </w:rPr>
        <w:t>Texas</w:t>
      </w:r>
      <w:r>
        <w:rPr/>
        <w:t xml:space="preserve">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w:t>
      </w:r>
      <w:r>
        <w:rPr>
          <w:color w:val="000000"/>
        </w:rPr>
        <w:t>Houston, Texas,</w:t>
      </w:r>
      <w:r>
        <w:rPr/>
        <w:t xml:space="preserve"> and such arbitration, and any related award shall be confidential.</w:t>
      </w:r>
    </w:p>
    <w:p>
      <w:pPr>
        <w:pStyle w:val="Normal"/>
        <w:jc w:val="both"/>
        <w:rPr/>
      </w:pPr>
      <w:r>
        <w:rPr/>
      </w:r>
    </w:p>
    <w:p>
      <w:pPr>
        <w:pStyle w:val="Normal"/>
        <w:jc w:val="both"/>
        <w:rPr/>
      </w:pPr>
      <w:r>
        <w:rPr/>
        <w:t>8.</w:t>
        <w:tab/>
      </w:r>
      <w:r>
        <w:rPr>
          <w:b/>
          <w:u w:val="single"/>
        </w:rPr>
        <w:t>Confidentiality</w:t>
      </w:r>
      <w:r>
        <w:rPr>
          <w:b/>
        </w:rPr>
        <w:t>.</w:t>
      </w:r>
      <w:r>
        <w:rPr/>
        <w:t xml:space="preserve">  The contents of this Confirmation, the Transaction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
    </w:p>
    <w:p>
      <w:pPr>
        <w:pStyle w:val="Normal"/>
        <w:jc w:val="both"/>
        <w:rPr/>
      </w:pPr>
      <w:r>
        <w:rPr/>
        <w:t>9.</w:t>
        <w:tab/>
      </w:r>
      <w:r>
        <w:rPr>
          <w:b/>
          <w:u w:val="single"/>
        </w:rPr>
        <w:t>Calculation Agent</w:t>
      </w:r>
      <w:r>
        <w:rPr>
          <w:b/>
        </w:rPr>
        <w:t>.</w:t>
      </w:r>
      <w:r>
        <w:rPr/>
        <w:t xml:space="preserve">  The Calculation Agent shall be ENA.</w:t>
      </w:r>
    </w:p>
    <w:p>
      <w:pPr>
        <w:pStyle w:val="Normal"/>
        <w:jc w:val="both"/>
        <w:rPr/>
      </w:pPr>
      <w:r>
        <w:rPr/>
      </w:r>
    </w:p>
    <w:p>
      <w:pPr>
        <w:pStyle w:val="Normal"/>
        <w:tabs>
          <w:tab w:val="clear" w:pos="720"/>
          <w:tab w:val="left" w:pos="810" w:leader="none"/>
          <w:tab w:val="left" w:pos="1170" w:leader="none"/>
        </w:tabs>
        <w:jc w:val="both"/>
        <w:rPr/>
      </w:pPr>
      <w:r>
        <w:rPr/>
        <w:t>10.</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t xml:space="preserve"> </w:t>
      </w:r>
    </w:p>
    <w:p>
      <w:pPr>
        <w:pStyle w:val="Normal"/>
        <w:rPr/>
      </w:pPr>
      <w:r>
        <w:rPr/>
      </w:r>
    </w:p>
    <w:p>
      <w:pPr>
        <w:pStyle w:val="Normal"/>
        <w:jc w:val="both"/>
        <w:rPr/>
      </w:pPr>
      <w:r>
        <w:rPr/>
        <w:t>11.</w:t>
        <w:tab/>
      </w:r>
      <w:r>
        <w:rPr>
          <w:b/>
          <w:u w:val="single"/>
        </w:rPr>
        <w:t>Setoff</w:t>
      </w:r>
      <w:r>
        <w:rPr>
          <w:b/>
        </w:rPr>
        <w:t>.</w:t>
      </w:r>
      <w:r>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pPr>
      <w:r>
        <w:rPr/>
      </w:r>
    </w:p>
    <w:p>
      <w:pPr>
        <w:pStyle w:val="Normal"/>
        <w:ind w:firstLine="720" w:end="0"/>
        <w:jc w:val="both"/>
        <w:rPr/>
      </w:pPr>
      <w:r>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pPr>
      <w:r>
        <w:rPr/>
      </w:r>
    </w:p>
    <w:p>
      <w:pPr>
        <w:pStyle w:val="Normal"/>
        <w:jc w:val="both"/>
        <w:rPr/>
      </w:pPr>
      <w:r>
        <w:rPr>
          <w:color w:val="000000"/>
        </w:rPr>
        <w:t>12.</w:t>
        <w:tab/>
      </w:r>
      <w:r>
        <w:rPr>
          <w:b/>
          <w:color w:val="000000"/>
          <w:u w:val="single"/>
        </w:rPr>
        <w:t>Miscellaneous</w:t>
      </w:r>
      <w:r>
        <w:rPr>
          <w:b/>
          <w:color w:val="000000"/>
        </w:rPr>
        <w:t>.</w:t>
      </w:r>
    </w:p>
    <w:p>
      <w:pPr>
        <w:pStyle w:val="Normal"/>
        <w:jc w:val="both"/>
        <w:rPr>
          <w:b/>
          <w:color w:val="000000"/>
          <w:u w:val="single"/>
        </w:rPr>
      </w:pPr>
      <w:r>
        <w:rPr>
          <w:b/>
          <w:color w:val="000000"/>
          <w:u w:val="single"/>
        </w:rPr>
      </w:r>
    </w:p>
    <w:p>
      <w:pPr>
        <w:pStyle w:val="Normal"/>
        <w:jc w:val="both"/>
        <w:rPr/>
      </w:pPr>
      <w:r>
        <w:rPr>
          <w:color w:val="000000"/>
        </w:rPr>
        <w:t>a)</w:t>
      </w:r>
      <w:r>
        <w:rPr>
          <w:b/>
          <w:color w:val="000000"/>
        </w:rPr>
        <w:t xml:space="preserve"> </w:t>
      </w:r>
      <w:r>
        <w:rPr>
          <w:b/>
          <w:color w:val="000000"/>
          <w:u w:val="single"/>
        </w:rPr>
        <w:t>Additional Representations.</w:t>
      </w:r>
      <w:r>
        <w:rPr>
          <w:color w:val="000000"/>
        </w:rPr>
        <w:t xml:space="preserve"> For the purpose of Section 3 of the ISDA Agreement, Counterparty further represents and warrants to ENA (which representations will be deemed repeated by Counterparty at all times until the termination of the Transaction) that:</w:t>
      </w:r>
    </w:p>
    <w:p>
      <w:pPr>
        <w:pStyle w:val="Normal"/>
        <w:jc w:val="both"/>
        <w:rPr>
          <w:color w:val="000000"/>
        </w:rPr>
      </w:pPr>
      <w:r>
        <w:rPr>
          <w:color w:val="000000"/>
        </w:rPr>
      </w:r>
    </w:p>
    <w:p>
      <w:pPr>
        <w:pStyle w:val="Normal"/>
        <w:numPr>
          <w:ilvl w:val="0"/>
          <w:numId w:val="3"/>
        </w:numPr>
        <w:jc w:val="both"/>
        <w:rPr>
          <w:color w:val="000000"/>
        </w:rPr>
      </w:pPr>
      <w:r>
        <w:rPr>
          <w:color w:val="000000"/>
        </w:rPr>
        <w:t xml:space="preserve">entering into this Confirmation and the Transaction hereunder do not violate any legal investment laws directly or indirectly applicable to Counterparty; </w:t>
      </w:r>
    </w:p>
    <w:p>
      <w:pPr>
        <w:pStyle w:val="Normal"/>
        <w:numPr>
          <w:ilvl w:val="0"/>
          <w:numId w:val="3"/>
        </w:numPr>
        <w:jc w:val="both"/>
        <w:rPr>
          <w:color w:val="000000"/>
        </w:rPr>
      </w:pPr>
      <w:r>
        <w:rPr>
          <w:color w:val="000000"/>
        </w:rPr>
        <w:t>entering into this Confirmation and the Transaction hereunder is consistent with Counterparty’s investment guidelines, including any derivatives policy;</w:t>
      </w:r>
    </w:p>
    <w:p>
      <w:pPr>
        <w:pStyle w:val="Normal"/>
        <w:numPr>
          <w:ilvl w:val="0"/>
          <w:numId w:val="3"/>
        </w:numPr>
        <w:jc w:val="both"/>
        <w:rPr>
          <w:color w:val="000000"/>
        </w:rPr>
      </w:pPr>
      <w:r>
        <w:rPr>
          <w:color w:val="000000"/>
        </w:rPr>
        <w:t xml:space="preserve">it has taken all requisite actions to comply with any laws, regulations and rules applicable to such derivatives transactions; and </w:t>
      </w:r>
    </w:p>
    <w:p>
      <w:pPr>
        <w:pStyle w:val="Normal"/>
        <w:numPr>
          <w:ilvl w:val="0"/>
          <w:numId w:val="3"/>
        </w:numPr>
        <w:jc w:val="both"/>
        <w:rPr>
          <w:color w:val="000000"/>
        </w:rPr>
      </w:pPr>
      <w:r>
        <w:rPr>
          <w:color w:val="000000"/>
        </w:rPr>
        <w:t xml:space="preserve">this Confirmation and the Transaction hereunder have been and will be entered into not for the purpose of speculation but solely in connection with the financing activities of Counterparty. </w:t>
      </w:r>
    </w:p>
    <w:p>
      <w:pPr>
        <w:pStyle w:val="Normal"/>
        <w:rPr>
          <w:color w:val="000000"/>
        </w:rPr>
      </w:pPr>
      <w:r>
        <w:rPr>
          <w:color w:val="000000"/>
        </w:rPr>
      </w:r>
    </w:p>
    <w:p>
      <w:pPr>
        <w:pStyle w:val="Normal"/>
        <w:jc w:val="both"/>
        <w:rPr/>
      </w:pPr>
      <w:r>
        <w:rPr>
          <w:color w:val="000000"/>
        </w:rPr>
        <w:t>b)</w:t>
      </w:r>
      <w:r>
        <w:rPr>
          <w:b/>
          <w:color w:val="000000"/>
        </w:rPr>
        <w:t xml:space="preserve"> </w:t>
      </w:r>
      <w:r>
        <w:rPr>
          <w:b/>
          <w:color w:val="000000"/>
          <w:u w:val="single"/>
        </w:rPr>
        <w:t>Authorization.</w:t>
      </w:r>
      <w:r>
        <w:rPr>
          <w:color w:val="000000"/>
        </w:rPr>
        <w:t xml:space="preserve"> For the purpose of Section 4(a) of the ISDA Agreement, upon execution of this Confirmation, Counterparty agrees to deliver to ENA:  copies of its articles of incorporation and bylaws (or other constituent documents).</w:t>
      </w:r>
    </w:p>
    <w:p>
      <w:pPr>
        <w:pStyle w:val="Justified"/>
        <w:spacing w:before="0" w:after="0"/>
        <w:rPr>
          <w:rFonts w:ascii="Times New Roman" w:hAnsi="Times New Roman" w:cs="Times New Roman"/>
          <w:color w:val="000000"/>
          <w:sz w:val="20"/>
        </w:rPr>
      </w:pPr>
      <w:r>
        <w:rPr>
          <w:rFonts w:cs="Times New Roman" w:ascii="Times New Roman" w:hAnsi="Times New Roman"/>
          <w:color w:val="000000"/>
          <w:sz w:val="20"/>
        </w:rPr>
      </w:r>
    </w:p>
    <w:p>
      <w:pPr>
        <w:pStyle w:val="Normal"/>
        <w:rPr/>
      </w:pPr>
      <w:r>
        <w:rPr/>
        <w:t>13.</w:t>
        <w:tab/>
      </w:r>
      <w:r>
        <w:rPr>
          <w:b/>
          <w:u w:val="single"/>
        </w:rPr>
        <w:t>Offices</w:t>
      </w:r>
      <w:r>
        <w:rPr>
          <w:b/>
        </w:rPr>
        <w:t>.</w:t>
      </w:r>
    </w:p>
    <w:p>
      <w:pPr>
        <w:pStyle w:val="Normal"/>
        <w:keepNext w:val="true"/>
        <w:rPr/>
      </w:pPr>
      <w:r>
        <w:rPr/>
      </w:r>
    </w:p>
    <w:p>
      <w:pPr>
        <w:pStyle w:val="Normal"/>
        <w:keepNext w:val="true"/>
        <w:jc w:val="both"/>
        <w:rPr/>
      </w:pPr>
      <w:r>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pPr>
      <w:r>
        <w:rPr/>
      </w:r>
    </w:p>
    <w:p>
      <w:pPr>
        <w:pStyle w:val="Normal"/>
        <w:jc w:val="both"/>
        <w:rPr/>
      </w:pPr>
      <w:r>
        <w:rPr/>
        <w:tab/>
        <w:t>(b)</w:t>
        <w:tab/>
        <w:t>The office of Counterparty is and copies of any notices should be delivered to: ______________________________________________________________________________________________________________________________________, Facsimile No. _______________________.</w:t>
      </w:r>
    </w:p>
    <w:p>
      <w:pPr>
        <w:pStyle w:val="Normal"/>
        <w:jc w:val="both"/>
        <w:rPr/>
      </w:pPr>
      <w:r>
        <w:rPr/>
      </w:r>
    </w:p>
    <w:p>
      <w:pPr>
        <w:pStyle w:val="Normal"/>
        <w:jc w:val="both"/>
        <w:rPr/>
      </w:pPr>
      <w:r>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pPr>
      <w:r>
        <w:rPr/>
        <w:t>Enron North America Corp. is pleased to have entered into this Transaction with you.</w:t>
      </w:r>
    </w:p>
    <w:p>
      <w:pPr>
        <w:pStyle w:val="Normal"/>
        <w:rPr/>
      </w:pPr>
      <w:r>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rPr>
      </w:pPr>
      <w:r>
        <w:rPr>
          <w:rFonts w:cs="Times New Roman"/>
        </w:rPr>
      </w:r>
    </w:p>
    <w:p>
      <w:pPr>
        <w:pStyle w:val="Normal"/>
        <w:keepNext w:val="true"/>
        <w:rPr>
          <w:b/>
        </w:rPr>
      </w:pPr>
      <w:r>
        <w:rPr>
          <w:b/>
        </w:rPr>
        <w:t>ENRON NORTH AMERICA CORP.</w:t>
      </w:r>
    </w:p>
    <w:p>
      <w:pPr>
        <w:pStyle w:val="Normal"/>
        <w:keepNext w:val="true"/>
        <w:rPr>
          <w:b/>
        </w:rPr>
      </w:pPr>
      <w:r>
        <w:rPr>
          <w:b/>
        </w:rPr>
      </w:r>
    </w:p>
    <w:p>
      <w:pPr>
        <w:pStyle w:val="Normal"/>
        <w:keepNext w:val="true"/>
        <w:rPr/>
      </w:pPr>
      <w:r>
        <w:rPr/>
        <w:t>By:</w:t>
        <w:tab/>
        <w:t>_____________________________</w:t>
      </w:r>
    </w:p>
    <w:p>
      <w:pPr>
        <w:pStyle w:val="Normal"/>
        <w:keepNext w:val="true"/>
        <w:rPr/>
      </w:pPr>
      <w:r>
        <w:rPr/>
        <w:t>Name:</w:t>
        <w:tab/>
        <w:t>_____________________________</w:t>
      </w:r>
    </w:p>
    <w:p>
      <w:pPr>
        <w:pStyle w:val="Normal"/>
        <w:keepNext w:val="true"/>
        <w:rPr/>
      </w:pPr>
      <w:r>
        <w:rPr/>
        <w:t>Title:</w:t>
        <w:tab/>
        <w:t>_____________________________</w:t>
      </w:r>
    </w:p>
    <w:p>
      <w:pPr>
        <w:pStyle w:val="Normal"/>
        <w:keepNext w:val="true"/>
        <w:rPr/>
      </w:pPr>
      <w:r>
        <w:rPr/>
      </w:r>
    </w:p>
    <w:p>
      <w:pPr>
        <w:pStyle w:val="Normal"/>
        <w:keepNext w:val="true"/>
        <w:rPr/>
      </w:pPr>
      <w:r>
        <w:rPr/>
        <w:t>Confirmed as of the Trade Date:</w:t>
      </w:r>
    </w:p>
    <w:p>
      <w:pPr>
        <w:pStyle w:val="Normal"/>
        <w:keepNext w:val="true"/>
        <w:rPr/>
      </w:pPr>
      <w:r>
        <w:rPr/>
      </w:r>
    </w:p>
    <w:p>
      <w:pPr>
        <w:pStyle w:val="Heading5"/>
        <w:ind w:hanging="0" w:start="0"/>
        <w:rPr/>
      </w:pPr>
      <w:r>
        <w:rPr/>
        <w:t>INERGY PARTNERS, LLC</w:t>
      </w:r>
    </w:p>
    <w:p>
      <w:pPr>
        <w:pStyle w:val="Normal"/>
        <w:keepNext w:val="true"/>
        <w:rPr/>
      </w:pPr>
      <w:r>
        <w:rPr/>
      </w:r>
    </w:p>
    <w:p>
      <w:pPr>
        <w:pStyle w:val="Normal"/>
        <w:keepNext w:val="true"/>
        <w:rPr/>
      </w:pPr>
      <w:r>
        <w:rPr/>
        <w:t>By:</w:t>
        <w:tab/>
        <w:t>_____________________________</w:t>
      </w:r>
    </w:p>
    <w:p>
      <w:pPr>
        <w:pStyle w:val="Normal"/>
        <w:keepNext w:val="true"/>
        <w:rPr/>
      </w:pPr>
      <w:r>
        <w:rPr/>
        <w:t>Name:</w:t>
        <w:tab/>
        <w:t>_____________________________</w:t>
      </w:r>
    </w:p>
    <w:p>
      <w:pPr>
        <w:sectPr>
          <w:headerReference w:type="default" r:id="rId3"/>
          <w:headerReference w:type="first" r:id="rId4"/>
          <w:footerReference w:type="default" r:id="rId5"/>
          <w:footerReference w:type="first" r:id="rId6"/>
          <w:type w:val="nextPage"/>
          <w:pgSz w:w="12240" w:h="15840"/>
          <w:pgMar w:left="1440" w:right="1440" w:gutter="0" w:header="720" w:top="990" w:footer="465" w:bottom="900"/>
          <w:pgNumType w:start="1" w:fmt="decimal"/>
          <w:formProt w:val="false"/>
          <w:titlePg/>
          <w:textDirection w:val="lrTb"/>
          <w:docGrid w:type="default" w:linePitch="360" w:charSpace="0"/>
        </w:sectPr>
        <w:pStyle w:val="Normal"/>
        <w:keepNext w:val="true"/>
        <w:rPr/>
      </w:pPr>
      <w:r>
        <w:rPr/>
        <w:t>Title:</w:t>
        <w:tab/>
        <w:t>_____________________________</w:t>
      </w:r>
    </w:p>
    <w:p>
      <w:pPr>
        <w:pStyle w:val="Normal"/>
        <w:keepNext w:val="true"/>
        <w:spacing w:lineRule="exact" w:line="240"/>
        <w:jc w:val="center"/>
        <w:rPr>
          <w:b/>
        </w:rPr>
      </w:pPr>
      <w:r>
        <w:rPr>
          <w:b/>
        </w:rPr>
        <w:t>ANNEX A</w:t>
      </w:r>
    </w:p>
    <w:p>
      <w:pPr>
        <w:pStyle w:val="Normal"/>
        <w:keepNext w:val="true"/>
        <w:jc w:val="center"/>
        <w:rPr>
          <w:b/>
        </w:rPr>
      </w:pPr>
      <w:r>
        <w:rPr>
          <w:b/>
        </w:rPr>
      </w:r>
    </w:p>
    <w:p>
      <w:pPr>
        <w:pStyle w:val="Normal"/>
        <w:keepNext w:val="true"/>
        <w:jc w:val="center"/>
        <w:rPr>
          <w:b/>
        </w:rPr>
      </w:pPr>
      <w:r>
        <w:rPr>
          <w:b/>
        </w:rPr>
        <w:t>U.S. WITHHOLDING TAX</w:t>
      </w:r>
    </w:p>
    <w:p>
      <w:pPr>
        <w:pStyle w:val="Normal"/>
        <w:keepNext w:val="true"/>
        <w:jc w:val="center"/>
        <w:rPr>
          <w:b/>
        </w:rPr>
      </w:pPr>
      <w:r>
        <w:rPr>
          <w:b/>
        </w:rPr>
      </w:r>
    </w:p>
    <w:p>
      <w:pPr>
        <w:pStyle w:val="Normal"/>
        <w:jc w:val="center"/>
        <w:rPr>
          <w:b/>
        </w:rPr>
      </w:pPr>
      <w:r>
        <w:rPr>
          <w:b/>
        </w:rPr>
        <w:t>Party A: Enron North America Corp.</w:t>
      </w:r>
    </w:p>
    <w:p>
      <w:pPr>
        <w:pStyle w:val="Normal"/>
        <w:jc w:val="center"/>
        <w:rPr/>
      </w:pPr>
      <w:r>
        <w:rPr>
          <w:b/>
        </w:rPr>
        <w:t xml:space="preserve">Party B:  </w:t>
      </w:r>
      <w:r>
        <w:rPr>
          <w:b/>
          <w:color w:val="000000"/>
        </w:rPr>
        <w:t>Inergy Partners, LLC</w:t>
      </w:r>
    </w:p>
    <w:p>
      <w:pPr>
        <w:pStyle w:val="Normal"/>
        <w:tabs>
          <w:tab w:val="left" w:pos="720" w:leader="none"/>
          <w:tab w:val="left" w:pos="1080" w:leader="none"/>
        </w:tabs>
        <w:spacing w:lineRule="exact" w:line="480"/>
        <w:jc w:val="both"/>
        <w:rPr>
          <w:b/>
        </w:rPr>
      </w:pPr>
      <w:r>
        <w:rPr>
          <w:b/>
        </w:rPr>
        <w:t>I.</w:t>
        <w:tab/>
        <w:t>Tax Representations.</w:t>
      </w:r>
    </w:p>
    <w:p>
      <w:pPr>
        <w:pStyle w:val="Normal"/>
        <w:spacing w:lineRule="exact" w:line="240" w:before="240" w:after="0"/>
        <w:ind w:hanging="720" w:start="720" w:end="0"/>
        <w:jc w:val="both"/>
        <w:rPr/>
      </w:pPr>
      <w:r>
        <w:rPr>
          <w:b/>
        </w:rPr>
        <w:t>(a)</w:t>
        <w:tab/>
        <w:t xml:space="preserve">Payer Representations.  </w:t>
      </w:r>
      <w:r>
        <w:rPr/>
        <w:t>For the purpose of Section 3(e) of the ISDA Agreement, Party A and Party B make the following representation:</w:t>
      </w:r>
    </w:p>
    <w:p>
      <w:pPr>
        <w:pStyle w:val="Normal"/>
        <w:spacing w:lineRule="exact" w:line="240" w:before="240" w:after="0"/>
        <w:ind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rPr>
        <w:t>provided</w:t>
      </w:r>
      <w:r>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hanging="720" w:start="720" w:end="0"/>
        <w:jc w:val="both"/>
        <w:rPr/>
      </w:pPr>
      <w:r>
        <w:rPr>
          <w:b/>
        </w:rPr>
        <w:t>(b)</w:t>
        <w:tab/>
        <w:t>Payee Representations.</w:t>
      </w:r>
      <w:r>
        <w:rPr/>
        <w:t xml:space="preserve">  For the purpose of Section 3(f) of the ISDA Agreement, Party A and Party B make the following representations:</w:t>
      </w:r>
    </w:p>
    <w:p>
      <w:pPr>
        <w:pStyle w:val="Normal"/>
        <w:spacing w:lineRule="exact" w:line="240" w:before="240" w:after="0"/>
        <w:ind w:hanging="720" w:start="900" w:end="0"/>
        <w:jc w:val="both"/>
        <w:rPr/>
      </w:pPr>
      <w:r>
        <w:rPr/>
        <w:t>(i)</w:t>
        <w:tab/>
        <w:t>The following representation applies to Party A:</w:t>
      </w:r>
    </w:p>
    <w:p>
      <w:pPr>
        <w:pStyle w:val="Normal"/>
        <w:spacing w:lineRule="exact" w:line="240" w:before="240" w:after="0"/>
        <w:ind w:start="900" w:end="0"/>
        <w:jc w:val="both"/>
        <w:rPr/>
      </w:pPr>
      <w:r>
        <w:rPr/>
        <w:t>Party A is a corporation organized under the law of the State of Delaware.</w:t>
      </w:r>
    </w:p>
    <w:p>
      <w:pPr>
        <w:pStyle w:val="Normal"/>
        <w:spacing w:lineRule="exact" w:line="240" w:before="240" w:after="0"/>
        <w:ind w:hanging="720" w:start="900" w:end="0"/>
        <w:jc w:val="both"/>
        <w:rPr/>
      </w:pPr>
      <w:r>
        <w:rPr/>
        <w:t>(ii)</w:t>
        <w:tab/>
        <w:t>The following representation applies to Party B:</w:t>
      </w:r>
    </w:p>
    <w:p>
      <w:pPr>
        <w:pStyle w:val="Normal"/>
        <w:spacing w:lineRule="exact" w:line="240" w:before="240" w:after="0"/>
        <w:ind w:start="900" w:end="0"/>
        <w:jc w:val="both"/>
        <w:rPr/>
      </w:pPr>
      <w:r>
        <w:rPr/>
        <w:t xml:space="preserve">Party B is a </w:t>
      </w:r>
      <w:r>
        <w:rPr>
          <w:color w:val="000000"/>
        </w:rPr>
        <w:t>limited liability company</w:t>
      </w:r>
      <w:r>
        <w:rPr>
          <w:color w:val="FF0000"/>
        </w:rPr>
        <w:t xml:space="preserve"> </w:t>
      </w:r>
      <w:r>
        <w:rPr/>
        <w:t xml:space="preserve">organized under the law of the State of </w:t>
      </w:r>
      <w:r>
        <w:rPr>
          <w:color w:val="000000"/>
        </w:rPr>
        <w:t>______________.</w:t>
      </w:r>
    </w:p>
    <w:p>
      <w:pPr>
        <w:pStyle w:val="Normal"/>
        <w:tabs>
          <w:tab w:val="clear" w:pos="720"/>
          <w:tab w:val="left" w:pos="1080" w:leader="none"/>
        </w:tabs>
        <w:spacing w:lineRule="exact" w:line="480"/>
        <w:jc w:val="both"/>
        <w:rPr>
          <w:b/>
        </w:rPr>
      </w:pPr>
      <w:r>
        <w:rPr>
          <w:b/>
        </w:rPr>
        <w:t>II.</w:t>
        <w:tab/>
        <w:t>Agreement to Deliver Documents</w:t>
      </w:r>
    </w:p>
    <w:p>
      <w:pPr>
        <w:pStyle w:val="BodyText"/>
        <w:spacing w:lineRule="exact" w:line="240" w:before="240" w:after="0"/>
        <w:rPr/>
      </w:pPr>
      <w:r>
        <w:rPr/>
        <w:t>For the purpose of Section 4(a) of the ISDA Agreement, the Tax forms, documents, or certificates to be delivered are:</w:t>
      </w:r>
    </w:p>
    <w:p>
      <w:pPr>
        <w:pStyle w:val="Normal"/>
        <w:spacing w:lineRule="exact" w:line="240" w:before="240" w:after="0"/>
        <w:ind w:hanging="720" w:start="1440" w:end="0"/>
        <w:jc w:val="both"/>
        <w:rPr/>
      </w:pPr>
      <w:r>
        <w:rPr/>
        <w:t>(a)</w:t>
        <w:tab/>
        <w:t>Party B agrees to complete (accurately and in a manner reasonably satisfactory to Party A), execute, and deliver to Party A a United States Internal Revenue Form W-9, or any successor form, (i) as of the date of this Confirmation and the ISDA Agreement, (ii) promptly upon reasonable demand by Party A, and (iii) promptly upon learning that any such form previously provided by Party B has become obsolete or incorrect.</w:t>
      </w:r>
    </w:p>
    <w:p>
      <w:pPr>
        <w:pStyle w:val="Normal"/>
        <w:spacing w:lineRule="exact" w:line="240"/>
        <w:jc w:val="both"/>
        <w:rPr>
          <w:b/>
        </w:rPr>
      </w:pPr>
      <w:r>
        <w:rPr>
          <w:b/>
        </w:rPr>
      </w:r>
    </w:p>
    <w:p>
      <w:pPr>
        <w:pStyle w:val="Normal"/>
        <w:spacing w:lineRule="exact" w:line="240"/>
        <w:jc w:val="both"/>
        <w:rPr/>
      </w:pPr>
      <w:r>
        <w:rPr>
          <w:b/>
        </w:rPr>
        <w:t>III.</w:t>
        <w:tab/>
        <w:t xml:space="preserve">Definitions. </w:t>
      </w:r>
      <w:r>
        <w:rPr/>
        <w:t xml:space="preserve">  Capitalized terms not otherwise defined in this Annex A shall have the meaning set forth in this Confirmation or the ISDA Agreement.</w:t>
      </w:r>
    </w:p>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fldChar w:fldCharType="begin"/>
    </w:r>
    <w:r>
      <w:rPr/>
      <w:instrText xml:space="preserve"> PAGE </w:instrText>
    </w:r>
    <w:r>
      <w:rPr/>
      <w:fldChar w:fldCharType="separate"/>
    </w:r>
    <w:r>
      <w:rPr/>
      <w:t>7</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fldChar w:fldCharType="begin"/>
    </w:r>
    <w:r>
      <w:rPr/>
      <w:instrText xml:space="preserve"> PAGE </w:instrText>
    </w:r>
    <w:r>
      <w:rPr/>
      <w:fldChar w:fldCharType="separate"/>
    </w:r>
    <w:r>
      <w:rPr/>
      <w:t>1</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Contract No. WR0809</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Contract No. WR0809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Contract No. WR0809</w: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240"/>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both"/>
      <w:outlineLvl w:val="2"/>
    </w:pPr>
    <w:rPr>
      <w:b/>
      <w:color w:val="FF0000"/>
      <w:sz w:val="22"/>
    </w:rPr>
  </w:style>
  <w:style w:type="paragraph" w:styleId="Heading4">
    <w:name w:val="heading 4"/>
    <w:basedOn w:val="Normal"/>
    <w:next w:val="Normal"/>
    <w:qFormat/>
    <w:pPr>
      <w:keepNext w:val="true"/>
      <w:numPr>
        <w:ilvl w:val="3"/>
        <w:numId w:val="1"/>
      </w:numPr>
      <w:jc w:val="center"/>
      <w:outlineLvl w:val="3"/>
    </w:pPr>
    <w:rPr>
      <w:b/>
      <w:u w:val="single"/>
    </w:rPr>
  </w:style>
  <w:style w:type="paragraph" w:styleId="Heading5">
    <w:name w:val="heading 5"/>
    <w:basedOn w:val="Normal"/>
    <w:next w:val="Normal"/>
    <w:qFormat/>
    <w:pPr>
      <w:keepNext w:val="true"/>
      <w:numPr>
        <w:ilvl w:val="4"/>
        <w:numId w:val="1"/>
      </w:numPr>
      <w:outlineLvl w:val="4"/>
    </w:pPr>
    <w:rPr>
      <w:b/>
      <w:color w:val="00000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8000"/>
    </w:rPr>
  </w:style>
  <w:style w:type="paragraph" w:styleId="Index1">
    <w:name w:val="index 1"/>
    <w:basedOn w:val="Normal"/>
    <w:next w:val="Normal"/>
    <w:pPr/>
    <w:rPr>
      <w:rFonts w:ascii="Arial" w:hAnsi="Arial" w:cs="Arial"/>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Indent">
    <w:name w:val="Body Text Indent"/>
    <w:basedOn w:val="Normal"/>
    <w:pPr>
      <w:spacing w:lineRule="exact" w:line="240" w:before="240" w:after="0"/>
      <w:ind w:hanging="720" w:start="1440" w:end="0"/>
      <w:jc w:val="both"/>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3">
    <w:name w:val="Body Text 3"/>
    <w:basedOn w:val="Normal"/>
    <w:qFormat/>
    <w:pPr>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2000-01-18T18:37:00Z</dcterms:created>
  <dc:creator>mheard</dc:creator>
  <dc:description/>
  <dc:language>en-CA</dc:language>
  <cp:lastModifiedBy>jcyprow</cp:lastModifiedBy>
  <cp:lastPrinted>2000-01-18T11:26:00Z</cp:lastPrinted>
  <dcterms:modified xsi:type="dcterms:W3CDTF">2000-01-18T20:08:00Z</dcterms:modified>
  <cp:revision>4</cp:revision>
  <dc:subject/>
  <dc:title>“DEEMED ISDA” CONFIRMATION</dc:title>
</cp:coreProperties>
</file>