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360"/>
        <w:jc w:val="center"/>
        <w:rPr>
          <w:b/>
          <w:smallCaps/>
          <w:sz w:val="28"/>
        </w:rPr>
      </w:pPr>
      <w:r>
        <w:rPr>
          <w:b/>
          <w:smallCaps/>
          <w:sz w:val="28"/>
        </w:rPr>
      </w:r>
    </w:p>
    <w:p>
      <w:pPr>
        <w:pStyle w:val="Normal"/>
        <w:widowControl/>
        <w:spacing w:lineRule="auto" w:line="360"/>
        <w:jc w:val="center"/>
        <w:rPr>
          <w:sz w:val="24"/>
        </w:rPr>
      </w:pPr>
      <w:r>
        <w:rPr>
          <w:b/>
          <w:smallCaps/>
          <w:sz w:val="28"/>
        </w:rPr>
        <w:t>Industry Collaborative Electricity Market Study</w:t>
      </w:r>
    </w:p>
    <w:p>
      <w:pPr>
        <w:pStyle w:val="Normal"/>
        <w:widowControl/>
        <w:spacing w:lineRule="auto" w:line="360"/>
        <w:jc w:val="center"/>
        <w:rPr>
          <w:sz w:val="24"/>
        </w:rPr>
      </w:pPr>
      <w:r>
        <w:rPr>
          <w:sz w:val="24"/>
        </w:rPr>
        <w:t>******  Preliminary Draft: December 1, 2000 ******</w:t>
      </w:r>
    </w:p>
    <w:p>
      <w:pPr>
        <w:pStyle w:val="Normal"/>
        <w:widowControl/>
        <w:spacing w:lineRule="auto" w:line="360"/>
        <w:rPr>
          <w:sz w:val="24"/>
        </w:rPr>
      </w:pPr>
      <w:r>
        <w:rPr>
          <w:sz w:val="24"/>
        </w:rPr>
      </w:r>
    </w:p>
    <w:p>
      <w:pPr>
        <w:pStyle w:val="Normal"/>
        <w:widowControl/>
        <w:spacing w:lineRule="auto" w:line="360"/>
        <w:jc w:val="center"/>
        <w:rPr>
          <w:sz w:val="24"/>
        </w:rPr>
      </w:pPr>
      <w:r>
        <w:rPr>
          <w:b/>
          <w:i/>
          <w:sz w:val="24"/>
          <w:u w:val="single"/>
        </w:rPr>
        <w:t xml:space="preserve">Overview and Project Description </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The nation stands at a crossroads regarding electricity generation, and the extent to which market forces will govern its production and use.  At this important juncture, market developments in California (the pioneer restructuring state) have called into question the political legitimacy of competitive generation markets.  In California, high Power Exchange electricity prices have caused retail rate shock for customers of San Diego Gas &amp; Electric and a profound wholesale-- retail price squeeze on Pacific Gas &amp; Electric and Southern California Edison (in their role as bulk purchasers of electricity for delivery to customers still under the initial rate freeze).  The resulting electricity crisis has become the principal political issue of the summer in California, with the California Public Utilities Commission (CPUC), the Governor, and the Legislature attempting to limit market prices and provide rate relief to retail customers, while antitrust authorities and the Federal Energy Regulatory Commission (FERC) conduct their own investigations of market developments.  At this point, the political legitimacy of the restructured market appears almost entirely lost within the state, creating the potential for further legislation, regulation or even public initiative that could cripple the market’s workings, or even attempt to impose permanent price or earnings limitations on generation providers.  Summer price spike experiences in some other restructured states, while not as wide-ranging in their impacts, have also been problematic and weakened the public standing of the market approach.  </w:t>
      </w:r>
    </w:p>
    <w:p>
      <w:pPr>
        <w:pStyle w:val="Normal"/>
        <w:widowControl/>
        <w:spacing w:lineRule="auto" w:line="360"/>
        <w:rPr>
          <w:sz w:val="24"/>
        </w:rPr>
      </w:pPr>
      <w:r>
        <w:rPr>
          <w:sz w:val="24"/>
        </w:rPr>
      </w:r>
    </w:p>
    <w:p>
      <w:pPr>
        <w:pStyle w:val="Normal"/>
        <w:widowControl/>
        <w:spacing w:lineRule="auto" w:line="360"/>
        <w:rPr>
          <w:sz w:val="24"/>
        </w:rPr>
      </w:pPr>
      <w:r>
        <w:rPr>
          <w:sz w:val="24"/>
        </w:rPr>
        <w:t>Despite these developments, in principle we are aware of no reasons why a properly-constituted competitive generation market should operate efficiently and produce market-clearing prices reflective of the costs and risks of electricity generation.  Nor is there any reason to believe that the traditional alternative – centralized regulatory oversight or control of electricity production – is necessary, or likely to improve on market outcomes.  Indeed, one need only look at the past two decades of attempts at such planning in California to recognize the great shortcomings of such a process (which may have contributed to the current crisis by deterring recent investments in new generating capacity).  Yet, the political reaction to the past several months of market performance has begun to threaten the potential for further reform.  Indeed, our concerns extend beyond the states where recent market experience has been problematic.  The potential for expanded electricity restructuring continues to be debated in Congress, and states that have restructured successfully (or are looking to make the effort) cannot help but look at market problems that have occurred, and potentially learn the wrong lessons.  Nor does the “deregulation” that has occurred thus far include all the devolution of government control that will be needed in the long run.  There are many more respects in which government will have to “let go” of these markets, and policy makers need to be reminded why they should finish the job.</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As economists and former senior government officials responsible for the regulatory, legislative and antitrust oversight of the electricity industry, we are deeply concerned by these developments.  Over the past twenty-five years, the economic deregulation of structurally-competitive industries has progressed from a theoretical proposition advanced by professional economists, to experiments undertaken by progressive state and federal officials, to legislative action, and finally to the creation of hundreds of billions of dollars in gains to consumers and the economy that continue to this day.  We believe there are few comparable examples where a sustained academic consensus has ultimately translated into a shift in governmental policy of such beneficial consequences.  And, of course, these gains have not been limited to the United States, as many other nations have followed suit to varying degrees (including pioneering some reforms themselves).  Against this backdrop, we recognize electricity generation as another example of an industry that is not a natural monopoly even though it has been so regulated, and which would perform better over the long run if deregulated.  Our concern is that the present problems and uncertainties of restructuring will cause policy makers to forget this fact, and thus why it is so important.   </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At the same time, even though deregulation and competition is the correct policy, we recognize that current circumstances complicate this proposition for many customers and market participants – especially when handicapped, as are many utilities, by the interventionist government regulation that continues despite restructuring.  Similarly, other firms have made substantial investments in new merchant generation plants (or purchases of divested plants from utilities), and expect a reasonable opportunity to sell electricity in a market.  Customers have paid large stranded asset and market startup costs, and expect lower prices in return.  The interplay of these interests, especially in the short term, has led to many controversies over details of restructuring that are of critical importance, and whose impact should not be minimized.  Indeed, there are many differences of opinion among experts on such implementation questions.  Nor do the billions of dollars that are at stake suggest an easy road to implementation consensus for market participants.       </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Nonetheless, we believe the consensus remains among economists and policy experts that – as a matter of broad public policy – deregulation and competition remains the only sensible path for the electricity generation business in the United States.  In this study, we propose to collaborate with our esteemed colleagues across the profession to document and reiterate this point.  Public policy decision makers need to hear a broad and unified affirmation of the correct policy – at city halls, in state legislatures, at regulatory commissions and in Congress.  So that the range of support for this affirmation can be recognized, we also seek a broad and representative group of industry interests as sponsors (including utilities, independent power producers and brokers, and customers).  As a product, we propose to create a persuasive statement of unified support for deregulation from eminent economists and policy experts, including a compilation of other deregulation experiences and the lessons they teach for electricity; an analysis of why the electricity generation market has a competitive structure and should not be regulated as a monopoly (natural or otherwise); and, a presentation of the essential building blocks of a deregulated electricity market that are necessary for its success (including identifying where residual roles for government may exist).      </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It is also important to identify what this study will not represent.  While we will use data and examples from specific domestic and international electricity markets, we will not attempt to solve (or attach blame for) the problems of specific markets such as California – even though the essential building blocks for market success we identify may offer related insights.  Similarly, we intend to steer clear of the implementation debates noted above, and will not take sides in this project regarding the many financial issues under dispute in jurisdictions across the country.  This is not to say that such questions are unimportant; indeed, the reality is quite the contrary, which is why such disputes have come to undermine the public credibility of the deregulation undertaking itself.  Our point is to step back and issue a timely reminder as to where expert agreement still lies, and why the goal of a free and unfettered market for electricity generation must still be pursued.    </w:t>
      </w:r>
    </w:p>
    <w:p>
      <w:pPr>
        <w:pStyle w:val="Normal"/>
        <w:widowControl/>
        <w:spacing w:lineRule="auto" w:line="360"/>
        <w:rPr>
          <w:sz w:val="24"/>
        </w:rPr>
      </w:pPr>
      <w:r>
        <w:rPr>
          <w:sz w:val="24"/>
        </w:rPr>
      </w:r>
    </w:p>
    <w:p>
      <w:pPr>
        <w:pStyle w:val="Normal"/>
        <w:widowControl/>
        <w:spacing w:lineRule="auto" w:line="360"/>
        <w:jc w:val="center"/>
        <w:rPr>
          <w:sz w:val="24"/>
        </w:rPr>
      </w:pPr>
      <w:r>
        <w:rPr>
          <w:b/>
          <w:i/>
          <w:sz w:val="24"/>
          <w:u w:val="single"/>
        </w:rPr>
        <w:t>Expert Participation</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This project requires the involvement of a broad range of eminent economists and former senior government officials.  To this point, we have identified the following as likely participants:  </w:t>
      </w:r>
    </w:p>
    <w:p>
      <w:pPr>
        <w:pStyle w:val="Normal"/>
        <w:widowControl/>
        <w:spacing w:lineRule="auto" w:line="360"/>
        <w:rPr>
          <w:sz w:val="24"/>
        </w:rPr>
      </w:pPr>
      <w:r>
        <w:rPr>
          <w:sz w:val="24"/>
        </w:rPr>
      </w:r>
    </w:p>
    <w:p>
      <w:pPr>
        <w:pStyle w:val="Normal"/>
        <w:widowControl/>
        <w:spacing w:lineRule="auto" w:line="360"/>
        <w:rPr/>
      </w:pPr>
      <w:r>
        <w:rPr>
          <w:i/>
          <w:sz w:val="24"/>
        </w:rPr>
        <w:t xml:space="preserve">Tom Campbell </w:t>
      </w:r>
      <w:r>
        <w:rPr>
          <w:sz w:val="24"/>
        </w:rPr>
        <w:t xml:space="preserve">is Professor of Law at Stanford University, and served in both the US House of Representatives and in the State Senate.  </w:t>
      </w:r>
    </w:p>
    <w:p>
      <w:pPr>
        <w:pStyle w:val="Normal"/>
        <w:widowControl/>
        <w:spacing w:lineRule="auto" w:line="360"/>
        <w:rPr>
          <w:i/>
          <w:i/>
          <w:sz w:val="24"/>
        </w:rPr>
      </w:pPr>
      <w:r>
        <w:rPr>
          <w:i/>
          <w:sz w:val="24"/>
        </w:rPr>
      </w:r>
    </w:p>
    <w:p>
      <w:pPr>
        <w:pStyle w:val="Normal"/>
        <w:widowControl/>
        <w:spacing w:lineRule="auto" w:line="360"/>
        <w:rPr/>
      </w:pPr>
      <w:r>
        <w:rPr>
          <w:i/>
          <w:sz w:val="24"/>
        </w:rPr>
        <w:t>Richard J. Gilbert</w:t>
      </w:r>
      <w:r>
        <w:rPr>
          <w:sz w:val="24"/>
        </w:rPr>
        <w:t xml:space="preserve"> is Professor of Economics at the University of California at Berkeley, and served as Chief Economist in the Antitrust Division of the United States Department of Justice.  Professor Gilbert is former Director of the University of California Energy Institute.    </w:t>
      </w:r>
    </w:p>
    <w:p>
      <w:pPr>
        <w:pStyle w:val="Normal"/>
        <w:widowControl/>
        <w:spacing w:lineRule="auto" w:line="360"/>
        <w:rPr>
          <w:sz w:val="24"/>
        </w:rPr>
      </w:pPr>
      <w:r>
        <w:rPr>
          <w:sz w:val="24"/>
        </w:rPr>
      </w:r>
    </w:p>
    <w:p>
      <w:pPr>
        <w:pStyle w:val="Normal"/>
        <w:widowControl/>
        <w:spacing w:lineRule="auto" w:line="360"/>
        <w:rPr/>
      </w:pPr>
      <w:r>
        <w:rPr>
          <w:i/>
          <w:sz w:val="24"/>
        </w:rPr>
        <w:t>William G. Hamm</w:t>
      </w:r>
      <w:r>
        <w:rPr>
          <w:sz w:val="24"/>
        </w:rPr>
        <w:t xml:space="preserve"> is the former Legislative Analyst for the State of California, and an expert in legislative dynamics, government rulemaking and regulation.   </w:t>
      </w:r>
    </w:p>
    <w:p>
      <w:pPr>
        <w:pStyle w:val="Normal"/>
        <w:widowControl/>
        <w:spacing w:lineRule="auto" w:line="360"/>
        <w:rPr>
          <w:sz w:val="24"/>
        </w:rPr>
      </w:pPr>
      <w:r>
        <w:rPr>
          <w:sz w:val="24"/>
        </w:rPr>
      </w:r>
    </w:p>
    <w:p>
      <w:pPr>
        <w:pStyle w:val="Normal"/>
        <w:widowControl/>
        <w:spacing w:lineRule="auto" w:line="360"/>
        <w:rPr/>
      </w:pPr>
      <w:r>
        <w:rPr>
          <w:i/>
          <w:sz w:val="24"/>
        </w:rPr>
        <w:t>William W. Hogan</w:t>
      </w:r>
      <w:r>
        <w:rPr>
          <w:sz w:val="24"/>
        </w:rPr>
        <w:t xml:space="preserve"> is Lucius N. Littauer Professor of Public Policy and Administration at Harvard University’s Kennedy School of Government.  Professor Hogan is research director of the Harvard Electricity Policy, founder of the Energy Modeling Forum at Stanford University, and past president of the International Association for Energy Economics.   </w:t>
      </w:r>
    </w:p>
    <w:p>
      <w:pPr>
        <w:pStyle w:val="Normal"/>
        <w:widowControl/>
        <w:spacing w:lineRule="auto" w:line="360"/>
        <w:rPr>
          <w:sz w:val="24"/>
        </w:rPr>
      </w:pPr>
      <w:r>
        <w:rPr>
          <w:sz w:val="24"/>
        </w:rPr>
      </w:r>
    </w:p>
    <w:p>
      <w:pPr>
        <w:pStyle w:val="Normal"/>
        <w:widowControl/>
        <w:spacing w:lineRule="auto" w:line="360"/>
        <w:rPr/>
      </w:pPr>
      <w:r>
        <w:rPr>
          <w:i/>
          <w:sz w:val="24"/>
        </w:rPr>
        <w:t>Stephen Littlechild</w:t>
      </w:r>
      <w:r>
        <w:rPr>
          <w:sz w:val="24"/>
        </w:rPr>
        <w:t xml:space="preserve"> served for nearly a decade as the UK Director General of Electricity Supply, heading the Office of Energy Regulation; he also spent six years as a member of the UK’s Monopolies and Mergers Commission.  Professor Littlechild is the author of the widely-adopted RPI-X reform approach to monopoly regulation.     </w:t>
      </w:r>
    </w:p>
    <w:p>
      <w:pPr>
        <w:pStyle w:val="Normal"/>
        <w:widowControl/>
        <w:spacing w:lineRule="auto" w:line="360"/>
        <w:rPr>
          <w:sz w:val="24"/>
        </w:rPr>
      </w:pPr>
      <w:r>
        <w:rPr>
          <w:sz w:val="24"/>
        </w:rPr>
      </w:r>
    </w:p>
    <w:p>
      <w:pPr>
        <w:pStyle w:val="Normal"/>
        <w:widowControl/>
        <w:spacing w:lineRule="auto" w:line="360"/>
        <w:rPr/>
      </w:pPr>
      <w:r>
        <w:rPr>
          <w:i/>
          <w:sz w:val="24"/>
        </w:rPr>
        <w:t>Kieran Murray</w:t>
      </w:r>
      <w:r>
        <w:rPr>
          <w:sz w:val="24"/>
        </w:rPr>
        <w:t xml:space="preserve"> is a former senior economic advisor to the New Zealand Treasury and the Leader of the Opposition.  Mr. Murray managed the development of trading arrangements for New Zealand’s electricity spot market, and advised the recently-concluded Ministerial Inquiry into the Electricity Industry. </w:t>
      </w:r>
    </w:p>
    <w:p>
      <w:pPr>
        <w:pStyle w:val="Normal"/>
        <w:widowControl/>
        <w:spacing w:lineRule="auto" w:line="360"/>
        <w:rPr>
          <w:sz w:val="24"/>
        </w:rPr>
      </w:pPr>
      <w:r>
        <w:rPr>
          <w:sz w:val="24"/>
        </w:rPr>
      </w:r>
    </w:p>
    <w:p>
      <w:pPr>
        <w:pStyle w:val="Normal"/>
        <w:widowControl/>
        <w:spacing w:lineRule="auto" w:line="360"/>
        <w:rPr/>
      </w:pPr>
      <w:r>
        <w:rPr>
          <w:i/>
          <w:sz w:val="24"/>
        </w:rPr>
        <w:t>David M. Newbery</w:t>
      </w:r>
      <w:r>
        <w:rPr>
          <w:sz w:val="24"/>
        </w:rPr>
        <w:t xml:space="preserve"> is Professor and Director of the Department of Applied Economics at the University of Cambridge, former president of the European Economic Association, and a recognized expert in the economics and regulation of network industries.       </w:t>
      </w:r>
    </w:p>
    <w:p>
      <w:pPr>
        <w:pStyle w:val="Normal"/>
        <w:widowControl/>
        <w:spacing w:lineRule="auto" w:line="360"/>
        <w:rPr>
          <w:sz w:val="24"/>
        </w:rPr>
      </w:pPr>
      <w:r>
        <w:rPr>
          <w:sz w:val="24"/>
        </w:rPr>
      </w:r>
    </w:p>
    <w:p>
      <w:pPr>
        <w:pStyle w:val="Normal"/>
        <w:widowControl/>
        <w:spacing w:lineRule="auto" w:line="360"/>
        <w:rPr/>
      </w:pPr>
      <w:r>
        <w:rPr>
          <w:i/>
          <w:sz w:val="24"/>
        </w:rPr>
        <w:t>Graham C. Scott</w:t>
      </w:r>
      <w:r>
        <w:rPr>
          <w:sz w:val="24"/>
        </w:rPr>
        <w:t xml:space="preserve"> is former Secretary of the Treasury in New Zealand, where he led competitive structural reforms in the electricity industry.  Dr. Scott serves as Chairman of Electricity Market, Ltd., the company which administers the wholesale electricity market in New Zealand.  </w:t>
      </w:r>
    </w:p>
    <w:p>
      <w:pPr>
        <w:pStyle w:val="Normal"/>
        <w:widowControl/>
        <w:spacing w:lineRule="auto" w:line="360"/>
        <w:rPr>
          <w:sz w:val="24"/>
        </w:rPr>
      </w:pPr>
      <w:r>
        <w:rPr>
          <w:sz w:val="24"/>
        </w:rPr>
      </w:r>
    </w:p>
    <w:p>
      <w:pPr>
        <w:pStyle w:val="Normal"/>
        <w:widowControl/>
        <w:spacing w:lineRule="auto" w:line="360"/>
        <w:rPr/>
      </w:pPr>
      <w:r>
        <w:rPr>
          <w:i/>
          <w:sz w:val="24"/>
        </w:rPr>
        <w:t>Pablo Spiller</w:t>
      </w:r>
      <w:r>
        <w:rPr>
          <w:sz w:val="24"/>
        </w:rPr>
        <w:t xml:space="preserve"> is Joe Shoong Professor of International Business and Chair of the Business and Public Policy Group at U.C. Berkeley’s Haas School of Business.  Professor Spiller has advised numerous Central and South American governments on reform of utility regulation.     </w:t>
      </w:r>
    </w:p>
    <w:p>
      <w:pPr>
        <w:pStyle w:val="Normal"/>
        <w:widowControl/>
        <w:spacing w:lineRule="auto" w:line="360"/>
        <w:rPr>
          <w:sz w:val="24"/>
        </w:rPr>
      </w:pPr>
      <w:r>
        <w:rPr>
          <w:sz w:val="24"/>
        </w:rPr>
      </w:r>
    </w:p>
    <w:p>
      <w:pPr>
        <w:pStyle w:val="Normal"/>
        <w:widowControl/>
        <w:spacing w:lineRule="auto" w:line="360"/>
        <w:rPr/>
      </w:pPr>
      <w:r>
        <w:rPr>
          <w:i/>
          <w:sz w:val="24"/>
        </w:rPr>
        <w:t>David J. Teece</w:t>
      </w:r>
      <w:r>
        <w:rPr>
          <w:sz w:val="24"/>
        </w:rPr>
        <w:t xml:space="preserve"> is Mitsubishi Bank Professor at U.C. Berkeley’s Haas School of Business. Professor Teece is a recognized expert in regulatory and competition policy, and the economics of innovation.  </w:t>
      </w:r>
    </w:p>
    <w:p>
      <w:pPr>
        <w:pStyle w:val="Normal"/>
        <w:widowControl/>
        <w:spacing w:lineRule="auto" w:line="360"/>
        <w:rPr>
          <w:sz w:val="24"/>
        </w:rPr>
      </w:pPr>
      <w:r>
        <w:rPr>
          <w:sz w:val="24"/>
        </w:rPr>
      </w:r>
    </w:p>
    <w:p>
      <w:pPr>
        <w:pStyle w:val="Normal"/>
        <w:widowControl/>
        <w:spacing w:lineRule="auto" w:line="360"/>
        <w:rPr/>
      </w:pPr>
      <w:r>
        <w:rPr>
          <w:i/>
          <w:sz w:val="24"/>
        </w:rPr>
        <w:t>Laura D’Andrea Tyson</w:t>
      </w:r>
      <w:r>
        <w:rPr>
          <w:sz w:val="24"/>
        </w:rPr>
        <w:t xml:space="preserve"> is Professor and Dean of UC Berkeley’s Haas School of Business.  Professor Tyson is former Chair of the President’s Council of Economic Advisors.    </w:t>
      </w:r>
    </w:p>
    <w:p>
      <w:pPr>
        <w:pStyle w:val="Normal"/>
        <w:widowControl/>
        <w:spacing w:lineRule="auto" w:line="360"/>
        <w:rPr>
          <w:sz w:val="24"/>
        </w:rPr>
      </w:pPr>
      <w:r>
        <w:rPr>
          <w:sz w:val="24"/>
        </w:rPr>
        <w:tab/>
      </w:r>
    </w:p>
    <w:p>
      <w:pPr>
        <w:pStyle w:val="Normal"/>
        <w:widowControl/>
        <w:spacing w:lineRule="auto" w:line="360"/>
        <w:rPr/>
      </w:pPr>
      <w:r>
        <w:rPr>
          <w:i/>
          <w:sz w:val="24"/>
        </w:rPr>
        <w:t>Leonard Waverman</w:t>
      </w:r>
      <w:r>
        <w:rPr>
          <w:sz w:val="24"/>
        </w:rPr>
        <w:t xml:space="preserve"> is Professor of Economics at the University of Toronto, a visiting Professor in the Regulator Initiative at the London Business School, and Director for the Global Forum for Competition and Trade Policy. Professor Waverman is a former Commissioner on both the Ontario Telephone Service Commission and the Ontario Energy Board, as well as the former editor of the Energy Journal. </w:t>
      </w:r>
    </w:p>
    <w:p>
      <w:pPr>
        <w:pStyle w:val="Normal"/>
        <w:widowControl/>
        <w:spacing w:lineRule="auto" w:line="360"/>
        <w:rPr>
          <w:sz w:val="24"/>
        </w:rPr>
      </w:pPr>
      <w:r>
        <w:rPr>
          <w:sz w:val="24"/>
        </w:rPr>
        <w:t xml:space="preserve">  </w:t>
      </w:r>
    </w:p>
    <w:p>
      <w:pPr>
        <w:pStyle w:val="Normal"/>
        <w:widowControl/>
        <w:spacing w:lineRule="auto" w:line="360"/>
        <w:rPr/>
      </w:pPr>
      <w:r>
        <w:rPr>
          <w:i/>
          <w:sz w:val="24"/>
        </w:rPr>
        <w:t>G. Mitchell Wilk</w:t>
      </w:r>
      <w:r>
        <w:rPr>
          <w:sz w:val="24"/>
        </w:rPr>
        <w:t xml:space="preserve"> is former Commissioner and President of the California Public Utilities Commission, former Deputy Chief of Staff to the Governor of California, and expert in the politics of regulatory reform and competition in utility industries.       </w:t>
      </w:r>
    </w:p>
    <w:p>
      <w:pPr>
        <w:pStyle w:val="Normal"/>
        <w:widowControl/>
        <w:spacing w:lineRule="auto" w:line="360"/>
        <w:rPr>
          <w:sz w:val="24"/>
        </w:rPr>
      </w:pPr>
      <w:r>
        <w:rPr>
          <w:sz w:val="24"/>
        </w:rPr>
      </w:r>
    </w:p>
    <w:p>
      <w:pPr>
        <w:pStyle w:val="Normal"/>
        <w:widowControl/>
        <w:spacing w:lineRule="auto" w:line="360"/>
        <w:rPr/>
      </w:pPr>
      <w:r>
        <w:rPr>
          <w:i/>
          <w:sz w:val="24"/>
        </w:rPr>
        <w:t>Severin Borenstein</w:t>
      </w:r>
      <w:r>
        <w:rPr>
          <w:sz w:val="24"/>
        </w:rPr>
        <w:t xml:space="preserve"> is Professor of Business Administration at the Haas School of business and Director of the Systemwide UC Energy Institute.</w:t>
      </w:r>
    </w:p>
    <w:p>
      <w:pPr>
        <w:pStyle w:val="Normal"/>
        <w:widowControl/>
        <w:spacing w:lineRule="auto" w:line="360"/>
        <w:rPr>
          <w:sz w:val="24"/>
        </w:rPr>
      </w:pPr>
      <w:r>
        <w:rPr>
          <w:sz w:val="24"/>
        </w:rPr>
      </w:r>
    </w:p>
    <w:p>
      <w:pPr>
        <w:pStyle w:val="Normal"/>
        <w:widowControl/>
        <w:spacing w:lineRule="auto" w:line="360"/>
        <w:rPr/>
      </w:pPr>
      <w:r>
        <w:rPr>
          <w:i/>
          <w:sz w:val="24"/>
        </w:rPr>
        <w:t>Lee Friedman</w:t>
      </w:r>
      <w:r>
        <w:rPr>
          <w:sz w:val="24"/>
        </w:rPr>
        <w:t xml:space="preserve"> is Professor of Public Policy at the University of California, Berkeley.</w:t>
      </w:r>
    </w:p>
    <w:p>
      <w:pPr>
        <w:pStyle w:val="Normal"/>
        <w:widowControl/>
        <w:spacing w:lineRule="auto" w:line="360"/>
        <w:rPr>
          <w:sz w:val="24"/>
        </w:rPr>
      </w:pPr>
      <w:r>
        <w:rPr>
          <w:sz w:val="24"/>
        </w:rPr>
      </w:r>
    </w:p>
    <w:p>
      <w:pPr>
        <w:pStyle w:val="Heading2"/>
        <w:ind w:hanging="0" w:start="0"/>
        <w:rPr/>
      </w:pPr>
      <w:r>
        <w:rPr/>
        <w:t xml:space="preserve">Paul Joskow </w:t>
      </w:r>
      <w:r>
        <w:rPr>
          <w:i w:val="false"/>
        </w:rPr>
        <w:t>is Professor of Economics at MIT.</w:t>
      </w:r>
    </w:p>
    <w:p>
      <w:pPr>
        <w:pStyle w:val="Heading2"/>
        <w:ind w:hanging="0" w:start="0"/>
        <w:rPr>
          <w:i w:val="false"/>
          <w:i w:val="false"/>
        </w:rPr>
      </w:pPr>
      <w:r>
        <w:rPr>
          <w:i w:val="false"/>
        </w:rPr>
      </w:r>
    </w:p>
    <w:p>
      <w:pPr>
        <w:pStyle w:val="Heading2"/>
        <w:ind w:hanging="0" w:start="0"/>
        <w:rPr/>
      </w:pPr>
      <w:r>
        <w:rPr/>
        <w:t xml:space="preserve">Carl Danner </w:t>
      </w:r>
      <w:r>
        <w:rPr>
          <w:i w:val="false"/>
        </w:rPr>
        <w:t>is a Director at LECG and is an expert in regulatory economics and public policy and has served on the staff of the CPUC.</w:t>
      </w:r>
      <w:r>
        <w:rPr/>
        <w:t xml:space="preserve"> </w:t>
      </w:r>
    </w:p>
    <w:p>
      <w:pPr>
        <w:pStyle w:val="Normal"/>
        <w:widowControl/>
        <w:spacing w:lineRule="auto" w:line="360"/>
        <w:rPr>
          <w:sz w:val="24"/>
        </w:rPr>
      </w:pPr>
      <w:r>
        <w:rPr>
          <w:sz w:val="24"/>
        </w:rPr>
      </w:r>
    </w:p>
    <w:p>
      <w:pPr>
        <w:pStyle w:val="Heading1"/>
        <w:ind w:hanging="0" w:start="0"/>
        <w:rPr/>
      </w:pPr>
      <w:r>
        <w:rPr/>
        <w:t>Project Leadership</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The project will be led by Professors Teece and Tyson, supported by Dr. Carl Danner.  As project leaders, Teece and Tyson will assemble the experts, distill the project findings, identify common agreement, and articulate this to the broader community of policy makers.  Danner and LECG staff will provide needed support, and will work directly with the experts in all phases of the project.  </w:t>
      </w:r>
    </w:p>
    <w:p>
      <w:pPr>
        <w:pStyle w:val="Normal"/>
        <w:widowControl/>
        <w:spacing w:lineRule="auto" w:line="360"/>
        <w:rPr>
          <w:sz w:val="24"/>
        </w:rPr>
      </w:pPr>
      <w:r>
        <w:rPr>
          <w:sz w:val="24"/>
        </w:rPr>
      </w:r>
    </w:p>
    <w:p>
      <w:pPr>
        <w:pStyle w:val="Heading1"/>
        <w:ind w:hanging="0" w:start="0"/>
        <w:rPr/>
      </w:pPr>
      <w:r>
        <w:rPr/>
        <w:t>Proposed Project Sponsorship</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As indicated above, we will seek the sponsorship of a substantial number of participants in electricity markets, including (but not limited to) utilities, independent power producers and marketers, and substantial energy consumers.  Broad sponsorship is important for several reasons. </w:t>
      </w:r>
    </w:p>
    <w:p>
      <w:pPr>
        <w:pStyle w:val="Normal"/>
        <w:widowControl/>
        <w:spacing w:lineRule="auto" w:line="360"/>
        <w:rPr>
          <w:sz w:val="24"/>
        </w:rPr>
      </w:pPr>
      <w:r>
        <w:rPr>
          <w:sz w:val="24"/>
        </w:rPr>
      </w:r>
    </w:p>
    <w:p>
      <w:pPr>
        <w:pStyle w:val="Normal"/>
        <w:widowControl/>
        <w:spacing w:lineRule="auto" w:line="360"/>
        <w:rPr>
          <w:sz w:val="24"/>
        </w:rPr>
      </w:pPr>
      <w:r>
        <w:rPr>
          <w:sz w:val="24"/>
        </w:rPr>
        <w:t>First, it is important that a consensus of expert economic opinion is also seen to reflect a consensus from those affected by electricity restructuring and competition, since the risks to which the study is responding are political in nature.  A broadly-sponsored study will have a greater chance of political acceptance in this environment.  Second, the study will benefit from the participation of a broad range of interests in helping to distinguish broad-level deregulatory principles and experiences from more detailed sector-specific restructuring positions and disputes.  As noted above, our intent is to characterize the extent of agreement among eminent economists about the fundamental choice between competition, versus governmental command and control oversight of the electricity generation industry.  We believe we can distill the critical elements of this consensus without a need to delve into subsidiary issues on which reasonable people (and different segments of the industry) can disagree.  Finally, broad sponsorship is also helpful in controlling the cost of participation for individual sponsoring firms.</w:t>
      </w:r>
    </w:p>
    <w:p>
      <w:pPr>
        <w:pStyle w:val="Normal"/>
        <w:widowControl/>
        <w:spacing w:lineRule="auto" w:line="360"/>
        <w:rPr>
          <w:sz w:val="24"/>
        </w:rPr>
      </w:pPr>
      <w:r>
        <w:rPr>
          <w:sz w:val="24"/>
        </w:rPr>
      </w:r>
    </w:p>
    <w:p>
      <w:pPr>
        <w:pStyle w:val="Normal"/>
        <w:widowControl/>
        <w:spacing w:lineRule="auto" w:line="360"/>
        <w:rPr>
          <w:sz w:val="24"/>
        </w:rPr>
      </w:pPr>
      <w:r>
        <w:rPr>
          <w:sz w:val="24"/>
        </w:rPr>
        <w:t xml:space="preserve">Sponsoring firms will be provided specific opportunities to provide input into the study, and to review and comment upon the draft report.  We will assist report sponsors in coordinating any efforts they wish to make to publicize the report and its findings at the same time the final version is released publicly.  We will also make members of the report team available to interested project sponsors to assist in their efforts to explain the project and its results.  Note that we reserve the rights of academic independence for project experts, and that project sponsorship will not include the right to veto particular opinions or conclusions the report may contain.         </w:t>
      </w:r>
    </w:p>
    <w:p>
      <w:pPr>
        <w:pStyle w:val="Normal"/>
        <w:widowControl/>
        <w:spacing w:lineRule="auto" w:line="360"/>
        <w:rPr>
          <w:sz w:val="24"/>
        </w:rPr>
      </w:pPr>
      <w:r>
        <w:rPr>
          <w:sz w:val="24"/>
        </w:rPr>
      </w:r>
    </w:p>
    <w:p>
      <w:pPr>
        <w:pStyle w:val="Normal"/>
        <w:widowControl/>
        <w:spacing w:lineRule="auto" w:line="360"/>
        <w:rPr>
          <w:sz w:val="24"/>
        </w:rPr>
      </w:pPr>
      <w:r>
        <w:rPr>
          <w:sz w:val="24"/>
        </w:rPr>
      </w:r>
    </w:p>
    <w:p>
      <w:pPr>
        <w:pStyle w:val="Normal"/>
        <w:widowControl/>
        <w:spacing w:lineRule="auto" w:line="360"/>
        <w:jc w:val="center"/>
        <w:rPr>
          <w:sz w:val="24"/>
        </w:rPr>
      </w:pPr>
      <w:r>
        <w:rPr>
          <w:b/>
          <w:i/>
          <w:sz w:val="24"/>
          <w:u w:val="single"/>
        </w:rPr>
        <w:t>Preliminary Project Outline</w:t>
      </w:r>
    </w:p>
    <w:p>
      <w:pPr>
        <w:pStyle w:val="Normal"/>
        <w:widowControl/>
        <w:spacing w:lineRule="auto" w:line="360"/>
        <w:rPr>
          <w:sz w:val="24"/>
        </w:rPr>
      </w:pPr>
      <w:r>
        <w:rPr>
          <w:sz w:val="24"/>
        </w:rPr>
      </w:r>
    </w:p>
    <w:p>
      <w:pPr>
        <w:pStyle w:val="Normal"/>
        <w:widowControl/>
        <w:spacing w:lineRule="auto" w:line="360"/>
        <w:rPr>
          <w:sz w:val="24"/>
        </w:rPr>
      </w:pPr>
      <w:r>
        <w:rPr>
          <w:sz w:val="24"/>
        </w:rPr>
        <w:t>We propose the following as the tentative list of analyses and investigations to perform (e.g. the following could conceivably serve as a sample table of contents for the final report):</w:t>
      </w:r>
    </w:p>
    <w:p>
      <w:pPr>
        <w:pStyle w:val="Normal"/>
        <w:widowControl/>
        <w:spacing w:lineRule="auto" w:line="360"/>
        <w:rPr>
          <w:sz w:val="24"/>
        </w:rPr>
      </w:pPr>
      <w:r>
        <w:rPr>
          <w:sz w:val="24"/>
        </w:rPr>
      </w:r>
    </w:p>
    <w:p>
      <w:pPr>
        <w:pStyle w:val="Normal"/>
        <w:widowControl/>
        <w:spacing w:lineRule="auto" w:line="360"/>
        <w:rPr>
          <w:sz w:val="24"/>
        </w:rPr>
      </w:pPr>
      <w:r>
        <w:rPr>
          <w:sz w:val="24"/>
        </w:rPr>
        <w:t>1. Overview and Definition of the Problem</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History and extent of restructuring efforts in the US</w:t>
      </w:r>
    </w:p>
    <w:p>
      <w:pPr>
        <w:pStyle w:val="Normal"/>
        <w:widowControl/>
        <w:spacing w:lineRule="auto" w:line="360"/>
        <w:ind w:start="720" w:end="0"/>
        <w:rPr>
          <w:sz w:val="24"/>
        </w:rPr>
      </w:pPr>
      <w:r>
        <w:rPr>
          <w:sz w:val="24"/>
        </w:rPr>
        <w:t>Problems and challenges that have developed</w:t>
      </w:r>
    </w:p>
    <w:p>
      <w:pPr>
        <w:pStyle w:val="Normal"/>
        <w:widowControl/>
        <w:spacing w:lineRule="auto" w:line="360"/>
        <w:ind w:start="720" w:end="0"/>
        <w:rPr>
          <w:sz w:val="24"/>
        </w:rPr>
      </w:pPr>
      <w:r>
        <w:rPr>
          <w:sz w:val="24"/>
        </w:rPr>
        <w:t>Evidence of political reactions and loss of confidence</w:t>
      </w:r>
    </w:p>
    <w:p>
      <w:pPr>
        <w:pStyle w:val="Normal"/>
        <w:widowControl/>
        <w:spacing w:lineRule="auto" w:line="360"/>
        <w:ind w:start="720" w:end="0"/>
        <w:rPr>
          <w:sz w:val="24"/>
        </w:rPr>
      </w:pPr>
      <w:r>
        <w:rPr>
          <w:sz w:val="24"/>
        </w:rPr>
        <w:t>Unanimity of experience and expert opinion favoring deregulation of competitive industries</w:t>
      </w:r>
    </w:p>
    <w:p>
      <w:pPr>
        <w:pStyle w:val="Normal"/>
        <w:widowControl/>
        <w:spacing w:lineRule="auto" w:line="360"/>
        <w:rPr>
          <w:sz w:val="24"/>
        </w:rPr>
      </w:pPr>
      <w:r>
        <w:rPr>
          <w:sz w:val="24"/>
        </w:rPr>
      </w:r>
    </w:p>
    <w:p>
      <w:pPr>
        <w:pStyle w:val="Normal"/>
        <w:widowControl/>
        <w:spacing w:lineRule="auto" w:line="360"/>
        <w:rPr>
          <w:sz w:val="24"/>
        </w:rPr>
      </w:pPr>
      <w:r>
        <w:rPr>
          <w:sz w:val="24"/>
        </w:rPr>
        <w:t>2. Theory and experience of deregulation in structurally competitive industries</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Economic theory: Determining what is competitive; and why it should be unregulated</w:t>
      </w:r>
    </w:p>
    <w:p>
      <w:pPr>
        <w:pStyle w:val="Normal"/>
        <w:widowControl/>
        <w:tabs>
          <w:tab w:val="left" w:pos="720" w:leader="none"/>
          <w:tab w:val="left" w:pos="1440" w:leader="none"/>
        </w:tabs>
        <w:spacing w:lineRule="auto" w:line="360"/>
        <w:ind w:hanging="1440" w:start="1440" w:end="0"/>
        <w:rPr>
          <w:sz w:val="24"/>
        </w:rPr>
      </w:pPr>
      <w:r>
        <w:rPr>
          <w:sz w:val="24"/>
        </w:rPr>
        <w:tab/>
        <w:t xml:space="preserve">Case studies of deregulation: Trucking; airlines; telecommunications; wellhead natural gas; interstate natural gas pipelines; railroads; others  </w:t>
      </w:r>
    </w:p>
    <w:p>
      <w:pPr>
        <w:pStyle w:val="Normal"/>
        <w:widowControl/>
        <w:spacing w:lineRule="auto" w:line="360"/>
        <w:rPr>
          <w:sz w:val="24"/>
        </w:rPr>
      </w:pPr>
      <w:r>
        <w:rPr>
          <w:sz w:val="24"/>
        </w:rPr>
      </w:r>
    </w:p>
    <w:p>
      <w:pPr>
        <w:pStyle w:val="Normal"/>
        <w:widowControl/>
        <w:spacing w:lineRule="auto" w:line="360"/>
        <w:rPr>
          <w:sz w:val="24"/>
        </w:rPr>
      </w:pPr>
      <w:r>
        <w:rPr>
          <w:sz w:val="24"/>
        </w:rPr>
        <w:t>3. Fitting the facts to electricity</w:t>
      </w:r>
    </w:p>
    <w:p>
      <w:pPr>
        <w:pStyle w:val="Normal"/>
        <w:widowControl/>
        <w:spacing w:lineRule="auto" w:line="360"/>
        <w:rPr>
          <w:sz w:val="24"/>
        </w:rPr>
      </w:pPr>
      <w:r>
        <w:rPr>
          <w:sz w:val="24"/>
        </w:rPr>
        <w:tab/>
      </w:r>
    </w:p>
    <w:p>
      <w:pPr>
        <w:pStyle w:val="Normal"/>
        <w:widowControl/>
        <w:spacing w:lineRule="auto" w:line="360"/>
        <w:rPr>
          <w:sz w:val="24"/>
        </w:rPr>
      </w:pPr>
      <w:r>
        <w:rPr>
          <w:sz w:val="24"/>
        </w:rPr>
        <w:tab/>
        <w:t>Why electricity generation fits the market model (e.g. why it is not a natural monopoly)</w:t>
      </w:r>
    </w:p>
    <w:p>
      <w:pPr>
        <w:pStyle w:val="Normal"/>
        <w:widowControl/>
        <w:spacing w:lineRule="auto" w:line="360"/>
        <w:ind w:start="720" w:end="0"/>
        <w:rPr>
          <w:sz w:val="24"/>
        </w:rPr>
      </w:pPr>
      <w:r>
        <w:rPr>
          <w:sz w:val="24"/>
        </w:rPr>
        <w:t>Identifying special characteristics of electricity generation that must be accommodated in a market model (e.g. need to dispatch)</w:t>
      </w:r>
    </w:p>
    <w:p>
      <w:pPr>
        <w:pStyle w:val="Normal"/>
        <w:widowControl/>
        <w:spacing w:lineRule="auto" w:line="360"/>
        <w:rPr>
          <w:sz w:val="24"/>
        </w:rPr>
      </w:pPr>
      <w:r>
        <w:rPr>
          <w:sz w:val="24"/>
        </w:rPr>
      </w:r>
    </w:p>
    <w:p>
      <w:pPr>
        <w:pStyle w:val="Normal"/>
        <w:widowControl/>
        <w:spacing w:lineRule="auto" w:line="360"/>
        <w:rPr>
          <w:sz w:val="24"/>
        </w:rPr>
      </w:pPr>
      <w:r>
        <w:rPr>
          <w:sz w:val="24"/>
        </w:rPr>
        <w:t>4. Building blocks for success: Minimum public policy requirements to support deregulation</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Remove barriers to entry into generation (both legal and practical barriers, e.g. permitting delays)</w:t>
      </w:r>
    </w:p>
    <w:p>
      <w:pPr>
        <w:pStyle w:val="Normal"/>
        <w:widowControl/>
        <w:spacing w:lineRule="auto" w:line="360"/>
        <w:ind w:start="720" w:end="0"/>
        <w:rPr>
          <w:sz w:val="24"/>
        </w:rPr>
      </w:pPr>
      <w:r>
        <w:rPr>
          <w:sz w:val="24"/>
        </w:rPr>
        <w:t>Create (or permit to develop) one or more spot markets</w:t>
      </w:r>
    </w:p>
    <w:p>
      <w:pPr>
        <w:pStyle w:val="Normal"/>
        <w:widowControl/>
        <w:spacing w:lineRule="auto" w:line="360"/>
        <w:ind w:start="720" w:end="0"/>
        <w:rPr>
          <w:sz w:val="24"/>
        </w:rPr>
      </w:pPr>
      <w:r>
        <w:rPr>
          <w:sz w:val="24"/>
        </w:rPr>
        <w:t>Unbundle the retail price of the electricity commodity</w:t>
      </w:r>
    </w:p>
    <w:p>
      <w:pPr>
        <w:pStyle w:val="Normal"/>
        <w:widowControl/>
        <w:spacing w:lineRule="auto" w:line="360"/>
        <w:ind w:start="720" w:end="0"/>
        <w:rPr>
          <w:sz w:val="24"/>
        </w:rPr>
      </w:pPr>
      <w:r>
        <w:rPr>
          <w:sz w:val="24"/>
        </w:rPr>
        <w:t xml:space="preserve">Resolve question of recovery of stranded costs created by the shift to a market model </w:t>
      </w:r>
    </w:p>
    <w:p>
      <w:pPr>
        <w:pStyle w:val="Normal"/>
        <w:widowControl/>
        <w:spacing w:lineRule="auto" w:line="360"/>
        <w:ind w:start="720" w:end="0"/>
        <w:rPr>
          <w:sz w:val="24"/>
        </w:rPr>
      </w:pPr>
      <w:r>
        <w:rPr>
          <w:sz w:val="24"/>
        </w:rPr>
        <w:t>Determine responsibility for dispatch, and rules for it</w:t>
      </w:r>
    </w:p>
    <w:p>
      <w:pPr>
        <w:pStyle w:val="Normal"/>
        <w:widowControl/>
        <w:spacing w:lineRule="auto" w:line="360"/>
        <w:ind w:start="720" w:end="0"/>
        <w:rPr>
          <w:sz w:val="24"/>
        </w:rPr>
      </w:pPr>
      <w:r>
        <w:rPr>
          <w:sz w:val="24"/>
        </w:rPr>
        <w:t>Allow free contracting, options trading, hedging, etc.  by all market participants</w:t>
      </w:r>
    </w:p>
    <w:p>
      <w:pPr>
        <w:pStyle w:val="Normal"/>
        <w:widowControl/>
        <w:spacing w:lineRule="auto" w:line="360"/>
        <w:ind w:start="720" w:end="0"/>
        <w:rPr>
          <w:sz w:val="24"/>
        </w:rPr>
      </w:pPr>
      <w:r>
        <w:rPr>
          <w:sz w:val="24"/>
        </w:rPr>
        <w:t>Designate retail provider(s) of last resort, and related rules</w:t>
      </w:r>
    </w:p>
    <w:p>
      <w:pPr>
        <w:pStyle w:val="Normal"/>
        <w:widowControl/>
        <w:spacing w:lineRule="auto" w:line="360"/>
        <w:ind w:hanging="720" w:start="1440" w:end="0"/>
        <w:rPr>
          <w:sz w:val="24"/>
        </w:rPr>
      </w:pPr>
      <w:r>
        <w:rPr>
          <w:sz w:val="24"/>
        </w:rPr>
        <w:t>Address initial structural antitrust concerns: Horizontal (market concentration in generation) and vertical (possible foreclosure of access to distribution by wires company)</w:t>
      </w:r>
    </w:p>
    <w:p>
      <w:pPr>
        <w:pStyle w:val="Normal"/>
        <w:widowControl/>
        <w:spacing w:lineRule="auto" w:line="360"/>
        <w:ind w:hanging="720" w:start="1440" w:end="0"/>
        <w:rPr>
          <w:sz w:val="24"/>
        </w:rPr>
      </w:pPr>
      <w:r>
        <w:rPr>
          <w:sz w:val="24"/>
        </w:rPr>
        <w:t xml:space="preserve">Address monopoly utility cross-subsidy concerns (e.g. by use of price cap) if not already addressed through existing oversight of intra-utility monopoly – competitive interactions </w:t>
      </w:r>
    </w:p>
    <w:p>
      <w:pPr>
        <w:pStyle w:val="Normal"/>
        <w:widowControl/>
        <w:spacing w:lineRule="auto" w:line="360"/>
        <w:ind w:start="720" w:end="0"/>
        <w:rPr>
          <w:sz w:val="24"/>
        </w:rPr>
      </w:pPr>
      <w:r>
        <w:rPr>
          <w:sz w:val="24"/>
        </w:rPr>
        <w:t>Importance of customer time-of-use meters</w:t>
      </w:r>
    </w:p>
    <w:p>
      <w:pPr>
        <w:pStyle w:val="Normal"/>
        <w:widowControl/>
        <w:spacing w:lineRule="auto" w:line="360"/>
        <w:ind w:start="720" w:end="0"/>
        <w:rPr>
          <w:sz w:val="24"/>
        </w:rPr>
      </w:pPr>
      <w:r>
        <w:rPr>
          <w:sz w:val="24"/>
        </w:rPr>
        <w:t>Consider augmentation of transmission capacity to alleviate bottlenecks</w:t>
      </w:r>
    </w:p>
    <w:p>
      <w:pPr>
        <w:pStyle w:val="Normal"/>
        <w:widowControl/>
        <w:spacing w:lineRule="auto" w:line="360"/>
        <w:rPr>
          <w:sz w:val="24"/>
        </w:rPr>
      </w:pPr>
      <w:r>
        <w:rPr>
          <w:sz w:val="24"/>
        </w:rPr>
      </w:r>
    </w:p>
    <w:p>
      <w:pPr>
        <w:pStyle w:val="Normal"/>
        <w:widowControl/>
        <w:spacing w:lineRule="auto" w:line="360"/>
        <w:jc w:val="center"/>
        <w:rPr>
          <w:b/>
          <w:i/>
          <w:i/>
          <w:sz w:val="24"/>
          <w:u w:val="single"/>
        </w:rPr>
      </w:pPr>
      <w:r>
        <w:rPr>
          <w:b/>
          <w:i/>
          <w:sz w:val="24"/>
          <w:u w:val="single"/>
        </w:rPr>
        <w:t>Proposed project timetable</w:t>
      </w:r>
    </w:p>
    <w:p>
      <w:pPr>
        <w:pStyle w:val="Normal"/>
        <w:widowControl/>
        <w:spacing w:lineRule="auto" w:line="360"/>
        <w:rPr>
          <w:sz w:val="24"/>
        </w:rPr>
      </w:pPr>
      <w:r>
        <w:rPr>
          <w:sz w:val="24"/>
        </w:rPr>
        <w:t>4-6 months from inception.</w:t>
      </w:r>
    </w:p>
    <w:p>
      <w:pPr>
        <w:pStyle w:val="Normal"/>
        <w:widowControl/>
        <w:spacing w:lineRule="auto" w:line="360"/>
        <w:jc w:val="center"/>
        <w:rPr>
          <w:sz w:val="24"/>
        </w:rPr>
      </w:pPr>
      <w:r>
        <w:rPr>
          <w:sz w:val="24"/>
        </w:rPr>
      </w:r>
    </w:p>
    <w:p>
      <w:pPr>
        <w:pStyle w:val="Heading1"/>
        <w:ind w:hanging="0" w:start="0"/>
        <w:rPr/>
      </w:pPr>
      <w:r>
        <w:rPr/>
        <w:t>Budget</w:t>
      </w:r>
    </w:p>
    <w:p>
      <w:pPr>
        <w:pStyle w:val="Normal"/>
        <w:widowControl/>
        <w:spacing w:lineRule="auto" w:line="360"/>
        <w:rPr>
          <w:sz w:val="24"/>
        </w:rPr>
      </w:pPr>
      <w:r>
        <w:rPr>
          <w:sz w:val="24"/>
        </w:rPr>
        <w:t>We propose the following:</w:t>
      </w:r>
    </w:p>
    <w:p>
      <w:pPr>
        <w:pStyle w:val="Normal"/>
        <w:widowControl/>
        <w:spacing w:lineRule="auto" w:line="360"/>
        <w:rPr>
          <w:sz w:val="24"/>
        </w:rPr>
      </w:pPr>
      <w:r>
        <w:rPr>
          <w:sz w:val="24"/>
        </w:rPr>
      </w:r>
    </w:p>
    <w:p>
      <w:pPr>
        <w:pStyle w:val="Normal"/>
        <w:widowControl/>
        <w:spacing w:lineRule="auto" w:line="360"/>
        <w:rPr>
          <w:sz w:val="24"/>
        </w:rPr>
      </w:pPr>
      <w:r>
        <w:rPr>
          <w:sz w:val="24"/>
        </w:rPr>
        <w:t>1.</w:t>
        <w:tab/>
        <w:t>Project leaders</w:t>
        <w:tab/>
        <w:tab/>
        <w:tab/>
        <w:t>$50K each</w:t>
        <w:tab/>
        <w:tab/>
        <w:tab/>
      </w:r>
    </w:p>
    <w:p>
      <w:pPr>
        <w:pStyle w:val="Normal"/>
        <w:widowControl/>
        <w:spacing w:lineRule="auto" w:line="360"/>
        <w:rPr>
          <w:sz w:val="24"/>
        </w:rPr>
      </w:pPr>
      <w:r>
        <w:rPr>
          <w:sz w:val="24"/>
        </w:rPr>
        <w:tab/>
        <w:tab/>
        <w:tab/>
        <w:tab/>
        <w:tab/>
        <w:t xml:space="preserve"> 2 x 50</w:t>
        <w:tab/>
        <w:tab/>
        <w:tab/>
        <w:tab/>
        <w:t>$100K</w:t>
      </w:r>
    </w:p>
    <w:p>
      <w:pPr>
        <w:pStyle w:val="Normal"/>
        <w:widowControl/>
        <w:spacing w:lineRule="auto" w:line="360"/>
        <w:rPr>
          <w:sz w:val="24"/>
        </w:rPr>
      </w:pPr>
      <w:r>
        <w:rPr>
          <w:sz w:val="24"/>
        </w:rPr>
      </w:r>
    </w:p>
    <w:p>
      <w:pPr>
        <w:pStyle w:val="Normal"/>
        <w:widowControl/>
        <w:spacing w:lineRule="auto" w:line="360"/>
        <w:rPr>
          <w:sz w:val="24"/>
        </w:rPr>
      </w:pPr>
      <w:r>
        <w:rPr>
          <w:sz w:val="24"/>
        </w:rPr>
        <w:t>2.</w:t>
        <w:tab/>
        <w:t>Experts</w:t>
        <w:tab/>
        <w:tab/>
        <w:tab/>
        <w:t>15 x 25 =</w:t>
        <w:tab/>
        <w:tab/>
        <w:tab/>
        <w:t xml:space="preserve"> 375K</w:t>
        <w:tab/>
        <w:tab/>
      </w:r>
    </w:p>
    <w:p>
      <w:pPr>
        <w:pStyle w:val="Normal"/>
        <w:widowControl/>
        <w:spacing w:lineRule="auto" w:line="360"/>
        <w:rPr>
          <w:sz w:val="24"/>
        </w:rPr>
      </w:pPr>
      <w:r>
        <w:rPr>
          <w:sz w:val="24"/>
        </w:rPr>
      </w:r>
    </w:p>
    <w:p>
      <w:pPr>
        <w:pStyle w:val="Normal"/>
        <w:widowControl/>
        <w:spacing w:lineRule="auto" w:line="360"/>
        <w:rPr/>
      </w:pPr>
      <w:r>
        <w:rPr>
          <w:sz w:val="24"/>
        </w:rPr>
        <w:t>3.</w:t>
        <w:tab/>
        <w:t>LECG staff support</w:t>
        <w:tab/>
        <w:tab/>
        <w:t>As needed</w:t>
        <w:tab/>
        <w:tab/>
        <w:tab/>
      </w:r>
      <w:r>
        <w:rPr>
          <w:sz w:val="24"/>
          <w:u w:val="single"/>
        </w:rPr>
        <w:t xml:space="preserve"> 300K</w:t>
      </w:r>
      <w:r>
        <w:rPr>
          <w:sz w:val="24"/>
        </w:rPr>
        <w:t xml:space="preserve"> estimated</w:t>
      </w:r>
    </w:p>
    <w:p>
      <w:pPr>
        <w:pStyle w:val="Normal"/>
        <w:widowControl/>
        <w:spacing w:lineRule="auto" w:line="360"/>
        <w:rPr>
          <w:sz w:val="24"/>
        </w:rPr>
      </w:pPr>
      <w:r>
        <w:rPr>
          <w:sz w:val="24"/>
        </w:rPr>
      </w:r>
    </w:p>
    <w:p>
      <w:pPr>
        <w:pStyle w:val="Normal"/>
        <w:widowControl/>
        <w:spacing w:lineRule="auto" w:line="360"/>
        <w:rPr/>
      </w:pPr>
      <w:r>
        <w:rPr>
          <w:sz w:val="24"/>
        </w:rPr>
        <w:tab/>
        <w:tab/>
        <w:tab/>
        <w:tab/>
        <w:tab/>
        <w:tab/>
        <w:tab/>
        <w:tab/>
        <w:tab/>
      </w:r>
      <w:r>
        <w:rPr>
          <w:sz w:val="24"/>
          <w:u w:val="single"/>
        </w:rPr>
        <w:t>$875K</w:t>
      </w:r>
      <w:r>
        <w:rPr>
          <w:sz w:val="24"/>
        </w:rPr>
        <w:t xml:space="preserve"> estimated</w:t>
        <w:tab/>
        <w:t xml:space="preserve"> </w:t>
      </w:r>
    </w:p>
    <w:p>
      <w:pPr>
        <w:pStyle w:val="Normal"/>
        <w:widowControl/>
        <w:spacing w:lineRule="auto" w:line="360"/>
        <w:rPr>
          <w:sz w:val="24"/>
        </w:rPr>
      </w:pPr>
      <w:r>
        <w:rPr>
          <w:sz w:val="24"/>
        </w:rPr>
      </w:r>
    </w:p>
    <w:p>
      <w:pPr>
        <w:pStyle w:val="Normal"/>
        <w:widowControl/>
        <w:spacing w:lineRule="auto" w:line="360"/>
        <w:rPr>
          <w:sz w:val="24"/>
        </w:rPr>
      </w:pPr>
      <w:r>
        <w:rPr>
          <w:sz w:val="24"/>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paragraph">
                <wp:posOffset>635</wp:posOffset>
              </wp:positionV>
              <wp:extent cx="14605" cy="20955"/>
              <wp:effectExtent l="0" t="0" r="0" b="0"/>
              <wp:wrapTopAndBottom/>
              <wp:docPr id="1" name="Frame1"/>
              <a:graphic xmlns:a="http://schemas.openxmlformats.org/drawingml/2006/main">
                <a:graphicData uri="http://schemas.microsoft.com/office/word/2010/wordprocessingShape">
                  <wps:wsp>
                    <wps:cNvSpPr txBox="1"/>
                    <wps:spPr>
                      <a:xfrm>
                        <a:off x="0" y="0"/>
                        <a:ext cx="14605" cy="20955"/>
                      </a:xfrm>
                      <a:prstGeom prst="rect"/>
                      <a:solidFill>
                        <a:srgbClr val="FFFFFF">
                          <a:alpha val="0"/>
                        </a:srgbClr>
                      </a:solidFill>
                    </wps:spPr>
                    <wps:txbx>
                      <w:txbxContent>
                        <w:p>
                          <w:pPr>
                            <w:pStyle w:val="Normal"/>
                            <w:widowControl/>
                            <w:rPr>
                              <w:sz w:val="24"/>
                            </w:rPr>
                          </w:pPr>
                          <w:r>
                            <w:rPr>
                              <w:sz w:val="2"/>
                            </w:rPr>
                            <w:fldChar w:fldCharType="begin"/>
                          </w:r>
                          <w:r>
                            <w:rPr>
                              <w:sz w:val="2"/>
                            </w:rPr>
                            <w:instrText xml:space="preserve"> PAGE </w:instrText>
                          </w:r>
                          <w:r>
                            <w:rPr>
                              <w:sz w:val="2"/>
                            </w:rPr>
                            <w:fldChar w:fldCharType="separate"/>
                          </w:r>
                          <w:r>
                            <w:rPr>
                              <w:sz w:val="2"/>
                            </w:rPr>
                            <w:t>9</w:t>
                          </w:r>
                          <w:r>
                            <w:rPr>
                              <w:sz w:val="2"/>
                            </w:rPr>
                            <w:fldChar w:fldCharType="end"/>
                          </w:r>
                        </w:p>
                      </w:txbxContent>
                    </wps:txbx>
                    <wps:bodyPr anchor="t" lIns="0" tIns="0" rIns="0" bIns="0">
                      <a:noAutofit/>
                    </wps:bodyPr>
                  </wps:wsp>
                </a:graphicData>
              </a:graphic>
            </wp:anchor>
          </w:drawing>
        </mc:Choice>
        <mc:Fallback>
          <w:pict>
            <v:rect fillcolor="#FFFFFF" style="position:absolute;rotation:-0;width:1.15pt;height:1.65pt;mso-wrap-distance-left:0pt;mso-wrap-distance-right:0pt;mso-wrap-distance-top:0pt;mso-wrap-distance-bottom:0pt;margin-top:0pt;mso-position-vertical-relative:text;margin-left:233.45pt;mso-position-horizontal:center;mso-position-horizontal-relative:text">
              <v:fill opacity="0f"/>
              <v:textbox inset="0in,0in,0in,0in">
                <w:txbxContent>
                  <w:p>
                    <w:pPr>
                      <w:pStyle w:val="Normal"/>
                      <w:widowControl/>
                      <w:rPr>
                        <w:sz w:val="24"/>
                      </w:rPr>
                    </w:pPr>
                    <w:r>
                      <w:rPr>
                        <w:sz w:val="2"/>
                      </w:rPr>
                      <w:fldChar w:fldCharType="begin"/>
                    </w:r>
                    <w:r>
                      <w:rPr>
                        <w:sz w:val="2"/>
                      </w:rPr>
                      <w:instrText xml:space="preserve"> PAGE </w:instrText>
                    </w:r>
                    <w:r>
                      <w:rPr>
                        <w:sz w:val="2"/>
                      </w:rPr>
                      <w:fldChar w:fldCharType="separate"/>
                    </w:r>
                    <w:r>
                      <w:rPr>
                        <w:sz w:val="2"/>
                      </w:rPr>
                      <w:t>9</w:t>
                    </w:r>
                    <w:r>
                      <w:rPr>
                        <w:sz w:val="2"/>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numPr>
        <w:ilvl w:val="0"/>
        <w:numId w:val="1"/>
      </w:numPr>
      <w:spacing w:lineRule="auto" w:line="360"/>
      <w:jc w:val="center"/>
      <w:outlineLvl w:val="0"/>
    </w:pPr>
    <w:rPr>
      <w:b/>
      <w:i/>
      <w:sz w:val="24"/>
      <w:u w:val="single"/>
    </w:rPr>
  </w:style>
  <w:style w:type="paragraph" w:styleId="Heading2">
    <w:name w:val="heading 2"/>
    <w:basedOn w:val="Normal"/>
    <w:next w:val="Normal"/>
    <w:qFormat/>
    <w:pPr>
      <w:keepNext w:val="true"/>
      <w:widowControl/>
      <w:numPr>
        <w:ilvl w:val="1"/>
        <w:numId w:val="1"/>
      </w:numPr>
      <w:spacing w:lineRule="auto" w:line="360"/>
      <w:outlineLvl w:val="1"/>
    </w:pPr>
    <w:rPr>
      <w:i/>
      <w:sz w:val="24"/>
    </w:rPr>
  </w:style>
  <w:style w:type="character" w:styleId="DefaultParagraphFont">
    <w:name w:val="Default Paragraph Font"/>
    <w:qFormat/>
    <w:rPr/>
  </w:style>
  <w:style w:type="character" w:styleId="DefaultPara">
    <w:name w:val="Default Para"/>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2000-12-04T17:36:00Z</dcterms:created>
  <dc:creator>crd</dc:creator>
  <dc:description/>
  <dc:language>en-CA</dc:language>
  <cp:lastModifiedBy>Frances Darnley</cp:lastModifiedBy>
  <cp:lastPrinted>2000-12-04T16:28:00Z</cp:lastPrinted>
  <dcterms:modified xsi:type="dcterms:W3CDTF">2000-12-05T22:51:00Z</dcterms:modified>
  <cp:revision>4</cp:revision>
  <dc:subject/>
  <dc:title>PROPOSAL: LECG INDUSTRY COLLABORATIVE ELECTRICITY MARKET STUDY</dc:title>
</cp:coreProperties>
</file>