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sz w:val="28"/>
        </w:rPr>
      </w:pPr>
      <w:r>
        <w:rPr>
          <w:sz w:val="28"/>
        </w:rPr>
        <w:t>INDUSTRY ANALYSIS</w:t>
      </w:r>
    </w:p>
    <w:p>
      <w:pPr>
        <w:pStyle w:val="Normal"/>
        <w:rPr>
          <w:sz w:val="24"/>
        </w:rPr>
      </w:pPr>
      <w:r>
        <w:rPr>
          <w:sz w:val="24"/>
        </w:rPr>
      </w:r>
    </w:p>
    <w:p>
      <w:pPr>
        <w:pStyle w:val="Normal"/>
        <w:rPr>
          <w:sz w:val="24"/>
        </w:rPr>
      </w:pPr>
      <w:r>
        <w:rPr>
          <w:sz w:val="24"/>
        </w:rPr>
        <w:t xml:space="preserve">With the advent of the Internet, organizations are embracing E-Business rapidly, either in a hope to gain competitive advantage or in the fear of “missing the boat”.  The projected volume of E-Business transactions is in the trillions of dollars, and a significant number of application spaces have already seen a “land grab” for marketshare.    </w:t>
      </w:r>
    </w:p>
    <w:p>
      <w:pPr>
        <w:pStyle w:val="Normal"/>
        <w:rPr>
          <w:sz w:val="24"/>
        </w:rPr>
      </w:pPr>
      <w:r>
        <w:rPr>
          <w:sz w:val="24"/>
        </w:rPr>
      </w:r>
    </w:p>
    <w:p>
      <w:pPr>
        <w:pStyle w:val="Normal"/>
        <w:rPr>
          <w:sz w:val="24"/>
        </w:rPr>
      </w:pPr>
      <w:r>
        <w:rPr>
          <w:sz w:val="24"/>
        </w:rPr>
        <w:t xml:space="preserve">E-Business applications have been built above the E-Business platform as shown below. Applications have been deployed for supply chain management, procurement of goods (capital, operating and manufacturing goods), online commerce (catalog based sales channel), and finally integration of these applications with enterprise applications. </w:t>
      </w:r>
    </w:p>
    <w:p>
      <w:pPr>
        <w:pStyle w:val="Normal"/>
        <w:rPr>
          <w:sz w:val="24"/>
        </w:rPr>
      </w:pPr>
      <w:r>
        <w:rPr>
          <w:sz w:val="24"/>
        </w:rPr>
        <w:t xml:space="preserve">  </w:t>
      </w:r>
    </w:p>
    <w:p>
      <w:pPr>
        <w:pStyle w:val="Heading4"/>
        <w:ind w:hanging="0" w:start="0"/>
        <w:rPr>
          <w:sz w:val="24"/>
          <w:lang w:val="en-CA"/>
        </w:rPr>
      </w:pPr>
      <w:r>
        <w:rPr>
          <w:sz w:val="24"/>
          <w:lang w:val="en-CA"/>
        </w:rPr>
      </w:r>
      <w:r>
        <mc:AlternateContent>
          <mc:Choice Requires="wps">
            <w:drawing>
              <wp:anchor behindDoc="0" distT="0" distB="0" distL="114935" distR="114935" simplePos="0" locked="0" layoutInCell="1" allowOverlap="1" relativeHeight="9">
                <wp:simplePos x="0" y="0"/>
                <wp:positionH relativeFrom="column">
                  <wp:posOffset>407035</wp:posOffset>
                </wp:positionH>
                <wp:positionV relativeFrom="paragraph">
                  <wp:posOffset>48895</wp:posOffset>
                </wp:positionV>
                <wp:extent cx="4580890" cy="1471930"/>
                <wp:effectExtent l="0" t="0" r="0" b="0"/>
                <wp:wrapNone/>
                <wp:docPr id="1" name="Frame1"/>
                <a:graphic xmlns:a="http://schemas.openxmlformats.org/drawingml/2006/main">
                  <a:graphicData uri="http://schemas.microsoft.com/office/word/2010/wordprocessingShape">
                    <wps:wsp>
                      <wps:cNvSpPr txBox="1"/>
                      <wps:spPr>
                        <a:xfrm>
                          <a:off x="0" y="0"/>
                          <a:ext cx="4580890" cy="1471930"/>
                        </a:xfrm>
                        <a:prstGeom prst="rect"/>
                        <a:solidFill>
                          <a:srgbClr val="FFFFFF"/>
                        </a:solidFill>
                        <a:ln w="9525">
                          <a:solidFill>
                            <a:srgbClr val="000000"/>
                          </a:solidFill>
                        </a:ln>
                      </wps:spPr>
                      <wps:txbx>
                        <w:txbxContent>
                          <w:p>
                            <w:pPr>
                              <w:pStyle w:val="Normal"/>
                              <w:rPr/>
                            </w:pPr>
                            <w:r>
                              <w:rPr/>
                              <w:t>Applications</w:t>
                            </w:r>
                          </w:p>
                        </w:txbxContent>
                      </wps:txbx>
                      <wps:bodyPr anchor="t" lIns="91440" tIns="45720" rIns="91440" bIns="45720">
                        <a:noAutofit/>
                      </wps:bodyPr>
                    </wps:wsp>
                  </a:graphicData>
                </a:graphic>
              </wp:anchor>
            </w:drawing>
          </mc:Choice>
          <mc:Fallback>
            <w:pict>
              <v:rect fillcolor="#FFFFFF" strokecolor="#000000" strokeweight="0pt" style="position:absolute;rotation:-0;width:360.7pt;height:115.9pt;mso-wrap-distance-left:9.05pt;mso-wrap-distance-right:9.05pt;mso-wrap-distance-top:0pt;mso-wrap-distance-bottom:0pt;margin-top:3.85pt;mso-position-vertical-relative:text;margin-left:32.05pt;mso-position-horizontal-relative:text">
                <v:textbox>
                  <w:txbxContent>
                    <w:p>
                      <w:pPr>
                        <w:pStyle w:val="Normal"/>
                        <w:rPr/>
                      </w:pPr>
                      <w:r>
                        <w:rPr/>
                        <w:t>Applications</w:t>
                      </w:r>
                    </w:p>
                  </w:txbxContent>
                </v:textbox>
                <w10:wrap type="none"/>
              </v:rect>
            </w:pict>
          </mc:Fallback>
        </mc:AlternateContent>
      </w:r>
    </w:p>
    <w:p>
      <w:pPr>
        <w:pStyle w:val="Heading4"/>
        <w:ind w:hanging="0" w:start="0"/>
        <w:rPr/>
      </w:pPr>
      <w:r>
        <w:rPr/>
      </w:r>
    </w:p>
    <w:p>
      <w:pPr>
        <w:pStyle w:val="Heading4"/>
        <w:ind w:hanging="0" w:start="0"/>
        <w:rPr>
          <w:lang w:val="en-CA"/>
        </w:rPr>
      </w:pPr>
      <w:r>
        <w:rPr>
          <w:lang w:val="en-CA"/>
        </w:rPr>
      </w:r>
      <w:r>
        <mc:AlternateContent>
          <mc:Choice Requires="wps">
            <w:drawing>
              <wp:anchor behindDoc="0" distT="0" distB="0" distL="114935" distR="114935" simplePos="0" locked="0" layoutInCell="1" allowOverlap="1" relativeHeight="10">
                <wp:simplePos x="0" y="0"/>
                <wp:positionH relativeFrom="column">
                  <wp:posOffset>589915</wp:posOffset>
                </wp:positionH>
                <wp:positionV relativeFrom="paragraph">
                  <wp:posOffset>64135</wp:posOffset>
                </wp:positionV>
                <wp:extent cx="923290" cy="1014730"/>
                <wp:effectExtent l="0" t="0" r="0" b="0"/>
                <wp:wrapNone/>
                <wp:docPr id="2" name="Frame5"/>
                <a:graphic xmlns:a="http://schemas.openxmlformats.org/drawingml/2006/main">
                  <a:graphicData uri="http://schemas.microsoft.com/office/word/2010/wordprocessingShape">
                    <wps:wsp>
                      <wps:cNvSpPr txBox="1"/>
                      <wps:spPr>
                        <a:xfrm>
                          <a:off x="0" y="0"/>
                          <a:ext cx="923290" cy="1014730"/>
                        </a:xfrm>
                        <a:prstGeom prst="rect"/>
                        <a:solidFill>
                          <a:srgbClr val="FFFFFF"/>
                        </a:solidFill>
                        <a:ln w="9525">
                          <a:solidFill>
                            <a:srgbClr val="000000"/>
                          </a:solidFill>
                        </a:ln>
                      </wps:spPr>
                      <wps:txbx>
                        <w:txbxContent>
                          <w:p>
                            <w:pPr>
                              <w:pStyle w:val="Normal"/>
                              <w:rPr/>
                            </w:pPr>
                            <w:r>
                              <w:rPr>
                                <w:b/>
                              </w:rPr>
                              <w:t>Supply Chain Management</w:t>
                            </w:r>
                            <w:r>
                              <w:rPr/>
                              <w:t>Workflow, Process and Inventory</w:t>
                              <w:tab/>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79.9pt;mso-wrap-distance-left:9.05pt;mso-wrap-distance-right:9.05pt;mso-wrap-distance-top:0pt;mso-wrap-distance-bottom:0pt;margin-top:5.05pt;mso-position-vertical-relative:text;margin-left:46.45pt;mso-position-horizontal-relative:text">
                <v:textbox>
                  <w:txbxContent>
                    <w:p>
                      <w:pPr>
                        <w:pStyle w:val="Normal"/>
                        <w:rPr/>
                      </w:pPr>
                      <w:r>
                        <w:rPr>
                          <w:b/>
                        </w:rPr>
                        <w:t>Supply Chain Management</w:t>
                      </w:r>
                      <w:r>
                        <w:rPr/>
                        <w:t>Workflow, Process and Inventory</w:t>
                        <w:tab/>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1687195</wp:posOffset>
                </wp:positionH>
                <wp:positionV relativeFrom="paragraph">
                  <wp:posOffset>64135</wp:posOffset>
                </wp:positionV>
                <wp:extent cx="923290" cy="1014730"/>
                <wp:effectExtent l="0" t="0" r="0" b="0"/>
                <wp:wrapNone/>
                <wp:docPr id="3" name="Frame4"/>
                <a:graphic xmlns:a="http://schemas.openxmlformats.org/drawingml/2006/main">
                  <a:graphicData uri="http://schemas.microsoft.com/office/word/2010/wordprocessingShape">
                    <wps:wsp>
                      <wps:cNvSpPr txBox="1"/>
                      <wps:spPr>
                        <a:xfrm>
                          <a:off x="0" y="0"/>
                          <a:ext cx="923290" cy="1014730"/>
                        </a:xfrm>
                        <a:prstGeom prst="rect"/>
                        <a:solidFill>
                          <a:srgbClr val="FFFFFF"/>
                        </a:solidFill>
                        <a:ln w="9525">
                          <a:solidFill>
                            <a:srgbClr val="000000"/>
                          </a:solidFill>
                        </a:ln>
                      </wps:spPr>
                      <wps:txbx>
                        <w:txbxContent>
                          <w:p>
                            <w:pPr>
                              <w:pStyle w:val="Normal"/>
                              <w:rPr/>
                            </w:pPr>
                            <w:r>
                              <w:rPr>
                                <w:b/>
                              </w:rPr>
                              <w:t xml:space="preserve">Electronic Procurement </w:t>
                            </w:r>
                            <w:r>
                              <w:rPr/>
                              <w:t xml:space="preserve">Buy-Side, Sell-Side, Neutral </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79.9pt;mso-wrap-distance-left:9.05pt;mso-wrap-distance-right:9.05pt;mso-wrap-distance-top:0pt;mso-wrap-distance-bottom:0pt;margin-top:5.05pt;mso-position-vertical-relative:text;margin-left:132.85pt;mso-position-horizontal-relative:text">
                <v:textbox>
                  <w:txbxContent>
                    <w:p>
                      <w:pPr>
                        <w:pStyle w:val="Normal"/>
                        <w:rPr/>
                      </w:pPr>
                      <w:r>
                        <w:rPr>
                          <w:b/>
                        </w:rPr>
                        <w:t xml:space="preserve">Electronic Procurement </w:t>
                      </w:r>
                      <w:r>
                        <w:rPr/>
                        <w:t xml:space="preserve">Buy-Side, Sell-Side, Neutral </w:t>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2784475</wp:posOffset>
                </wp:positionH>
                <wp:positionV relativeFrom="paragraph">
                  <wp:posOffset>64135</wp:posOffset>
                </wp:positionV>
                <wp:extent cx="923290" cy="1014730"/>
                <wp:effectExtent l="0" t="0" r="0" b="0"/>
                <wp:wrapNone/>
                <wp:docPr id="4" name="Frame3"/>
                <a:graphic xmlns:a="http://schemas.openxmlformats.org/drawingml/2006/main">
                  <a:graphicData uri="http://schemas.microsoft.com/office/word/2010/wordprocessingShape">
                    <wps:wsp>
                      <wps:cNvSpPr txBox="1"/>
                      <wps:spPr>
                        <a:xfrm>
                          <a:off x="0" y="0"/>
                          <a:ext cx="923290" cy="1014730"/>
                        </a:xfrm>
                        <a:prstGeom prst="rect"/>
                        <a:solidFill>
                          <a:srgbClr val="FFFFFF"/>
                        </a:solidFill>
                        <a:ln w="9525">
                          <a:solidFill>
                            <a:srgbClr val="000000"/>
                          </a:solidFill>
                        </a:ln>
                      </wps:spPr>
                      <wps:txbx>
                        <w:txbxContent>
                          <w:p>
                            <w:pPr>
                              <w:pStyle w:val="BodyText2"/>
                              <w:rPr/>
                            </w:pPr>
                            <w:r>
                              <w:rPr/>
                              <w:t>ERP Integration</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79.9pt;mso-wrap-distance-left:9.05pt;mso-wrap-distance-right:9.05pt;mso-wrap-distance-top:0pt;mso-wrap-distance-bottom:0pt;margin-top:5.05pt;mso-position-vertical-relative:text;margin-left:219.25pt;mso-position-horizontal-relative:text">
                <v:textbox>
                  <w:txbxContent>
                    <w:p>
                      <w:pPr>
                        <w:pStyle w:val="BodyText2"/>
                        <w:rPr/>
                      </w:pPr>
                      <w:r>
                        <w:rPr/>
                        <w:t>ERP Integration</w:t>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3881755</wp:posOffset>
                </wp:positionH>
                <wp:positionV relativeFrom="paragraph">
                  <wp:posOffset>64135</wp:posOffset>
                </wp:positionV>
                <wp:extent cx="923290" cy="1014730"/>
                <wp:effectExtent l="0" t="0" r="0" b="0"/>
                <wp:wrapNone/>
                <wp:docPr id="5" name="Frame2"/>
                <a:graphic xmlns:a="http://schemas.openxmlformats.org/drawingml/2006/main">
                  <a:graphicData uri="http://schemas.microsoft.com/office/word/2010/wordprocessingShape">
                    <wps:wsp>
                      <wps:cNvSpPr txBox="1"/>
                      <wps:spPr>
                        <a:xfrm>
                          <a:off x="0" y="0"/>
                          <a:ext cx="923290" cy="1014730"/>
                        </a:xfrm>
                        <a:prstGeom prst="rect"/>
                        <a:solidFill>
                          <a:srgbClr val="FFFFFF"/>
                        </a:solidFill>
                        <a:ln w="9525">
                          <a:solidFill>
                            <a:srgbClr val="000000"/>
                          </a:solidFill>
                        </a:ln>
                      </wps:spPr>
                      <wps:txbx>
                        <w:txbxContent>
                          <w:p>
                            <w:pPr>
                              <w:pStyle w:val="BodyText2"/>
                              <w:rPr/>
                            </w:pPr>
                            <w:r>
                              <w:rPr/>
                              <w:t>Online Commerce</w:t>
                            </w:r>
                          </w:p>
                          <w:p>
                            <w:pPr>
                              <w:pStyle w:val="Normal"/>
                              <w:rPr/>
                            </w:pPr>
                            <w:r>
                              <w:rPr/>
                              <w:t>Business to Consumer channel</w:t>
                              <w:tab/>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79.9pt;mso-wrap-distance-left:9.05pt;mso-wrap-distance-right:9.05pt;mso-wrap-distance-top:0pt;mso-wrap-distance-bottom:0pt;margin-top:5.05pt;mso-position-vertical-relative:text;margin-left:305.65pt;mso-position-horizontal-relative:text">
                <v:textbox>
                  <w:txbxContent>
                    <w:p>
                      <w:pPr>
                        <w:pStyle w:val="BodyText2"/>
                        <w:rPr/>
                      </w:pPr>
                      <w:r>
                        <w:rPr/>
                        <w:t>Online Commerce</w:t>
                      </w:r>
                    </w:p>
                    <w:p>
                      <w:pPr>
                        <w:pStyle w:val="Normal"/>
                        <w:rPr/>
                      </w:pPr>
                      <w:r>
                        <w:rPr/>
                        <w:t>Business to Consumer channel</w:t>
                        <w:tab/>
                      </w:r>
                    </w:p>
                    <w:p>
                      <w:pPr>
                        <w:pStyle w:val="Normal"/>
                        <w:rPr/>
                      </w:pPr>
                      <w:r>
                        <w:rPr/>
                      </w:r>
                    </w:p>
                  </w:txbxContent>
                </v:textbox>
                <w10:wrap type="none"/>
              </v:rect>
            </w:pict>
          </mc:Fallback>
        </mc:AlternateContent>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pPr>
      <w:r>
        <w:rPr/>
      </w:r>
    </w:p>
    <w:p>
      <w:pPr>
        <w:pStyle w:val="Heading4"/>
        <w:ind w:hanging="0" w:start="0"/>
        <w:rPr>
          <w:lang w:val="en-CA"/>
        </w:rPr>
      </w:pPr>
      <w:r>
        <w:rPr>
          <w:lang w:val="en-CA"/>
        </w:rPr>
        <mc:AlternateContent>
          <mc:Choice Requires="wps">
            <w:drawing>
              <wp:anchor behindDoc="0" distT="0" distB="0" distL="114935" distR="114935" simplePos="0" locked="0" layoutInCell="1" allowOverlap="1" relativeHeight="5">
                <wp:simplePos x="0" y="0"/>
                <wp:positionH relativeFrom="column">
                  <wp:posOffset>411480</wp:posOffset>
                </wp:positionH>
                <wp:positionV relativeFrom="paragraph">
                  <wp:posOffset>152400</wp:posOffset>
                </wp:positionV>
                <wp:extent cx="4572000" cy="1280160"/>
                <wp:effectExtent l="5080" t="5080" r="5080" b="5080"/>
                <wp:wrapNone/>
                <wp:docPr id="6" name=""/>
                <a:graphic xmlns:a="http://schemas.openxmlformats.org/drawingml/2006/main">
                  <a:graphicData uri="http://schemas.microsoft.com/office/word/2010/wordprocessingShape">
                    <wps:wsp>
                      <wps:cNvSpPr/>
                      <wps:spPr>
                        <a:xfrm>
                          <a:off x="0" y="0"/>
                          <a:ext cx="4572000" cy="1280160"/>
                        </a:xfrm>
                        <a:prstGeom prst="rect">
                          <a:avLst/>
                        </a:prstGeom>
                        <a:noFill/>
                        <a:ln cap="rnd" w="9360">
                          <a:solidFill>
                            <a:srgbClr val="000000"/>
                          </a:solidFill>
                          <a:custDash>
                            <a:ds d="100000" sp="1000"/>
                          </a:custDash>
                          <a:miter/>
                        </a:ln>
                      </wps:spPr>
                      <wps:style>
                        <a:lnRef idx="0"/>
                        <a:fillRef idx="0"/>
                        <a:effectRef idx="0"/>
                        <a:fontRef idx="minor"/>
                      </wps:style>
                      <wps:bodyPr/>
                    </wps:wsp>
                  </a:graphicData>
                </a:graphic>
              </wp:anchor>
            </w:drawing>
          </mc:Choice>
          <mc:Fallback>
            <w:pict>
              <v:rect id="shape_0" stroked="t" o:allowincell="f" style="position:absolute;margin-left:32.4pt;margin-top:12pt;width:359.95pt;height:100.75pt;mso-wrap-style:none;v-text-anchor:middle">
                <v:fill o:detectmouseclick="t" on="false"/>
                <v:stroke color="black" weight="9360" dashstyle="shortdot" joinstyle="miter" endcap="round"/>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411480</wp:posOffset>
                </wp:positionH>
                <wp:positionV relativeFrom="paragraph">
                  <wp:posOffset>114935</wp:posOffset>
                </wp:positionV>
                <wp:extent cx="2194560" cy="274320"/>
                <wp:effectExtent l="0" t="0" r="0" b="0"/>
                <wp:wrapNone/>
                <wp:docPr id="7" name="Frame6"/>
                <a:graphic xmlns:a="http://schemas.openxmlformats.org/drawingml/2006/main">
                  <a:graphicData uri="http://schemas.microsoft.com/office/word/2010/wordprocessingShape">
                    <wps:wsp>
                      <wps:cNvSpPr txBox="1"/>
                      <wps:spPr>
                        <a:xfrm>
                          <a:off x="0" y="0"/>
                          <a:ext cx="2194560" cy="274320"/>
                        </a:xfrm>
                        <a:prstGeom prst="rect"/>
                        <a:solidFill>
                          <a:srgbClr val="FFFFFF">
                            <a:alpha val="0"/>
                          </a:srgbClr>
                        </a:solidFill>
                      </wps:spPr>
                      <wps:txbx>
                        <w:txbxContent>
                          <w:p>
                            <w:pPr>
                              <w:pStyle w:val="Normal"/>
                              <w:rPr/>
                            </w:pPr>
                            <w:r>
                              <w:rPr/>
                              <w:t>E Business Infrastructure Platform</w:t>
                            </w:r>
                          </w:p>
                        </w:txbxContent>
                      </wps:txbx>
                      <wps:bodyPr anchor="t" lIns="92075" tIns="46355" rIns="92075" bIns="46355">
                        <a:noAutofit/>
                      </wps:bodyPr>
                    </wps:wsp>
                  </a:graphicData>
                </a:graphic>
              </wp:anchor>
            </w:drawing>
          </mc:Choice>
          <mc:Fallback>
            <w:pict>
              <v:rect fillcolor="#FFFFFF" style="position:absolute;rotation:-0;width:172.8pt;height:21.6pt;mso-wrap-distance-left:9.05pt;mso-wrap-distance-right:9.05pt;mso-wrap-distance-top:0pt;mso-wrap-distance-bottom:0pt;margin-top:9.05pt;mso-position-vertical-relative:text;margin-left:32.4pt;mso-position-horizontal-relative:text">
                <v:fill opacity="0f"/>
                <v:textbox inset="0.100694444444444in,0.0506944444444444in,0.100694444444444in,0.0506944444444444in">
                  <w:txbxContent>
                    <w:p>
                      <w:pPr>
                        <w:pStyle w:val="Normal"/>
                        <w:rPr/>
                      </w:pPr>
                      <w:r>
                        <w:rPr/>
                        <w:t>E Business Infrastructure Platform</w:t>
                      </w:r>
                    </w:p>
                  </w:txbxContent>
                </v:textbox>
                <w10:wrap type="none"/>
              </v:rect>
            </w:pict>
          </mc:Fallback>
        </mc:AlternateContent>
      </w:r>
    </w:p>
    <w:p>
      <w:pPr>
        <w:pStyle w:val="Heading4"/>
        <w:ind w:hanging="0" w:start="0"/>
        <w:rPr/>
      </w:pPr>
      <w:r>
        <w:rPr/>
      </w:r>
    </w:p>
    <w:p>
      <w:pPr>
        <w:pStyle w:val="BodyText"/>
        <w:rPr>
          <w:lang w:val="en-CA"/>
        </w:rPr>
      </w:pPr>
      <w:r>
        <w:rPr>
          <w:lang w:val="en-CA"/>
        </w:rPr>
      </w:r>
      <w:r>
        <mc:AlternateContent>
          <mc:Choice Requires="wps">
            <w:drawing>
              <wp:anchor behindDoc="0" distT="0" distB="0" distL="114935" distR="114935" simplePos="0" locked="0" layoutInCell="1" allowOverlap="1" relativeHeight="2">
                <wp:simplePos x="0" y="0"/>
                <wp:positionH relativeFrom="column">
                  <wp:posOffset>955675</wp:posOffset>
                </wp:positionH>
                <wp:positionV relativeFrom="paragraph">
                  <wp:posOffset>43180</wp:posOffset>
                </wp:positionV>
                <wp:extent cx="923290" cy="923290"/>
                <wp:effectExtent l="0" t="0" r="0" b="0"/>
                <wp:wrapNone/>
                <wp:docPr id="8" name="Frame7"/>
                <a:graphic xmlns:a="http://schemas.openxmlformats.org/drawingml/2006/main">
                  <a:graphicData uri="http://schemas.microsoft.com/office/word/2010/wordprocessingShape">
                    <wps:wsp>
                      <wps:cNvSpPr txBox="1"/>
                      <wps:spPr>
                        <a:xfrm>
                          <a:off x="0" y="0"/>
                          <a:ext cx="923290" cy="923290"/>
                        </a:xfrm>
                        <a:prstGeom prst="rect"/>
                        <a:solidFill>
                          <a:srgbClr val="FFFFFF"/>
                        </a:solidFill>
                        <a:ln w="9525">
                          <a:solidFill>
                            <a:srgbClr val="000000"/>
                          </a:solidFill>
                        </a:ln>
                      </wps:spPr>
                      <wps:txbx>
                        <w:txbxContent>
                          <w:p>
                            <w:pPr>
                              <w:pStyle w:val="Heading1"/>
                              <w:ind w:hanging="0" w:start="0"/>
                              <w:rPr/>
                            </w:pPr>
                            <w:r>
                              <w:rPr/>
                              <w:t>Content</w:t>
                            </w:r>
                          </w:p>
                          <w:p>
                            <w:pPr>
                              <w:pStyle w:val="Normal"/>
                              <w:rPr/>
                            </w:pPr>
                            <w:r>
                              <w:rPr/>
                              <w:t>Catalog</w:t>
                            </w:r>
                          </w:p>
                          <w:p>
                            <w:pPr>
                              <w:pStyle w:val="Normal"/>
                              <w:rPr/>
                            </w:pPr>
                            <w:r>
                              <w:rPr/>
                              <w:t>Presentation</w:t>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72.7pt;mso-wrap-distance-left:9.05pt;mso-wrap-distance-right:9.05pt;mso-wrap-distance-top:0pt;mso-wrap-distance-bottom:0pt;margin-top:3.4pt;mso-position-vertical-relative:text;margin-left:75.25pt;mso-position-horizontal-relative:text">
                <v:textbox>
                  <w:txbxContent>
                    <w:p>
                      <w:pPr>
                        <w:pStyle w:val="Heading1"/>
                        <w:ind w:hanging="0" w:start="0"/>
                        <w:rPr/>
                      </w:pPr>
                      <w:r>
                        <w:rPr/>
                        <w:t>Content</w:t>
                      </w:r>
                    </w:p>
                    <w:p>
                      <w:pPr>
                        <w:pStyle w:val="Normal"/>
                        <w:rPr/>
                      </w:pPr>
                      <w:r>
                        <w:rPr/>
                        <w:t>Catalog</w:t>
                      </w:r>
                    </w:p>
                    <w:p>
                      <w:pPr>
                        <w:pStyle w:val="Normal"/>
                        <w:rPr/>
                      </w:pPr>
                      <w:r>
                        <w:rPr/>
                        <w:t>Presentation</w:t>
                      </w:r>
                    </w:p>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2235835</wp:posOffset>
                </wp:positionH>
                <wp:positionV relativeFrom="paragraph">
                  <wp:posOffset>41910</wp:posOffset>
                </wp:positionV>
                <wp:extent cx="923290" cy="923290"/>
                <wp:effectExtent l="0" t="0" r="0" b="0"/>
                <wp:wrapNone/>
                <wp:docPr id="9" name="Frame8"/>
                <a:graphic xmlns:a="http://schemas.openxmlformats.org/drawingml/2006/main">
                  <a:graphicData uri="http://schemas.microsoft.com/office/word/2010/wordprocessingShape">
                    <wps:wsp>
                      <wps:cNvSpPr txBox="1"/>
                      <wps:spPr>
                        <a:xfrm>
                          <a:off x="0" y="0"/>
                          <a:ext cx="923290" cy="923290"/>
                        </a:xfrm>
                        <a:prstGeom prst="rect"/>
                        <a:solidFill>
                          <a:srgbClr val="FFFFFF"/>
                        </a:solidFill>
                        <a:ln w="9525">
                          <a:solidFill>
                            <a:srgbClr val="000000"/>
                          </a:solidFill>
                        </a:ln>
                      </wps:spPr>
                      <wps:txbx>
                        <w:txbxContent>
                          <w:p>
                            <w:pPr>
                              <w:pStyle w:val="Heading1"/>
                              <w:ind w:hanging="0" w:start="0"/>
                              <w:rPr/>
                            </w:pPr>
                            <w:r>
                              <w:rPr/>
                              <w:t>Transaction</w:t>
                            </w:r>
                          </w:p>
                          <w:p>
                            <w:pPr>
                              <w:pStyle w:val="Normal"/>
                              <w:rPr/>
                            </w:pPr>
                            <w:r>
                              <w:rPr/>
                              <w:t>Brokers,</w:t>
                            </w:r>
                          </w:p>
                          <w:p>
                            <w:pPr>
                              <w:pStyle w:val="Normal"/>
                              <w:rPr/>
                            </w:pPr>
                            <w:r>
                              <w:rPr/>
                              <w:t>Infrastructure, Enablers</w:t>
                              <w:tab/>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72.7pt;mso-wrap-distance-left:9.05pt;mso-wrap-distance-right:9.05pt;mso-wrap-distance-top:0pt;mso-wrap-distance-bottom:0pt;margin-top:3.3pt;mso-position-vertical-relative:text;margin-left:176.05pt;mso-position-horizontal-relative:text">
                <v:textbox>
                  <w:txbxContent>
                    <w:p>
                      <w:pPr>
                        <w:pStyle w:val="Heading1"/>
                        <w:ind w:hanging="0" w:start="0"/>
                        <w:rPr/>
                      </w:pPr>
                      <w:r>
                        <w:rPr/>
                        <w:t>Transaction</w:t>
                      </w:r>
                    </w:p>
                    <w:p>
                      <w:pPr>
                        <w:pStyle w:val="Normal"/>
                        <w:rPr/>
                      </w:pPr>
                      <w:r>
                        <w:rPr/>
                        <w:t>Brokers,</w:t>
                      </w:r>
                    </w:p>
                    <w:p>
                      <w:pPr>
                        <w:pStyle w:val="Normal"/>
                        <w:rPr/>
                      </w:pPr>
                      <w:r>
                        <w:rPr/>
                        <w:t>Infrastructure, Enablers</w:t>
                        <w:tab/>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3515995</wp:posOffset>
                </wp:positionH>
                <wp:positionV relativeFrom="paragraph">
                  <wp:posOffset>34290</wp:posOffset>
                </wp:positionV>
                <wp:extent cx="923290" cy="923290"/>
                <wp:effectExtent l="0" t="0" r="0" b="0"/>
                <wp:wrapNone/>
                <wp:docPr id="10" name="Frame9"/>
                <a:graphic xmlns:a="http://schemas.openxmlformats.org/drawingml/2006/main">
                  <a:graphicData uri="http://schemas.microsoft.com/office/word/2010/wordprocessingShape">
                    <wps:wsp>
                      <wps:cNvSpPr txBox="1"/>
                      <wps:spPr>
                        <a:xfrm>
                          <a:off x="0" y="0"/>
                          <a:ext cx="923290" cy="923290"/>
                        </a:xfrm>
                        <a:prstGeom prst="rect"/>
                        <a:solidFill>
                          <a:srgbClr val="FFFFFF"/>
                        </a:solidFill>
                        <a:ln w="9525">
                          <a:solidFill>
                            <a:srgbClr val="000000"/>
                          </a:solidFill>
                        </a:ln>
                      </wps:spPr>
                      <wps:txbx>
                        <w:txbxContent>
                          <w:p>
                            <w:pPr>
                              <w:pStyle w:val="Normal"/>
                              <w:rPr>
                                <w:b/>
                              </w:rPr>
                            </w:pPr>
                            <w:r>
                              <w:rPr>
                                <w:b/>
                              </w:rPr>
                              <w:t>Enterprise Application Integration</w:t>
                            </w:r>
                          </w:p>
                          <w:p>
                            <w:pPr>
                              <w:pStyle w:val="Normal"/>
                              <w:rPr/>
                            </w:pPr>
                            <w:r>
                              <w:rPr/>
                              <w:t>VAR</w:t>
                            </w:r>
                          </w:p>
                          <w:p>
                            <w:pPr>
                              <w:pStyle w:val="Normal"/>
                              <w:rPr/>
                            </w:pPr>
                            <w:r>
                              <w:rPr/>
                              <w:t>SI</w:t>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72.7pt;mso-wrap-distance-left:9.05pt;mso-wrap-distance-right:9.05pt;mso-wrap-distance-top:0pt;mso-wrap-distance-bottom:0pt;margin-top:2.7pt;mso-position-vertical-relative:text;margin-left:276.85pt;mso-position-horizontal-relative:text">
                <v:textbox>
                  <w:txbxContent>
                    <w:p>
                      <w:pPr>
                        <w:pStyle w:val="Normal"/>
                        <w:rPr>
                          <w:b/>
                        </w:rPr>
                      </w:pPr>
                      <w:r>
                        <w:rPr>
                          <w:b/>
                        </w:rPr>
                        <w:t>Enterprise Application Integration</w:t>
                      </w:r>
                    </w:p>
                    <w:p>
                      <w:pPr>
                        <w:pStyle w:val="Normal"/>
                        <w:rPr/>
                      </w:pPr>
                      <w:r>
                        <w:rPr/>
                        <w:t>VAR</w:t>
                      </w:r>
                    </w:p>
                    <w:p>
                      <w:pPr>
                        <w:pStyle w:val="Normal"/>
                        <w:rPr/>
                      </w:pPr>
                      <w:r>
                        <w:rPr/>
                        <w:t>SI</w:t>
                      </w:r>
                    </w:p>
                    <w:p>
                      <w:pPr>
                        <w:pStyle w:val="Normal"/>
                        <w:rPr/>
                      </w:pPr>
                      <w:r>
                        <w:rPr/>
                      </w:r>
                    </w:p>
                  </w:txbxContent>
                </v:textbox>
                <w10:wrap type="none"/>
              </v:rect>
            </w:pict>
          </mc:Fallback>
        </mc:AlternateContent>
      </w:r>
    </w:p>
    <w:p>
      <w:pPr>
        <w:pStyle w:val="BodyText"/>
        <w:rPr/>
      </w:pPr>
      <w:r>
        <w:rPr/>
      </w:r>
    </w:p>
    <w:p>
      <w:pPr>
        <w:pStyle w:val="BodyText"/>
        <w:rPr>
          <w:lang w:val="en-CA"/>
        </w:rPr>
      </w:pPr>
      <w:r>
        <w:rPr>
          <w:lang w:val="en-CA"/>
        </w:rPr>
        <mc:AlternateContent>
          <mc:Choice Requires="wps">
            <w:drawing>
              <wp:anchor behindDoc="0" distT="0" distB="0" distL="114935" distR="114935" simplePos="0" locked="0" layoutInCell="1" allowOverlap="1" relativeHeight="6">
                <wp:simplePos x="0" y="0"/>
                <wp:positionH relativeFrom="column">
                  <wp:posOffset>1874520</wp:posOffset>
                </wp:positionH>
                <wp:positionV relativeFrom="paragraph">
                  <wp:posOffset>61595</wp:posOffset>
                </wp:positionV>
                <wp:extent cx="365760" cy="0"/>
                <wp:effectExtent l="0" t="38100" r="0" b="38100"/>
                <wp:wrapNone/>
                <wp:docPr id="11"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headEnd len="med" type="stealth" w="med"/>
                          <a:tailEnd len="med" type="stealth" w="med"/>
                        </a:ln>
                      </wps:spPr>
                      <wps:style>
                        <a:lnRef idx="0"/>
                        <a:fillRef idx="0"/>
                        <a:effectRef idx="0"/>
                        <a:fontRef idx="minor"/>
                      </wps:style>
                      <wps:bodyPr/>
                    </wps:wsp>
                  </a:graphicData>
                </a:graphic>
              </wp:anchor>
            </w:drawing>
          </mc:Choice>
          <mc:Fallback>
            <w:pict>
              <v:line id="shape_0" from="147.6pt,4.85pt" to="176.35pt,4.85pt" stroked="t" o:allowincell="f" style="position:absolute">
                <v:stroke color="black" weight="9360" startarrow="classic" endarrow="classic"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3154680</wp:posOffset>
                </wp:positionH>
                <wp:positionV relativeFrom="paragraph">
                  <wp:posOffset>61595</wp:posOffset>
                </wp:positionV>
                <wp:extent cx="365760" cy="1270"/>
                <wp:effectExtent l="0" t="38100" r="0" b="38100"/>
                <wp:wrapNone/>
                <wp:docPr id="12" name=""/>
                <a:graphic xmlns:a="http://schemas.openxmlformats.org/drawingml/2006/main">
                  <a:graphicData uri="http://schemas.microsoft.com/office/word/2010/wordprocessingShape">
                    <wps:wsp>
                      <wps:cNvSpPr/>
                      <wps:spPr>
                        <a:xfrm>
                          <a:off x="0" y="0"/>
                          <a:ext cx="365760" cy="1440"/>
                        </a:xfrm>
                        <a:prstGeom prst="line">
                          <a:avLst/>
                        </a:prstGeom>
                        <a:ln w="9360">
                          <a:solidFill>
                            <a:srgbClr val="000000"/>
                          </a:solidFill>
                          <a:miter/>
                          <a:headEnd len="med" type="stealth" w="med"/>
                          <a:tailEnd len="med" type="stealth" w="med"/>
                        </a:ln>
                      </wps:spPr>
                      <wps:style>
                        <a:lnRef idx="0"/>
                        <a:fillRef idx="0"/>
                        <a:effectRef idx="0"/>
                        <a:fontRef idx="minor"/>
                      </wps:style>
                      <wps:bodyPr/>
                    </wps:wsp>
                  </a:graphicData>
                </a:graphic>
              </wp:anchor>
            </w:drawing>
          </mc:Choice>
          <mc:Fallback>
            <w:pict>
              <v:line id="shape_0" from="248.4pt,4.85pt" to="277.15pt,4.9pt" stroked="t" o:allowincell="f" style="position:absolute">
                <v:stroke color="black" weight="9360" startarrow="classic" endarrow="classic" startarrowwidth="medium" startarrowlength="medium" endarrowwidth="medium" endarrowlength="medium" joinstyle="miter" endcap="flat"/>
                <v:fill o:detectmouseclick="t" on="false"/>
                <w10:wrap type="none"/>
              </v:line>
            </w:pict>
          </mc:Fallback>
        </mc:AlternateContent>
      </w:r>
    </w:p>
    <w:p>
      <w:pPr>
        <w:pStyle w:val="BodyText"/>
        <w:rPr/>
      </w:pPr>
      <w:r>
        <w:rPr/>
      </w:r>
    </w:p>
    <w:p>
      <w:pPr>
        <w:pStyle w:val="BodyText"/>
        <w:rPr/>
      </w:pPr>
      <w:r>
        <w:rPr/>
      </w:r>
    </w:p>
    <w:p>
      <w:pPr>
        <w:pStyle w:val="BodyText"/>
        <w:rPr/>
      </w:pPr>
      <w:r>
        <w:rPr/>
      </w:r>
    </w:p>
    <w:p>
      <w:pPr>
        <w:pStyle w:val="BodyText"/>
        <w:rPr/>
      </w:pPr>
      <w:r>
        <w:rPr/>
      </w:r>
    </w:p>
    <w:p>
      <w:pPr>
        <w:pStyle w:val="BodyText"/>
        <w:rPr/>
      </w:pPr>
      <w:r>
        <w:rPr/>
        <w:t xml:space="preserve"> </w:t>
      </w:r>
    </w:p>
    <w:p>
      <w:pPr>
        <w:pStyle w:val="BodyText"/>
        <w:rPr/>
      </w:pPr>
      <w:r>
        <w:rPr/>
        <w:t>The Supply Chain Management and Electronic Procurment applications are where the bulk of the business-to-business transactions occur:</w:t>
      </w:r>
    </w:p>
    <w:p>
      <w:pPr>
        <w:pStyle w:val="Heading4"/>
        <w:ind w:hanging="0" w:start="0"/>
        <w:rPr/>
      </w:pPr>
      <w:r>
        <w:rPr/>
      </w:r>
    </w:p>
    <w:p>
      <w:pPr>
        <w:pStyle w:val="Heading4"/>
        <w:ind w:hanging="0" w:start="0"/>
        <w:rPr/>
      </w:pPr>
      <w:r>
        <w:rPr/>
        <w:t>Supply Chain Management</w:t>
      </w:r>
    </w:p>
    <w:p>
      <w:pPr>
        <w:pStyle w:val="Normal"/>
        <w:rPr>
          <w:sz w:val="24"/>
        </w:rPr>
      </w:pPr>
      <w:r>
        <w:rPr>
          <w:sz w:val="24"/>
        </w:rPr>
        <w:t xml:space="preserve">These applications create efficiencies by providing real-time demand forecasting and inventory management.  They understand and preserve the relationships between and the roles played by each member of the value chain, from manufacturer, to distributor to supplier.  Value-added services are provided by E-business enablers for fulfillment, shipping etc.  Most of the sourcing in a supply chain is built upon pre-negotiated contracts for preconfigured products.  Electronic procurement is soon becoming a key component of these applications.  </w:t>
      </w:r>
    </w:p>
    <w:p>
      <w:pPr>
        <w:pStyle w:val="Normal"/>
        <w:rPr>
          <w:sz w:val="24"/>
        </w:rPr>
      </w:pPr>
      <w:r>
        <w:rPr>
          <w:sz w:val="24"/>
        </w:rPr>
      </w:r>
    </w:p>
    <w:p>
      <w:pPr>
        <w:pStyle w:val="Heading4"/>
        <w:ind w:hanging="0" w:start="0"/>
        <w:rPr/>
      </w:pPr>
      <w:r>
        <w:rPr/>
        <w:t>Electronic Procurement</w:t>
      </w:r>
    </w:p>
    <w:p>
      <w:pPr>
        <w:pStyle w:val="Normal"/>
        <w:rPr/>
      </w:pPr>
      <w:r>
        <w:rPr/>
        <w:t>E</w:t>
      </w:r>
      <w:r>
        <w:rPr>
          <w:sz w:val="24"/>
        </w:rPr>
        <w:t>very organization has purchasing needs for its direct or indirect goods.  These needs are serviced by procurement systems.   Electronic procurement provides the following main benefits</w:t>
      </w:r>
    </w:p>
    <w:p>
      <w:pPr>
        <w:pStyle w:val="Normal"/>
        <w:numPr>
          <w:ilvl w:val="0"/>
          <w:numId w:val="2"/>
        </w:numPr>
        <w:rPr>
          <w:sz w:val="24"/>
        </w:rPr>
      </w:pPr>
      <w:r>
        <w:rPr>
          <w:sz w:val="24"/>
        </w:rPr>
        <w:t>Cost savings by streamlining buying processes, reduces maverick buying</w:t>
      </w:r>
    </w:p>
    <w:p>
      <w:pPr>
        <w:pStyle w:val="Normal"/>
        <w:numPr>
          <w:ilvl w:val="0"/>
          <w:numId w:val="2"/>
        </w:numPr>
        <w:rPr>
          <w:sz w:val="24"/>
        </w:rPr>
      </w:pPr>
      <w:r>
        <w:rPr>
          <w:sz w:val="24"/>
        </w:rPr>
        <w:t>Reduced inventory levels due to better demand forecasting</w:t>
      </w:r>
    </w:p>
    <w:p>
      <w:pPr>
        <w:pStyle w:val="Normal"/>
        <w:numPr>
          <w:ilvl w:val="0"/>
          <w:numId w:val="2"/>
        </w:numPr>
        <w:rPr>
          <w:sz w:val="24"/>
        </w:rPr>
      </w:pPr>
      <w:r>
        <w:rPr>
          <w:sz w:val="24"/>
        </w:rPr>
        <w:t>Reduced search costs</w:t>
      </w:r>
    </w:p>
    <w:p>
      <w:pPr>
        <w:pStyle w:val="Normal"/>
        <w:numPr>
          <w:ilvl w:val="0"/>
          <w:numId w:val="2"/>
        </w:numPr>
        <w:rPr>
          <w:sz w:val="24"/>
        </w:rPr>
      </w:pPr>
      <w:r>
        <w:rPr>
          <w:sz w:val="24"/>
        </w:rPr>
        <w:t>Easier trading partner discovery</w:t>
      </w:r>
    </w:p>
    <w:p>
      <w:pPr>
        <w:pStyle w:val="Normal"/>
        <w:rPr>
          <w:sz w:val="24"/>
        </w:rPr>
      </w:pPr>
      <w:r>
        <w:rPr>
          <w:sz w:val="24"/>
        </w:rPr>
      </w:r>
    </w:p>
    <w:p>
      <w:pPr>
        <w:pStyle w:val="Heading4"/>
        <w:ind w:hanging="0" w:start="0"/>
        <w:rPr/>
      </w:pPr>
      <w:r>
        <w:rPr/>
        <w:t>Different B2B models for Procurement</w:t>
      </w:r>
    </w:p>
    <w:p>
      <w:pPr>
        <w:pStyle w:val="Normal"/>
        <w:rPr>
          <w:sz w:val="24"/>
        </w:rPr>
      </w:pPr>
      <w:r>
        <w:rPr>
          <w:sz w:val="24"/>
        </w:rPr>
      </w:r>
    </w:p>
    <w:p>
      <w:pPr>
        <w:pStyle w:val="Normal"/>
        <w:rPr/>
      </w:pPr>
      <w:r>
        <w:rPr>
          <w:b/>
          <w:sz w:val="24"/>
        </w:rPr>
        <w:t>Buy Side Procurement:</w:t>
      </w:r>
      <w:r>
        <w:rPr>
          <w:sz w:val="24"/>
        </w:rPr>
        <w:t xml:space="preserve"> Intranet based sourcing from predetermined list of vendors (preferred vendors/suppliers) at pre-negotiated prices.  25% of B2B buyers plan to use buy-side systems. The intranet solution is now being outsourced as well, allowing a third-party to host this company centric network, e.g. Buy Site (Commerce One), Private Marketplace (Purchase Pro)</w:t>
      </w:r>
    </w:p>
    <w:p>
      <w:pPr>
        <w:pStyle w:val="Normal"/>
        <w:rPr>
          <w:sz w:val="24"/>
        </w:rPr>
      </w:pPr>
      <w:r>
        <w:rPr>
          <w:sz w:val="24"/>
        </w:rPr>
        <w:tab/>
        <w:tab/>
      </w:r>
    </w:p>
    <w:p>
      <w:pPr>
        <w:pStyle w:val="Normal"/>
        <w:rPr/>
      </w:pPr>
      <w:r>
        <w:rPr>
          <w:b/>
          <w:sz w:val="24"/>
        </w:rPr>
        <w:t>Sell Side Procurement:</w:t>
      </w:r>
      <w:r>
        <w:rPr>
          <w:sz w:val="24"/>
        </w:rPr>
        <w:t xml:space="preserve"> Simply a commerce-enabled Web site that is maintained by a supplier or distributor. Sell-side solutions require no investment from the buying organization, e.g. Grainger</w:t>
      </w:r>
    </w:p>
    <w:p>
      <w:pPr>
        <w:pStyle w:val="Normal"/>
        <w:ind w:firstLine="720" w:end="0"/>
        <w:rPr>
          <w:sz w:val="24"/>
        </w:rPr>
      </w:pPr>
      <w:r>
        <w:rPr>
          <w:sz w:val="24"/>
        </w:rPr>
        <w:t xml:space="preserve"> </w:t>
      </w:r>
      <w:r>
        <w:rPr>
          <w:sz w:val="24"/>
        </w:rPr>
        <w:tab/>
      </w:r>
    </w:p>
    <w:p>
      <w:pPr>
        <w:pStyle w:val="Normal"/>
        <w:rPr/>
      </w:pPr>
      <w:r>
        <w:rPr>
          <w:b/>
          <w:sz w:val="24"/>
        </w:rPr>
        <w:t>Horizontal Electronic Marketplaces/Net Market Makers/Trading Hub – Sell Side variant:</w:t>
      </w:r>
      <w:r>
        <w:rPr>
          <w:sz w:val="24"/>
        </w:rPr>
        <w:t xml:space="preserve"> Supply site where a third party aggregates MRO like products, which are required across various industries, e.g. Ariba, PurchasePro</w:t>
      </w:r>
    </w:p>
    <w:p>
      <w:pPr>
        <w:pStyle w:val="Normal"/>
        <w:rPr>
          <w:b/>
          <w:sz w:val="24"/>
        </w:rPr>
      </w:pPr>
      <w:r>
        <w:rPr>
          <w:b/>
          <w:sz w:val="24"/>
        </w:rPr>
      </w:r>
    </w:p>
    <w:p>
      <w:pPr>
        <w:pStyle w:val="Normal"/>
        <w:rPr/>
      </w:pPr>
      <w:r>
        <w:rPr>
          <w:b/>
          <w:sz w:val="24"/>
        </w:rPr>
        <w:t>Vertical Electronic Marketplaces/Net Market Makers/Trading Hub –Sell Side variant</w:t>
      </w:r>
      <w:r>
        <w:rPr>
          <w:sz w:val="24"/>
        </w:rPr>
        <w:t xml:space="preserve">: Supply site where a third-party firm aggregates products from multiple suppliers in a vertical industry together into one site.  It is estimated that 31% of buyers use or plan to use these aggregated sites.  E.g. PlasticsNet, E-Chemicals, Ventro formerly Chemdex </w:t>
      </w:r>
    </w:p>
    <w:p>
      <w:pPr>
        <w:pStyle w:val="Normal"/>
        <w:ind w:firstLine="720" w:end="0"/>
        <w:rPr>
          <w:sz w:val="24"/>
        </w:rPr>
      </w:pPr>
      <w:r>
        <w:rPr>
          <w:sz w:val="24"/>
        </w:rPr>
      </w:r>
    </w:p>
    <w:p>
      <w:pPr>
        <w:pStyle w:val="Normal"/>
        <w:rPr/>
      </w:pPr>
      <w:r>
        <w:rPr>
          <w:b/>
          <w:sz w:val="24"/>
        </w:rPr>
        <w:t>Proprietary Extranets (=EDI minus the proprietary VANS):</w:t>
      </w:r>
      <w:r>
        <w:rPr>
          <w:sz w:val="24"/>
        </w:rPr>
        <w:t xml:space="preserve"> Companies will continue to leverage their investments in EDI based procurement, but using the Internet as a low cost network, replacing the proprietary VANS, e.g. Sterling Commerce.   These currently hold about 56% of the procurement market, but will soon evolve into the next model, the</w:t>
      </w:r>
      <w:r>
        <w:rPr>
          <w:i/>
          <w:sz w:val="24"/>
        </w:rPr>
        <w:t xml:space="preserve"> Proprietary Trading Hub</w:t>
      </w:r>
      <w:r>
        <w:rPr>
          <w:sz w:val="24"/>
        </w:rPr>
        <w:t xml:space="preserve">. </w:t>
      </w:r>
    </w:p>
    <w:p>
      <w:pPr>
        <w:pStyle w:val="Normal"/>
        <w:ind w:firstLine="720" w:end="0"/>
        <w:rPr>
          <w:sz w:val="24"/>
        </w:rPr>
      </w:pPr>
      <w:r>
        <w:rPr>
          <w:sz w:val="24"/>
        </w:rPr>
      </w:r>
    </w:p>
    <w:p>
      <w:pPr>
        <w:pStyle w:val="Normal"/>
        <w:rPr/>
      </w:pPr>
      <w:r>
        <w:rPr>
          <w:b/>
          <w:sz w:val="24"/>
        </w:rPr>
        <w:t xml:space="preserve">Industry (or Company) Sponsored Trading Hub/Net Market Makers: </w:t>
      </w:r>
      <w:r>
        <w:rPr>
          <w:sz w:val="24"/>
        </w:rPr>
        <w:t>Companies want to keep their customer bases and business processes private.  They will achieve this by creating invitation only destination sites that their suppliers, distributors, partners, and customers get to participate in.  e.g GE’s MRO site geis.com, Ford’s partnership with Oracle for AutoConnect, Aerospace industry site PartsBase.com</w:t>
      </w:r>
    </w:p>
    <w:p>
      <w:pPr>
        <w:pStyle w:val="Normal"/>
        <w:rPr>
          <w:sz w:val="24"/>
        </w:rPr>
      </w:pPr>
      <w:r>
        <w:rPr>
          <w:sz w:val="24"/>
        </w:rPr>
      </w:r>
    </w:p>
    <w:p>
      <w:pPr>
        <w:pStyle w:val="Normal"/>
        <w:rPr/>
      </w:pPr>
      <w:r>
        <w:rPr>
          <w:b/>
          <w:sz w:val="24"/>
        </w:rPr>
        <w:t>Trading Exchange Platforms (TEPS):</w:t>
      </w:r>
      <w:r>
        <w:rPr>
          <w:sz w:val="24"/>
        </w:rPr>
        <w:t xml:space="preserve"> These are technology companies that provide the technology infrastructure that facilitates the setting up of net markets (aka digital market places or trading hubs).  E.g. Ariba, Commerce One.</w:t>
      </w:r>
    </w:p>
    <w:p>
      <w:pPr>
        <w:pStyle w:val="Normal"/>
        <w:rPr>
          <w:sz w:val="24"/>
        </w:rPr>
      </w:pPr>
      <w:r>
        <w:rPr>
          <w:sz w:val="24"/>
        </w:rPr>
      </w:r>
    </w:p>
    <w:p>
      <w:pPr>
        <w:pStyle w:val="Normal"/>
        <w:rPr>
          <w:b/>
          <w:sz w:val="24"/>
        </w:rPr>
      </w:pPr>
      <w:r>
        <w:rPr>
          <w:b/>
          <w:sz w:val="24"/>
        </w:rPr>
        <w:t>Modes of Electronic Procurement</w:t>
      </w:r>
    </w:p>
    <w:p>
      <w:pPr>
        <w:pStyle w:val="Normal"/>
        <w:rPr>
          <w:b/>
          <w:sz w:val="24"/>
        </w:rPr>
      </w:pPr>
      <w:r>
        <w:rPr>
          <w:b/>
          <w:sz w:val="24"/>
        </w:rPr>
      </w:r>
    </w:p>
    <w:p>
      <w:pPr>
        <w:pStyle w:val="BodyText"/>
        <w:rPr/>
      </w:pPr>
      <w:r>
        <w:rPr/>
        <w:t>There are four ways an organization can procure goods as shown in the following table:</w:t>
      </w:r>
    </w:p>
    <w:p>
      <w:pPr>
        <w:pStyle w:val="Normal"/>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Contract</w:t>
            </w:r>
          </w:p>
        </w:tc>
        <w:tc>
          <w:tcPr>
            <w:tcW w:w="2214"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Dynamic Pricing (Bid/Ask)</w:t>
            </w:r>
          </w:p>
        </w:tc>
        <w:tc>
          <w:tcPr>
            <w:tcW w:w="2214"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Auction</w:t>
            </w:r>
          </w:p>
        </w:tc>
        <w:tc>
          <w:tcPr>
            <w:tcW w:w="2214"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Catalog</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sz w:val="24"/>
              </w:rPr>
            </w:pPr>
            <w:r>
              <w:rPr>
                <w:sz w:val="24"/>
              </w:rPr>
              <w:t xml:space="preserve">Pre-configured </w:t>
            </w:r>
          </w:p>
          <w:p>
            <w:pPr>
              <w:pStyle w:val="Normal"/>
              <w:numPr>
                <w:ilvl w:val="0"/>
                <w:numId w:val="3"/>
              </w:numPr>
              <w:rPr>
                <w:sz w:val="24"/>
              </w:rPr>
            </w:pPr>
            <w:r>
              <w:rPr>
                <w:sz w:val="24"/>
              </w:rPr>
              <w:t>Pre-negotiated</w:t>
            </w:r>
          </w:p>
          <w:p>
            <w:pPr>
              <w:pStyle w:val="Normal"/>
              <w:numPr>
                <w:ilvl w:val="0"/>
                <w:numId w:val="3"/>
              </w:numPr>
              <w:rPr>
                <w:sz w:val="24"/>
              </w:rPr>
            </w:pPr>
            <w:r>
              <w:rPr>
                <w:sz w:val="24"/>
              </w:rPr>
              <w:t>Strategic: Long term relationships</w:t>
            </w:r>
          </w:p>
          <w:p>
            <w:pPr>
              <w:pStyle w:val="Normal"/>
              <w:numPr>
                <w:ilvl w:val="0"/>
                <w:numId w:val="3"/>
              </w:numPr>
              <w:rPr>
                <w:sz w:val="24"/>
              </w:rPr>
            </w:pPr>
            <w:r>
              <w:rPr>
                <w:sz w:val="24"/>
              </w:rPr>
              <w:t>56% of all procurement transactions (mostly EDI based)</w:t>
            </w:r>
          </w:p>
        </w:tc>
        <w:tc>
          <w:tcPr>
            <w:tcW w:w="2214"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sz w:val="24"/>
              </w:rPr>
            </w:pPr>
            <w:r>
              <w:rPr>
                <w:sz w:val="24"/>
              </w:rPr>
              <w:t>High volume  transactional</w:t>
            </w:r>
          </w:p>
          <w:p>
            <w:pPr>
              <w:pStyle w:val="Normal"/>
              <w:numPr>
                <w:ilvl w:val="0"/>
                <w:numId w:val="3"/>
              </w:numPr>
              <w:rPr>
                <w:sz w:val="24"/>
              </w:rPr>
            </w:pPr>
            <w:r>
              <w:rPr>
                <w:sz w:val="24"/>
              </w:rPr>
              <w:t>Volatile goods: Fluctuatung supply and demand</w:t>
            </w:r>
          </w:p>
          <w:p>
            <w:pPr>
              <w:pStyle w:val="Normal"/>
              <w:numPr>
                <w:ilvl w:val="0"/>
                <w:numId w:val="3"/>
              </w:numPr>
              <w:rPr>
                <w:sz w:val="24"/>
              </w:rPr>
            </w:pPr>
            <w:r>
              <w:rPr>
                <w:sz w:val="24"/>
              </w:rPr>
              <w:t>Commodity like: little or no customization</w:t>
            </w:r>
          </w:p>
          <w:p>
            <w:pPr>
              <w:pStyle w:val="Normal"/>
              <w:numPr>
                <w:ilvl w:val="0"/>
                <w:numId w:val="3"/>
              </w:numPr>
              <w:rPr>
                <w:sz w:val="24"/>
              </w:rPr>
            </w:pPr>
            <w:r>
              <w:rPr>
                <w:sz w:val="24"/>
              </w:rPr>
              <w:t>Spot buying</w:t>
            </w:r>
          </w:p>
        </w:tc>
        <w:tc>
          <w:tcPr>
            <w:tcW w:w="2214"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sz w:val="24"/>
              </w:rPr>
            </w:pPr>
            <w:r>
              <w:rPr>
                <w:sz w:val="24"/>
              </w:rPr>
              <w:t>Spot buying</w:t>
            </w:r>
          </w:p>
          <w:p>
            <w:pPr>
              <w:pStyle w:val="Normal"/>
              <w:numPr>
                <w:ilvl w:val="0"/>
                <w:numId w:val="3"/>
              </w:numPr>
              <w:rPr>
                <w:sz w:val="24"/>
              </w:rPr>
            </w:pPr>
            <w:r>
              <w:rPr>
                <w:sz w:val="24"/>
              </w:rPr>
              <w:t>Some systematic buying</w:t>
            </w:r>
          </w:p>
          <w:p>
            <w:pPr>
              <w:pStyle w:val="Normal"/>
              <w:numPr>
                <w:ilvl w:val="0"/>
                <w:numId w:val="3"/>
              </w:numPr>
              <w:rPr>
                <w:sz w:val="24"/>
              </w:rPr>
            </w:pPr>
            <w:r>
              <w:rPr>
                <w:sz w:val="24"/>
              </w:rPr>
              <w:t>Sell Side: Excess Inventory disposal</w:t>
            </w:r>
          </w:p>
          <w:p>
            <w:pPr>
              <w:pStyle w:val="Normal"/>
              <w:numPr>
                <w:ilvl w:val="0"/>
                <w:numId w:val="3"/>
              </w:numPr>
              <w:rPr>
                <w:sz w:val="24"/>
              </w:rPr>
            </w:pPr>
            <w:r>
              <w:rPr>
                <w:sz w:val="24"/>
              </w:rPr>
              <w:t>Buy Side: Reverse auctions, RFP, RFI, RFQ</w:t>
            </w:r>
          </w:p>
          <w:p>
            <w:pPr>
              <w:pStyle w:val="Normal"/>
              <w:rPr>
                <w:sz w:val="24"/>
              </w:rPr>
            </w:pPr>
            <w:r>
              <w:rPr>
                <w:sz w:val="24"/>
              </w:rPr>
            </w:r>
          </w:p>
        </w:tc>
        <w:tc>
          <w:tcPr>
            <w:tcW w:w="2214"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sz w:val="24"/>
              </w:rPr>
            </w:pPr>
            <w:r>
              <w:rPr>
                <w:sz w:val="24"/>
              </w:rPr>
              <w:t>Low volume</w:t>
            </w:r>
          </w:p>
          <w:p>
            <w:pPr>
              <w:pStyle w:val="Normal"/>
              <w:numPr>
                <w:ilvl w:val="0"/>
                <w:numId w:val="3"/>
              </w:numPr>
              <w:rPr>
                <w:sz w:val="24"/>
              </w:rPr>
            </w:pPr>
            <w:r>
              <w:rPr>
                <w:sz w:val="24"/>
              </w:rPr>
              <w:t>Highly differentiated</w:t>
            </w:r>
          </w:p>
          <w:p>
            <w:pPr>
              <w:pStyle w:val="Normal"/>
              <w:numPr>
                <w:ilvl w:val="0"/>
                <w:numId w:val="3"/>
              </w:numPr>
              <w:rPr>
                <w:sz w:val="24"/>
              </w:rPr>
            </w:pPr>
            <w:r>
              <w:rPr>
                <w:sz w:val="24"/>
              </w:rPr>
              <w:t>Difficult to price dynamically</w:t>
            </w:r>
          </w:p>
          <w:p>
            <w:pPr>
              <w:pStyle w:val="Normal"/>
              <w:numPr>
                <w:ilvl w:val="0"/>
                <w:numId w:val="3"/>
              </w:numPr>
              <w:rPr>
                <w:sz w:val="24"/>
              </w:rPr>
            </w:pPr>
            <w:r>
              <w:rPr>
                <w:sz w:val="24"/>
              </w:rPr>
              <w:t>No point negotiating</w:t>
            </w:r>
          </w:p>
        </w:tc>
      </w:tr>
    </w:tbl>
    <w:p>
      <w:pPr>
        <w:pStyle w:val="Normal"/>
        <w:rPr>
          <w:b/>
          <w:sz w:val="24"/>
        </w:rPr>
      </w:pPr>
      <w:r>
        <w:rPr>
          <w:b/>
          <w:sz w:val="24"/>
        </w:rPr>
      </w:r>
    </w:p>
    <w:p>
      <w:pPr>
        <w:pStyle w:val="Heading4"/>
        <w:ind w:hanging="0" w:start="0"/>
        <w:rPr>
          <w:b w:val="false"/>
        </w:rPr>
      </w:pPr>
      <w:r>
        <w:rPr>
          <w:b w:val="false"/>
        </w:rPr>
        <w:t xml:space="preserve">The driving forces that govern the types of procurement mechanism are: </w:t>
      </w:r>
    </w:p>
    <w:p>
      <w:pPr>
        <w:pStyle w:val="BodyText"/>
        <w:numPr>
          <w:ilvl w:val="0"/>
          <w:numId w:val="2"/>
        </w:numPr>
        <w:rPr/>
      </w:pPr>
      <w:r>
        <w:rPr/>
        <w:t>Degree of customization or differentiation:  More unique and customized sourcing favors catalog and contract based solution</w:t>
      </w:r>
    </w:p>
    <w:p>
      <w:pPr>
        <w:pStyle w:val="Normal"/>
        <w:numPr>
          <w:ilvl w:val="0"/>
          <w:numId w:val="2"/>
        </w:numPr>
        <w:rPr>
          <w:sz w:val="24"/>
        </w:rPr>
      </w:pPr>
      <w:r>
        <w:rPr>
          <w:sz w:val="24"/>
        </w:rPr>
        <w:t>Favored circle of trading partners: Relationships are maintained based on prior negotiations and business volume in contract purchasing</w:t>
      </w:r>
    </w:p>
    <w:p>
      <w:pPr>
        <w:pStyle w:val="Normal"/>
        <w:numPr>
          <w:ilvl w:val="0"/>
          <w:numId w:val="2"/>
        </w:numPr>
        <w:rPr>
          <w:sz w:val="24"/>
        </w:rPr>
      </w:pPr>
      <w:r>
        <w:rPr>
          <w:sz w:val="24"/>
        </w:rPr>
        <w:t>Profit Margin: Low margin goods, tend to be uniform, commodity-like, and require large transaction volumes.  These type of goods are best aquired using dynamic pricing models and auctions.</w:t>
      </w:r>
    </w:p>
    <w:p>
      <w:pPr>
        <w:pStyle w:val="Normal"/>
        <w:rPr>
          <w:sz w:val="24"/>
        </w:rPr>
      </w:pPr>
      <w:r>
        <w:rPr>
          <w:sz w:val="24"/>
        </w:rPr>
      </w:r>
    </w:p>
    <w:p>
      <w:pPr>
        <w:pStyle w:val="Normal"/>
        <w:rPr>
          <w:b/>
          <w:sz w:val="28"/>
        </w:rPr>
      </w:pPr>
      <w:r>
        <w:rPr>
          <w:b/>
          <w:sz w:val="28"/>
        </w:rPr>
        <w:t xml:space="preserve">Online Auctions </w:t>
      </w:r>
    </w:p>
    <w:p>
      <w:pPr>
        <w:pStyle w:val="Normal"/>
        <w:rPr>
          <w:b/>
          <w:sz w:val="24"/>
        </w:rPr>
      </w:pPr>
      <w:r>
        <w:rPr>
          <w:b/>
          <w:sz w:val="24"/>
        </w:rPr>
      </w:r>
    </w:p>
    <w:p>
      <w:pPr>
        <w:pStyle w:val="Normal"/>
        <w:rPr>
          <w:sz w:val="24"/>
        </w:rPr>
      </w:pPr>
      <w:r>
        <w:rPr>
          <w:sz w:val="24"/>
        </w:rPr>
        <w:t>Online auctioneers provide a variety of different auction formats, such as Vickery, reverse, and dutch auctions.  In addition they provide dynamic pricing, negotiation, decisioning, and multi-parameter auctions.</w:t>
      </w:r>
    </w:p>
    <w:p>
      <w:pPr>
        <w:pStyle w:val="Normal"/>
        <w:rPr>
          <w:sz w:val="24"/>
        </w:rPr>
      </w:pPr>
      <w:r>
        <w:rPr>
          <w:sz w:val="24"/>
        </w:rPr>
      </w:r>
    </w:p>
    <w:p>
      <w:pPr>
        <w:pStyle w:val="Normal"/>
        <w:rPr/>
      </w:pPr>
      <w:r>
        <w:rPr>
          <w:b/>
          <w:i/>
          <w:sz w:val="24"/>
        </w:rPr>
        <w:t xml:space="preserve">Sellside:  </w:t>
      </w:r>
      <w:r>
        <w:rPr>
          <w:sz w:val="24"/>
        </w:rPr>
        <w:t>Typically an avenue for suppliers (sellers) to reduce or get rid of inventory, so sellers accrue most of the benefits and buyers face upward pricing pressure.  Buyer’s cannot track or control spending.</w:t>
      </w:r>
    </w:p>
    <w:p>
      <w:pPr>
        <w:pStyle w:val="Normal"/>
        <w:rPr>
          <w:sz w:val="24"/>
        </w:rPr>
      </w:pPr>
      <w:r>
        <w:rPr>
          <w:sz w:val="24"/>
        </w:rPr>
      </w:r>
    </w:p>
    <w:p>
      <w:pPr>
        <w:pStyle w:val="Normal"/>
        <w:rPr/>
      </w:pPr>
      <w:r>
        <w:rPr>
          <w:b/>
          <w:i/>
          <w:sz w:val="24"/>
        </w:rPr>
        <w:t>Buyside</w:t>
      </w:r>
      <w:r>
        <w:rPr>
          <w:sz w:val="24"/>
        </w:rPr>
        <w:t>:  Administered by buying organizations , allow buyers to place RFQs, getting bids from competing suppliers setting downward pricing pressure on price.</w:t>
      </w:r>
    </w:p>
    <w:p>
      <w:pPr>
        <w:pStyle w:val="Normal"/>
        <w:rPr>
          <w:sz w:val="24"/>
        </w:rPr>
      </w:pPr>
      <w:r>
        <w:rPr>
          <w:sz w:val="24"/>
        </w:rPr>
        <w:tab/>
      </w:r>
    </w:p>
    <w:p>
      <w:pPr>
        <w:pStyle w:val="Normal"/>
        <w:rPr/>
      </w:pPr>
      <w:r>
        <w:rPr>
          <w:b/>
          <w:sz w:val="28"/>
        </w:rPr>
        <w:t>Players, positioning, scope, competition</w:t>
      </w:r>
      <w:r>
        <w:rPr>
          <w:sz w:val="24"/>
        </w:rPr>
        <w:t>.</w:t>
      </w:r>
    </w:p>
    <w:p>
      <w:pPr>
        <w:pStyle w:val="Heading4"/>
        <w:ind w:hanging="0" w:start="0"/>
        <w:rPr>
          <w:b w:val="false"/>
        </w:rPr>
      </w:pPr>
      <w:r>
        <w:rPr/>
        <w:t xml:space="preserve"> </w:t>
      </w:r>
    </w:p>
    <w:p>
      <w:pPr>
        <w:pStyle w:val="Heading6"/>
        <w:ind w:hanging="0" w:start="0" w:end="0"/>
        <w:rPr/>
      </w:pPr>
      <w:r>
        <w:rPr/>
        <w:t>Casbah Corp.: Casbah is an auction technology provider. Its technology facilitates multi-parameter auctions, for buying decisions tha do not depend solely on price.</w:t>
      </w:r>
    </w:p>
    <w:p>
      <w:pPr>
        <w:pStyle w:val="Normal"/>
        <w:rPr/>
      </w:pPr>
      <w:r>
        <w:rPr/>
      </w:r>
    </w:p>
    <w:p>
      <w:pPr>
        <w:pStyle w:val="Normal"/>
        <w:rPr>
          <w:sz w:val="24"/>
        </w:rPr>
      </w:pPr>
      <w:r>
        <w:rPr>
          <w:sz w:val="24"/>
        </w:rPr>
        <w:t>Tradeum, acquired by VerticalNet, is a trading exchange that provides a limited RFQ capability.  However, its exchange engine used advanced mathematical and profiling techniques to optimize matching buyers and sellers.</w:t>
      </w:r>
    </w:p>
    <w:p>
      <w:pPr>
        <w:pStyle w:val="Normal"/>
        <w:rPr>
          <w:sz w:val="24"/>
        </w:rPr>
      </w:pPr>
      <w:r>
        <w:rPr>
          <w:sz w:val="24"/>
        </w:rPr>
      </w:r>
    </w:p>
    <w:p>
      <w:pPr>
        <w:pStyle w:val="Normal"/>
        <w:rPr>
          <w:sz w:val="24"/>
        </w:rPr>
      </w:pPr>
      <w:r>
        <w:rPr>
          <w:sz w:val="24"/>
        </w:rPr>
        <w:t>Moai (partnered with Concur), is an auction technology and trading exchange provider that enables customers to run multi-parameter auctions and set up trading exchanges. It targets enterprises, online commerce companies, and application service providers</w:t>
      </w:r>
    </w:p>
    <w:p>
      <w:pPr>
        <w:pStyle w:val="Normal"/>
        <w:rPr>
          <w:sz w:val="24"/>
        </w:rPr>
      </w:pPr>
      <w:r>
        <w:rPr>
          <w:sz w:val="24"/>
        </w:rPr>
        <w:t xml:space="preserve"> </w:t>
      </w:r>
    </w:p>
    <w:p>
      <w:pPr>
        <w:pStyle w:val="Normal"/>
        <w:rPr>
          <w:sz w:val="24"/>
        </w:rPr>
      </w:pPr>
      <w:r>
        <w:rPr>
          <w:sz w:val="24"/>
        </w:rPr>
        <w:t>Tradex and Trading Dynamics, acquired by Ariba, provide software for online auctions for business-to-business commerce, vertical marketplaces, and ISEs.</w:t>
      </w:r>
    </w:p>
    <w:p>
      <w:pPr>
        <w:pStyle w:val="Normal"/>
        <w:rPr>
          <w:sz w:val="24"/>
        </w:rPr>
      </w:pPr>
      <w:r>
        <w:rPr>
          <w:sz w:val="24"/>
        </w:rPr>
      </w:r>
    </w:p>
    <w:p>
      <w:pPr>
        <w:pStyle w:val="Normal"/>
        <w:rPr>
          <w:sz w:val="24"/>
        </w:rPr>
      </w:pPr>
      <w:r>
        <w:rPr>
          <w:sz w:val="24"/>
        </w:rPr>
        <w:t>OpenSite, acquired by Siebel, is a sell-side auctions solutions provider.</w:t>
      </w:r>
    </w:p>
    <w:p>
      <w:pPr>
        <w:pStyle w:val="Normal"/>
        <w:rPr>
          <w:sz w:val="24"/>
        </w:rPr>
      </w:pPr>
      <w:r>
        <w:rPr>
          <w:sz w:val="24"/>
        </w:rPr>
      </w:r>
    </w:p>
    <w:p>
      <w:pPr>
        <w:pStyle w:val="Normal"/>
        <w:rPr>
          <w:sz w:val="24"/>
        </w:rPr>
      </w:pPr>
      <w:r>
        <w:rPr>
          <w:sz w:val="24"/>
        </w:rPr>
        <w:t>CommerceBid, acquired by Commerce One, provides software for trading exchange, including forward and reverse auction models.</w:t>
      </w:r>
    </w:p>
    <w:p>
      <w:pPr>
        <w:pStyle w:val="Normal"/>
        <w:rPr>
          <w:sz w:val="24"/>
        </w:rPr>
      </w:pPr>
      <w:r>
        <w:rPr>
          <w:sz w:val="24"/>
        </w:rPr>
      </w:r>
    </w:p>
    <w:p>
      <w:pPr>
        <w:pStyle w:val="Normal"/>
        <w:rPr>
          <w:sz w:val="24"/>
        </w:rPr>
      </w:pPr>
      <w:r>
        <w:rPr>
          <w:sz w:val="24"/>
        </w:rPr>
        <w:t>Intelligent Digital is a vertical market software provider, allowing market makers to develop a multidimensional transaction strategy across multiple catalogs, auctions, and exchanges.</w:t>
      </w:r>
    </w:p>
    <w:p>
      <w:pPr>
        <w:pStyle w:val="Normal"/>
        <w:rPr>
          <w:sz w:val="24"/>
        </w:rPr>
      </w:pPr>
      <w:r>
        <w:rPr>
          <w:sz w:val="24"/>
        </w:rPr>
      </w:r>
    </w:p>
    <w:p>
      <w:pPr>
        <w:pStyle w:val="Normal"/>
        <w:rPr>
          <w:sz w:val="24"/>
        </w:rPr>
      </w:pPr>
      <w:r>
        <w:rPr>
          <w:sz w:val="24"/>
        </w:rPr>
        <w:t>Connect Inc., acquired by Calico Commerce, provides a software platform for setting up buy-side and sell-side trading exchanges</w:t>
      </w:r>
    </w:p>
    <w:p>
      <w:pPr>
        <w:pStyle w:val="Normal"/>
        <w:rPr>
          <w:sz w:val="24"/>
        </w:rPr>
      </w:pPr>
      <w:r>
        <w:rPr>
          <w:sz w:val="24"/>
        </w:rPr>
      </w:r>
    </w:p>
    <w:p>
      <w:pPr>
        <w:pStyle w:val="Normal"/>
        <w:rPr>
          <w:sz w:val="24"/>
        </w:rPr>
      </w:pPr>
      <w:r>
        <w:rPr>
          <w:sz w:val="24"/>
        </w:rPr>
        <w:t>Epicentric, provides auction services as a component of its vertical portal solution.  It also provides hosted services that enable companies to build custom portals for Intranet, Extranet, and the Internet.</w:t>
      </w:r>
    </w:p>
    <w:p>
      <w:pPr>
        <w:pStyle w:val="Normal"/>
        <w:rPr>
          <w:sz w:val="24"/>
        </w:rPr>
      </w:pPr>
      <w:r>
        <w:rPr>
          <w:sz w:val="24"/>
        </w:rPr>
      </w:r>
    </w:p>
    <w:p>
      <w:pPr>
        <w:pStyle w:val="Normal"/>
        <w:rPr>
          <w:sz w:val="24"/>
        </w:rPr>
      </w:pPr>
      <w:r>
        <w:rPr>
          <w:sz w:val="24"/>
        </w:rPr>
        <w:t>Hologix, provides software to create trading exchanges.  Buyers can search for products using a categorization technology called attributes, instead of SKU number.</w:t>
      </w:r>
    </w:p>
    <w:p>
      <w:pPr>
        <w:pStyle w:val="Normal"/>
        <w:rPr>
          <w:sz w:val="24"/>
        </w:rPr>
      </w:pPr>
      <w:r>
        <w:rPr>
          <w:sz w:val="24"/>
        </w:rPr>
      </w:r>
    </w:p>
    <w:p>
      <w:pPr>
        <w:pStyle w:val="Normal"/>
        <w:rPr>
          <w:sz w:val="24"/>
        </w:rPr>
      </w:pPr>
      <w:r>
        <w:rPr>
          <w:sz w:val="24"/>
        </w:rPr>
        <w:t>Unibex: provides the tools to create trading exchanges.  It offers a broad suite of e-commerce services facilitating search, selection, negotiation etc.</w:t>
      </w:r>
    </w:p>
    <w:p>
      <w:pPr>
        <w:pStyle w:val="Normal"/>
        <w:rPr>
          <w:sz w:val="24"/>
        </w:rPr>
      </w:pPr>
      <w:r>
        <w:rPr>
          <w:sz w:val="24"/>
        </w:rPr>
        <w:tab/>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4">
    <w:name w:val="heading 4"/>
    <w:basedOn w:val="Normal"/>
    <w:next w:val="Normal"/>
    <w:qFormat/>
    <w:pPr>
      <w:keepNext w:val="true"/>
      <w:numPr>
        <w:ilvl w:val="3"/>
        <w:numId w:val="1"/>
      </w:numPr>
      <w:outlineLvl w:val="3"/>
    </w:pPr>
    <w:rPr>
      <w:b/>
      <w:sz w:val="24"/>
    </w:rPr>
  </w:style>
  <w:style w:type="paragraph" w:styleId="Heading6">
    <w:name w:val="heading 6"/>
    <w:basedOn w:val="Normal"/>
    <w:next w:val="Normal"/>
    <w:qFormat/>
    <w:pPr>
      <w:keepNext w:val="true"/>
      <w:numPr>
        <w:ilvl w:val="5"/>
        <w:numId w:val="1"/>
      </w:numPr>
      <w:ind w:firstLine="720" w:start="720" w:end="0"/>
      <w:outlineLvl w:val="5"/>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2000-05-06T04:40:00Z</dcterms:created>
  <dc:creator>Aiaz Kazi</dc:creator>
  <dc:description/>
  <dc:language>en-CA</dc:language>
  <cp:lastModifiedBy>Aiaz Kazi</cp:lastModifiedBy>
  <cp:lastPrinted>2000-04-19T16:57:00Z</cp:lastPrinted>
  <dcterms:modified xsi:type="dcterms:W3CDTF">2000-05-08T06:22:00Z</dcterms:modified>
  <cp:revision>11</cp:revision>
  <dc:subject/>
  <dc:title>The E-Business Landscape is divided into three broad categories</dc:title>
</cp:coreProperties>
</file>