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7950" w:type="dxa"/>
        <w:jc w:val="start"/>
        <w:tblInd w:w="674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608"/>
        <w:gridCol w:w="1010"/>
        <w:gridCol w:w="112"/>
        <w:gridCol w:w="899"/>
        <w:gridCol w:w="91"/>
        <w:gridCol w:w="919"/>
        <w:gridCol w:w="71"/>
        <w:gridCol w:w="1170"/>
        <w:gridCol w:w="780"/>
        <w:gridCol w:w="300"/>
        <w:gridCol w:w="990"/>
      </w:tblGrid>
      <w:tr>
        <w:trPr>
          <w:trHeight w:val="242" w:hRule="atLeast"/>
        </w:trPr>
        <w:tc>
          <w:tcPr>
            <w:tcW w:w="3629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Enron Power Marketing, Inc.</w:t>
            </w:r>
          </w:p>
        </w:tc>
        <w:tc>
          <w:tcPr>
            <w:tcW w:w="101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4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7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90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</w:tr>
      <w:tr>
        <w:trPr>
          <w:trHeight w:val="242" w:hRule="atLeast"/>
        </w:trPr>
        <w:tc>
          <w:tcPr>
            <w:tcW w:w="5880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Forward Price of Wholesale Electric Power ($/MWH)</w:t>
            </w:r>
          </w:p>
        </w:tc>
        <w:tc>
          <w:tcPr>
            <w:tcW w:w="7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90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42" w:hRule="atLeast"/>
        </w:trPr>
        <w:tc>
          <w:tcPr>
            <w:tcW w:w="261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Prices are indicative only </w:t>
            </w:r>
          </w:p>
        </w:tc>
        <w:tc>
          <w:tcPr>
            <w:tcW w:w="1102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4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90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42" w:hRule="atLeast"/>
        </w:trPr>
        <w:tc>
          <w:tcPr>
            <w:tcW w:w="3720" w:type="dxa"/>
            <w:gridSpan w:val="5"/>
            <w:tcBorders>
              <w:top w:val="single" w:sz="2" w:space="0" w:color="000000"/>
              <w:start w:val="single" w:sz="2" w:space="0" w:color="000000"/>
              <w:bottom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(As of January 2, 2000)</w:t>
            </w:r>
          </w:p>
        </w:tc>
        <w:tc>
          <w:tcPr>
            <w:tcW w:w="919" w:type="dxa"/>
            <w:tcBorders>
              <w:top w:val="single" w:sz="2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41" w:type="dxa"/>
            <w:gridSpan w:val="2"/>
            <w:tcBorders>
              <w:top w:val="single" w:sz="2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80" w:type="dxa"/>
            <w:tcBorders>
              <w:top w:val="single" w:sz="2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90" w:type="dxa"/>
            <w:gridSpan w:val="2"/>
            <w:tcBorders>
              <w:top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98" w:hRule="atLeast"/>
        </w:trPr>
        <w:tc>
          <w:tcPr>
            <w:tcW w:w="1608" w:type="dxa"/>
            <w:tcBorders>
              <w:top w:val="single" w:sz="6" w:space="0" w:color="000000"/>
              <w:start w:val="single" w:sz="6" w:space="0" w:color="000000"/>
              <w:bottom w:val="single" w:sz="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12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On Peak (6x16)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Off Peak Hour (6x8+24)</w:t>
            </w:r>
          </w:p>
        </w:tc>
        <w:tc>
          <w:tcPr>
            <w:tcW w:w="207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All Hours (7x24)</w:t>
            </w:r>
          </w:p>
        </w:tc>
      </w:tr>
      <w:tr>
        <w:trPr>
          <w:trHeight w:val="970" w:hRule="atLeast"/>
        </w:trPr>
        <w:tc>
          <w:tcPr>
            <w:tcW w:w="16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end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Delivery Location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California Northern Zone (NP-15)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California Southern Zone (SP-15)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California Northern Zone (NP-15)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California Southern Zone (SP-15)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California Northern Zone (NP-15)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California Southern Zone (SP-15)</w:t>
            </w:r>
          </w:p>
        </w:tc>
      </w:tr>
      <w:tr>
        <w:trPr>
          <w:trHeight w:val="727" w:hRule="atLeast"/>
        </w:trPr>
        <w:tc>
          <w:tcPr>
            <w:tcW w:w="16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Five Year Block (balance of '01 through '05)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$102/MWH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$98/MWH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$64/MWH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$60/MWH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$85/MWH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$82/MWH</w:t>
            </w:r>
          </w:p>
        </w:tc>
      </w:tr>
      <w:tr>
        <w:trPr>
          <w:trHeight w:val="554" w:hRule="atLeast"/>
        </w:trPr>
        <w:tc>
          <w:tcPr>
            <w:tcW w:w="7950" w:type="dxa"/>
            <w:gridSpan w:val="11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Prices subject to change: buyer must enter into standard commercial agreement and be subject to credit approval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2001-01-03T23:05:00Z</dcterms:created>
  <dc:creator>G. Alan Comnes</dc:creator>
  <dc:description/>
  <dc:language>en-CA</dc:language>
  <cp:lastModifiedBy>jdasovic</cp:lastModifiedBy>
  <dcterms:modified xsi:type="dcterms:W3CDTF">2001-01-03T23:18:00Z</dcterms:modified>
  <cp:revision>3</cp:revision>
  <dc:subject/>
  <dc:title>Enron Power Marketing, Inc</dc:title>
</cp:coreProperties>
</file>