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2552" w:start="2552" w:end="0"/>
        <w:rPr>
          <w:b/>
          <w:u w:val="single"/>
        </w:rPr>
      </w:pPr>
      <w:r>
        <w:rPr>
          <w:b/>
          <w:u w:val="single"/>
        </w:rPr>
        <w:t>Terms for an Indicative Fixed Price Swap (energy only)</w:t>
      </w:r>
    </w:p>
    <w:p>
      <w:pPr>
        <w:pStyle w:val="Normal"/>
        <w:ind w:hanging="2552" w:start="2552" w:end="0"/>
        <w:rPr>
          <w:b/>
          <w:sz w:val="24"/>
          <w:u w:val="single"/>
          <w:lang w:val="es-AR"/>
        </w:rPr>
      </w:pPr>
      <w:r>
        <w:rPr>
          <w:b/>
          <w:sz w:val="24"/>
          <w:u w:val="single"/>
          <w:lang w:val="es-AR"/>
        </w:rPr>
      </w:r>
    </w:p>
    <w:p>
      <w:pPr>
        <w:pStyle w:val="BodyText"/>
        <w:ind w:hanging="2552" w:start="2552" w:end="0"/>
        <w:rPr>
          <w:sz w:val="24"/>
          <w:lang w:val="es-AR"/>
        </w:rPr>
      </w:pPr>
      <w:r>
        <w:rPr>
          <w:sz w:val="24"/>
          <w:lang w:val="es-AR"/>
        </w:rPr>
      </w:r>
    </w:p>
    <w:p>
      <w:pPr>
        <w:pStyle w:val="BodyText"/>
        <w:ind w:hanging="2552" w:start="2552" w:end="0"/>
        <w:rPr/>
      </w:pPr>
      <w:r>
        <w:rPr/>
        <w:t>Fixed Price:</w:t>
        <w:tab/>
        <w:t>Looking for indicative Fixed Prices for Alternatives 1, 2 and 3, according to terms and conditions specified below.</w:t>
      </w:r>
    </w:p>
    <w:p>
      <w:pPr>
        <w:pStyle w:val="Normal"/>
        <w:ind w:hanging="2552" w:start="2552" w:end="0"/>
        <w:rPr>
          <w:sz w:val="24"/>
          <w:lang w:val="es-AR"/>
        </w:rPr>
      </w:pPr>
      <w:r>
        <w:rPr>
          <w:sz w:val="24"/>
          <w:lang w:val="es-AR"/>
        </w:rPr>
      </w:r>
    </w:p>
    <w:p>
      <w:pPr>
        <w:pStyle w:val="Normal"/>
        <w:ind w:hanging="2552" w:start="2552" w:end="0"/>
        <w:rPr>
          <w:sz w:val="24"/>
          <w:lang w:val="es-AR"/>
        </w:rPr>
      </w:pPr>
      <w:r>
        <w:rPr>
          <w:sz w:val="24"/>
          <w:lang w:val="es-AR"/>
        </w:rPr>
      </w:r>
    </w:p>
    <w:p>
      <w:pPr>
        <w:pStyle w:val="Heading1"/>
        <w:ind w:hanging="2552" w:start="2552" w:end="0"/>
        <w:rPr>
          <w:u w:val="single"/>
        </w:rPr>
      </w:pPr>
      <w:r>
        <w:rPr>
          <w:u w:val="single"/>
        </w:rPr>
        <w:t>General Terms:</w:t>
      </w:r>
    </w:p>
    <w:p>
      <w:pPr>
        <w:pStyle w:val="Normal"/>
        <w:rPr>
          <w:sz w:val="24"/>
          <w:u w:val="single"/>
        </w:rPr>
      </w:pPr>
      <w:r>
        <w:rPr>
          <w:sz w:val="24"/>
          <w:u w:val="single"/>
        </w:rPr>
      </w:r>
    </w:p>
    <w:p>
      <w:pPr>
        <w:pStyle w:val="Normal"/>
        <w:tabs>
          <w:tab w:val="clear" w:pos="720"/>
          <w:tab w:val="left" w:pos="4536" w:leader="none"/>
        </w:tabs>
        <w:ind w:hanging="2552" w:start="2552" w:end="0"/>
        <w:rPr>
          <w:sz w:val="24"/>
          <w:lang w:val="es-AR"/>
        </w:rPr>
      </w:pPr>
      <w:r>
        <w:rPr>
          <w:sz w:val="24"/>
          <w:lang w:val="es-AR"/>
        </w:rPr>
        <w:t xml:space="preserve">Effective Date:  </w:t>
        <w:tab/>
        <w:t>March 1, 2000, hour 00:00</w:t>
      </w:r>
    </w:p>
    <w:p>
      <w:pPr>
        <w:pStyle w:val="Normal"/>
        <w:tabs>
          <w:tab w:val="clear" w:pos="720"/>
          <w:tab w:val="left" w:pos="4536" w:leader="none"/>
        </w:tabs>
        <w:ind w:hanging="2552" w:start="2552" w:end="0"/>
        <w:rPr>
          <w:sz w:val="24"/>
          <w:lang w:val="es-AR"/>
        </w:rPr>
      </w:pPr>
      <w:r>
        <w:rPr>
          <w:sz w:val="24"/>
          <w:lang w:val="es-AR"/>
        </w:rPr>
      </w:r>
    </w:p>
    <w:p>
      <w:pPr>
        <w:pStyle w:val="Heading2"/>
        <w:tabs>
          <w:tab w:val="clear" w:pos="2127"/>
          <w:tab w:val="left" w:pos="4253" w:leader="none"/>
        </w:tabs>
        <w:ind w:hanging="2552" w:start="2552" w:end="0"/>
        <w:rPr/>
      </w:pPr>
      <w:r>
        <w:rPr/>
        <w:t>Termination Date:</w:t>
        <w:tab/>
        <w:t>Alternative 1:</w:t>
        <w:tab/>
        <w:t>August 31, 2000, hour 24:00</w:t>
      </w:r>
    </w:p>
    <w:p>
      <w:pPr>
        <w:pStyle w:val="Heading1"/>
        <w:tabs>
          <w:tab w:val="clear" w:pos="720"/>
          <w:tab w:val="left" w:pos="2552" w:leader="none"/>
          <w:tab w:val="left" w:pos="4253" w:leader="none"/>
        </w:tabs>
        <w:ind w:hanging="0" w:start="0"/>
        <w:rPr>
          <w:lang w:val="en-US"/>
        </w:rPr>
      </w:pPr>
      <w:r>
        <w:rPr>
          <w:lang w:val="en-US"/>
        </w:rPr>
        <w:tab/>
        <w:t>Alternative 2:</w:t>
        <w:tab/>
        <w:t>February 28, 2001, hour 24:00</w:t>
      </w:r>
    </w:p>
    <w:p>
      <w:pPr>
        <w:pStyle w:val="Heading1"/>
        <w:tabs>
          <w:tab w:val="clear" w:pos="720"/>
          <w:tab w:val="left" w:pos="2552" w:leader="none"/>
          <w:tab w:val="left" w:pos="4253" w:leader="none"/>
        </w:tabs>
        <w:ind w:hanging="0" w:start="0"/>
        <w:rPr>
          <w:lang w:val="en-US"/>
        </w:rPr>
      </w:pPr>
      <w:r>
        <w:rPr>
          <w:lang w:val="en-US"/>
        </w:rPr>
        <w:tab/>
        <w:t>Alternative 3:</w:t>
        <w:tab/>
        <w:t>February 28, 2002, hour 24:00</w:t>
      </w:r>
    </w:p>
    <w:p>
      <w:pPr>
        <w:pStyle w:val="Normal"/>
        <w:ind w:hanging="2552" w:start="2552" w:end="0"/>
        <w:rPr>
          <w:sz w:val="24"/>
          <w:lang w:val="en-US"/>
        </w:rPr>
      </w:pPr>
      <w:r>
        <w:rPr>
          <w:sz w:val="24"/>
          <w:lang w:val="en-US"/>
        </w:rPr>
      </w:r>
    </w:p>
    <w:p>
      <w:pPr>
        <w:pStyle w:val="BodyTextIndent2"/>
        <w:tabs>
          <w:tab w:val="clear" w:pos="2127"/>
          <w:tab w:val="left" w:pos="4536" w:leader="none"/>
        </w:tabs>
        <w:rPr/>
      </w:pPr>
      <w:r>
        <w:rPr/>
        <w:t>Notional Quantity:</w:t>
        <w:tab/>
        <w:t>40 MWh for each hour during the term of each alternative</w:t>
      </w:r>
    </w:p>
    <w:p>
      <w:pPr>
        <w:pStyle w:val="BodyTextIndent2"/>
        <w:tabs>
          <w:tab w:val="clear" w:pos="2127"/>
          <w:tab w:val="left" w:pos="4536" w:leader="none"/>
        </w:tabs>
        <w:rPr/>
      </w:pPr>
      <w:r>
        <w:rPr/>
      </w:r>
    </w:p>
    <w:p>
      <w:pPr>
        <w:pStyle w:val="Heading2"/>
        <w:tabs>
          <w:tab w:val="clear" w:pos="2127"/>
          <w:tab w:val="left" w:pos="4253" w:leader="none"/>
        </w:tabs>
        <w:ind w:hanging="2552" w:start="2552" w:end="0"/>
        <w:rPr/>
      </w:pPr>
      <w:r>
        <w:rPr/>
        <w:t>Total Notional Quantity:</w:t>
        <w:tab/>
        <w:t>Alternative 1:</w:t>
        <w:tab/>
        <w:t>176,640 MWh</w:t>
      </w:r>
    </w:p>
    <w:p>
      <w:pPr>
        <w:pStyle w:val="Heading2"/>
        <w:tabs>
          <w:tab w:val="clear" w:pos="2127"/>
          <w:tab w:val="left" w:pos="4253" w:leader="none"/>
        </w:tabs>
        <w:ind w:hanging="2552" w:start="2552" w:end="0"/>
        <w:rPr>
          <w:lang w:val="en-US"/>
        </w:rPr>
      </w:pPr>
      <w:r>
        <w:rPr>
          <w:lang w:val="en-US"/>
        </w:rPr>
        <w:tab/>
        <w:t>Alternative 2:</w:t>
        <w:tab/>
        <w:t>350</w:t>
      </w:r>
      <w:r>
        <w:rPr/>
        <w:t>,400 MWh</w:t>
      </w:r>
    </w:p>
    <w:p>
      <w:pPr>
        <w:pStyle w:val="BodyTextIndent2"/>
        <w:tabs>
          <w:tab w:val="clear" w:pos="2127"/>
          <w:tab w:val="left" w:pos="4253" w:leader="none"/>
        </w:tabs>
        <w:rPr/>
      </w:pPr>
      <w:r>
        <w:rPr>
          <w:lang w:val="en-US"/>
        </w:rPr>
        <w:tab/>
        <w:t>Alternative 3:</w:t>
        <w:tab/>
      </w:r>
      <w:r>
        <w:rPr/>
        <w:t>700,800 MWh</w:t>
      </w:r>
    </w:p>
    <w:p>
      <w:pPr>
        <w:pStyle w:val="Normal"/>
        <w:tabs>
          <w:tab w:val="clear" w:pos="720"/>
          <w:tab w:val="left" w:pos="3969" w:leader="none"/>
          <w:tab w:val="left" w:pos="4536" w:leader="none"/>
        </w:tabs>
        <w:ind w:hanging="2552" w:start="2552" w:end="0"/>
        <w:rPr>
          <w:sz w:val="24"/>
          <w:lang w:val="es-AR"/>
        </w:rPr>
      </w:pPr>
      <w:r>
        <w:rPr>
          <w:sz w:val="24"/>
          <w:lang w:val="es-AR"/>
        </w:rPr>
      </w:r>
    </w:p>
    <w:p>
      <w:pPr>
        <w:pStyle w:val="Heading2"/>
        <w:tabs>
          <w:tab w:val="clear" w:pos="2127"/>
          <w:tab w:val="left" w:pos="4253" w:leader="none"/>
        </w:tabs>
        <w:ind w:hanging="2552" w:start="2552" w:end="0"/>
        <w:rPr/>
      </w:pPr>
      <w:r>
        <w:rPr/>
        <w:t>Calculation Period(s):</w:t>
        <w:tab/>
        <w:t>Each calendar month beginning with March 1, 2000 and ending: Alternative 1:</w:t>
        <w:tab/>
        <w:t>August 31, 2000</w:t>
      </w:r>
    </w:p>
    <w:p>
      <w:pPr>
        <w:pStyle w:val="Heading1"/>
        <w:tabs>
          <w:tab w:val="clear" w:pos="720"/>
          <w:tab w:val="left" w:pos="2552" w:leader="none"/>
          <w:tab w:val="left" w:pos="4253" w:leader="none"/>
        </w:tabs>
        <w:ind w:hanging="0" w:start="0"/>
        <w:rPr>
          <w:lang w:val="en-US"/>
        </w:rPr>
      </w:pPr>
      <w:r>
        <w:rPr>
          <w:lang w:val="en-US"/>
        </w:rPr>
        <w:tab/>
        <w:t>Alternative 2:</w:t>
        <w:tab/>
        <w:t>February 28, 2001</w:t>
      </w:r>
    </w:p>
    <w:p>
      <w:pPr>
        <w:pStyle w:val="Heading1"/>
        <w:tabs>
          <w:tab w:val="clear" w:pos="720"/>
          <w:tab w:val="left" w:pos="2552" w:leader="none"/>
          <w:tab w:val="left" w:pos="4253" w:leader="none"/>
        </w:tabs>
        <w:ind w:hanging="0" w:start="0"/>
        <w:rPr>
          <w:lang w:val="en-US"/>
        </w:rPr>
      </w:pPr>
      <w:r>
        <w:rPr>
          <w:lang w:val="en-US"/>
        </w:rPr>
        <w:tab/>
        <w:t>Alternative 3:</w:t>
        <w:tab/>
        <w:t>February 28, 2002</w:t>
      </w:r>
    </w:p>
    <w:p>
      <w:pPr>
        <w:pStyle w:val="BodyTextIndent"/>
        <w:tabs>
          <w:tab w:val="clear" w:pos="2127"/>
        </w:tabs>
        <w:ind w:hanging="2552" w:start="2552" w:end="0"/>
        <w:rPr>
          <w:lang w:val="en-US"/>
        </w:rPr>
      </w:pPr>
      <w:r>
        <w:rPr>
          <w:lang w:val="en-US"/>
        </w:rPr>
      </w:r>
    </w:p>
    <w:p>
      <w:pPr>
        <w:pStyle w:val="BodyTextIndent"/>
        <w:tabs>
          <w:tab w:val="clear" w:pos="2127"/>
        </w:tabs>
        <w:ind w:hanging="2552" w:start="2552" w:end="0"/>
        <w:rPr/>
      </w:pPr>
      <w:r>
        <w:rPr/>
        <w:t>Payment Date(s):</w:t>
        <w:tab/>
        <w:t>The fifth (5</w:t>
      </w:r>
      <w:r>
        <w:rPr>
          <w:vertAlign w:val="superscript"/>
        </w:rPr>
        <w:t>th</w:t>
      </w:r>
      <w:r>
        <w:rPr/>
        <w:t>) Business Day following the date on which the Floating Price is determinable for each Calculation Period</w:t>
      </w:r>
    </w:p>
    <w:p>
      <w:pPr>
        <w:pStyle w:val="BodyTextIndent"/>
        <w:tabs>
          <w:tab w:val="clear" w:pos="2127"/>
        </w:tabs>
        <w:ind w:hanging="2552" w:start="2552" w:end="0"/>
        <w:rPr/>
      </w:pPr>
      <w:r>
        <w:rPr/>
      </w:r>
    </w:p>
    <w:p>
      <w:pPr>
        <w:pStyle w:val="BodyTextIndent"/>
        <w:tabs>
          <w:tab w:val="clear" w:pos="2127"/>
        </w:tabs>
        <w:ind w:hanging="2552" w:start="2552" w:end="0"/>
        <w:rPr/>
      </w:pPr>
      <w:r>
        <w:rPr/>
        <w:t>Fixed Price Payer:</w:t>
        <w:tab/>
        <w:t>The Counterparty</w:t>
      </w:r>
    </w:p>
    <w:p>
      <w:pPr>
        <w:pStyle w:val="BodyTextIndent"/>
        <w:tabs>
          <w:tab w:val="clear" w:pos="2127"/>
        </w:tabs>
        <w:ind w:hanging="2552" w:start="2552" w:end="0"/>
        <w:rPr/>
      </w:pPr>
      <w:r>
        <w:rPr/>
      </w:r>
    </w:p>
    <w:p>
      <w:pPr>
        <w:pStyle w:val="BodyTextIndent"/>
        <w:tabs>
          <w:tab w:val="clear" w:pos="2127"/>
        </w:tabs>
        <w:ind w:hanging="2552" w:start="2552" w:end="0"/>
        <w:rPr/>
      </w:pPr>
      <w:r>
        <w:rPr/>
        <w:t>Floating Price Payer:</w:t>
        <w:tab/>
        <w:t>ENA</w:t>
      </w:r>
    </w:p>
    <w:p>
      <w:pPr>
        <w:pStyle w:val="BodyTextIndent"/>
        <w:tabs>
          <w:tab w:val="clear" w:pos="2127"/>
        </w:tabs>
        <w:ind w:hanging="2552" w:start="2552" w:end="0"/>
        <w:rPr/>
      </w:pPr>
      <w:r>
        <w:rPr/>
      </w:r>
    </w:p>
    <w:p>
      <w:pPr>
        <w:pStyle w:val="BodyTextIndent"/>
        <w:tabs>
          <w:tab w:val="clear" w:pos="2127"/>
        </w:tabs>
        <w:ind w:hanging="2552" w:start="2552" w:end="0"/>
        <w:rPr/>
      </w:pPr>
      <w:r>
        <w:rPr/>
        <w:t>Floating Price:</w:t>
        <w:tab/>
        <w:t>The average of all the hourly prices during each Calculation Period as published electronically in the “Documento de Transacciones Económicas” (DTE) under the annex set forth in the “Generadores” file labeled “A1.7 Precios Del Mercado en $/MWH – Mercado” by CAMMESA.</w:t>
      </w:r>
    </w:p>
    <w:p>
      <w:pPr>
        <w:pStyle w:val="BodyTextIndent"/>
        <w:tabs>
          <w:tab w:val="clear" w:pos="2127"/>
        </w:tabs>
        <w:ind w:hanging="2552" w:start="2552" w:end="0"/>
        <w:rPr/>
      </w:pPr>
      <w:r>
        <w:rPr/>
      </w:r>
    </w:p>
    <w:p>
      <w:pPr>
        <w:pStyle w:val="BodyTextIndent"/>
        <w:tabs>
          <w:tab w:val="clear" w:pos="2127"/>
        </w:tabs>
        <w:ind w:hanging="2552" w:start="2552" w:end="0"/>
        <w:rPr/>
      </w:pPr>
      <w:r>
        <w:rPr/>
        <w:tab/>
        <w:t>The Floating Amounts payable shall be made in US Dollars, and the exchange rate shall be of one Argentine Peso per US Dollar.</w:t>
      </w:r>
    </w:p>
    <w:p>
      <w:pPr>
        <w:pStyle w:val="BodyTextIndent"/>
        <w:tabs>
          <w:tab w:val="clear" w:pos="2127"/>
        </w:tabs>
        <w:ind w:hanging="2552" w:start="2552" w:end="0"/>
        <w:rPr/>
      </w:pPr>
      <w:r>
        <w:rPr/>
      </w:r>
    </w:p>
    <w:sectPr>
      <w:type w:val="nextPage"/>
      <w:pgSz w:w="12240" w:h="15840"/>
      <w:pgMar w:left="1800" w:right="1183"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lang w:val="es-AR"/>
    </w:rPr>
  </w:style>
  <w:style w:type="paragraph" w:styleId="Heading2">
    <w:name w:val="heading 2"/>
    <w:basedOn w:val="Normal"/>
    <w:next w:val="Normal"/>
    <w:qFormat/>
    <w:pPr>
      <w:keepNext w:val="true"/>
      <w:numPr>
        <w:ilvl w:val="1"/>
        <w:numId w:val="1"/>
      </w:numPr>
      <w:tabs>
        <w:tab w:val="clear" w:pos="720"/>
        <w:tab w:val="left" w:pos="2127" w:leader="none"/>
      </w:tabs>
      <w:ind w:hanging="2127" w:start="2127" w:end="0"/>
      <w:outlineLvl w:val="1"/>
    </w:pPr>
    <w:rPr>
      <w:sz w:val="24"/>
      <w:lang w:val="es-AR"/>
    </w:rPr>
  </w:style>
  <w:style w:type="paragraph" w:styleId="Heading3">
    <w:name w:val="heading 3"/>
    <w:basedOn w:val="Normal"/>
    <w:next w:val="Normal"/>
    <w:qFormat/>
    <w:pPr>
      <w:keepNext w:val="true"/>
      <w:numPr>
        <w:ilvl w:val="2"/>
        <w:numId w:val="1"/>
      </w:numPr>
      <w:ind w:hanging="2552" w:start="2552" w:end="0"/>
      <w:outlineLvl w:val="2"/>
    </w:pPr>
    <w:rPr>
      <w:sz w:val="24"/>
      <w:lang w:val="es-A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es-A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127" w:leader="none"/>
      </w:tabs>
      <w:ind w:hanging="2127" w:start="2127" w:end="0"/>
    </w:pPr>
    <w:rPr>
      <w:sz w:val="24"/>
      <w:lang w:val="es-AR"/>
    </w:rPr>
  </w:style>
  <w:style w:type="paragraph" w:styleId="BodyTextIndent2">
    <w:name w:val="Body Text Indent 2"/>
    <w:basedOn w:val="Normal"/>
    <w:qFormat/>
    <w:pPr>
      <w:tabs>
        <w:tab w:val="clear" w:pos="720"/>
        <w:tab w:val="left" w:pos="2127" w:leader="none"/>
      </w:tabs>
      <w:ind w:hanging="2552" w:start="2552" w:end="0"/>
    </w:pPr>
    <w:rPr>
      <w:sz w:val="24"/>
      <w:lang w:val="es-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2000-01-11T12:06:00Z</dcterms:created>
  <dc:creator>Julian Poole</dc:creator>
  <dc:description/>
  <dc:language>en-CA</dc:language>
  <cp:lastModifiedBy>Julian Poole</cp:lastModifiedBy>
  <cp:lastPrinted>2000-01-11T12:01:00Z</cp:lastPrinted>
  <dcterms:modified xsi:type="dcterms:W3CDTF">2000-01-11T15:48:00Z</dcterms:modified>
  <cp:revision>5</cp:revision>
  <dc:subject/>
  <dc:title>Indicative Offer for a Fixed Price Swap</dc:title>
</cp:coreProperties>
</file>