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9630" w:leader="none"/>
        </w:tabs>
        <w:jc w:val="both"/>
        <w:rPr>
          <w:rFonts w:ascii="Tms Rmn" w:hAnsi="Tms Rmn" w:cs="Tms Rmn"/>
        </w:rPr>
      </w:pPr>
      <w:r>
        <w:rPr>
          <w:rFonts w:cs="Tms Rmn" w:ascii="Tms Rmn" w:hAnsi="Tms Rmn"/>
        </w:rPr>
      </w:r>
      <w:r>
        <mc:AlternateContent>
          <mc:Choice Requires="wps">
            <w:drawing>
              <wp:anchor behindDoc="0" distT="0" distB="0" distL="114300" distR="114300" simplePos="0" locked="0" layoutInCell="0" allowOverlap="1" relativeHeight="2">
                <wp:simplePos x="0" y="0"/>
                <wp:positionH relativeFrom="page">
                  <wp:posOffset>5669915</wp:posOffset>
                </wp:positionH>
                <wp:positionV relativeFrom="paragraph">
                  <wp:posOffset>140335</wp:posOffset>
                </wp:positionV>
                <wp:extent cx="1641475" cy="828675"/>
                <wp:effectExtent l="0" t="0" r="0" b="0"/>
                <wp:wrapSquare wrapText="bothSides"/>
                <wp:docPr id="1" name="Frame1"/>
                <a:graphic xmlns:a="http://schemas.openxmlformats.org/drawingml/2006/main">
                  <a:graphicData uri="http://schemas.microsoft.com/office/word/2010/wordprocessingShape">
                    <wps:wsp>
                      <wps:cNvSpPr txBox="1"/>
                      <wps:spPr>
                        <a:xfrm>
                          <a:off x="0" y="0"/>
                          <a:ext cx="1641475" cy="828675"/>
                        </a:xfrm>
                        <a:prstGeom prst="rect"/>
                        <a:solidFill>
                          <a:srgbClr val="FFFFFF">
                            <a:alpha val="0"/>
                          </a:srgbClr>
                        </a:solidFill>
                      </wps:spPr>
                      <wps:txbx>
                        <w:txbxContent>
                          <w:p>
                            <w:pPr>
                              <w:pStyle w:val="Heading2"/>
                              <w:ind w:hanging="0" w:start="0"/>
                              <w:jc w:val="both"/>
                              <w:rPr/>
                            </w:pPr>
                            <w:r>
                              <w:rPr/>
                              <w:t>Duke Energy International</w:t>
                            </w:r>
                          </w:p>
                          <w:p>
                            <w:pPr>
                              <w:pStyle w:val="Normal"/>
                              <w:tabs>
                                <w:tab w:val="clear" w:pos="720"/>
                                <w:tab w:val="left" w:pos="-1080" w:leader="none"/>
                                <w:tab w:val="left" w:pos="-720" w:leader="none"/>
                                <w:tab w:val="left" w:pos="1" w:leader="none"/>
                                <w:tab w:val="left" w:pos="693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P.O. Box 1642</w:t>
                            </w:r>
                          </w:p>
                          <w:p>
                            <w:pPr>
                              <w:pStyle w:val="Normal"/>
                              <w:tabs>
                                <w:tab w:val="clear" w:pos="720"/>
                                <w:tab w:val="left" w:pos="-1080" w:leader="none"/>
                                <w:tab w:val="left" w:pos="-720" w:leader="none"/>
                                <w:tab w:val="left" w:pos="1" w:leader="none"/>
                                <w:tab w:val="left" w:pos="693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Houston, Texas 77251-1642</w:t>
                            </w:r>
                          </w:p>
                          <w:p>
                            <w:pPr>
                              <w:pStyle w:val="Normal"/>
                              <w:tabs>
                                <w:tab w:val="clear" w:pos="720"/>
                                <w:tab w:val="left" w:pos="-1080" w:leader="none"/>
                                <w:tab w:val="left" w:pos="-720" w:leader="none"/>
                                <w:tab w:val="left" w:pos="1" w:leader="none"/>
                                <w:tab w:val="left" w:pos="693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5400 Westheimer Court</w:t>
                            </w:r>
                          </w:p>
                          <w:p>
                            <w:pPr>
                              <w:pStyle w:val="Normal"/>
                              <w:tabs>
                                <w:tab w:val="clear" w:pos="720"/>
                                <w:tab w:val="left" w:pos="-1080" w:leader="none"/>
                                <w:tab w:val="left" w:pos="-720" w:leader="none"/>
                                <w:tab w:val="left" w:pos="1" w:leader="none"/>
                                <w:tab w:val="left" w:pos="693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Houston, Texas 77056-5310</w:t>
                            </w:r>
                          </w:p>
                          <w:p>
                            <w:pPr>
                              <w:pStyle w:val="Normal"/>
                              <w:tabs>
                                <w:tab w:val="clear" w:pos="720"/>
                                <w:tab w:val="left" w:pos="-1080" w:leader="none"/>
                                <w:tab w:val="left" w:pos="-720" w:leader="none"/>
                                <w:tab w:val="left" w:pos="1" w:leader="none"/>
                                <w:tab w:val="left" w:pos="693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(713) 627-5600</w:t>
                            </w:r>
                          </w:p>
                          <w:p>
                            <w:pPr>
                              <w:pStyle w:val="Normal"/>
                              <w:jc w:val="both"/>
                              <w:rPr>
                                <w:sz w:val="14"/>
                              </w:rPr>
                            </w:pPr>
                            <w:r>
                              <w:rPr>
                                <w:sz w:val="14"/>
                              </w:rPr>
                              <w:t>Fax: 713 627-5905</w:t>
                            </w:r>
                          </w:p>
                        </w:txbxContent>
                      </wps:txbx>
                      <wps:bodyPr anchor="t" lIns="0" tIns="0" rIns="0" bIns="0">
                        <a:noAutofit/>
                      </wps:bodyPr>
                    </wps:wsp>
                  </a:graphicData>
                </a:graphic>
              </wp:anchor>
            </w:drawing>
          </mc:Choice>
          <mc:Fallback>
            <w:pict>
              <v:rect fillcolor="#FFFFFF" style="position:absolute;rotation:-0;width:129.25pt;height:65.25pt;mso-wrap-distance-left:9pt;mso-wrap-distance-right:9pt;mso-wrap-distance-top:0pt;mso-wrap-distance-bottom:0pt;margin-top:11.05pt;mso-position-vertical-relative:text;margin-left:446.45pt;mso-position-horizontal-relative:page">
                <v:fill opacity="0f"/>
                <v:textbox inset="0in,0in,0in,0in">
                  <w:txbxContent>
                    <w:p>
                      <w:pPr>
                        <w:pStyle w:val="Heading2"/>
                        <w:ind w:hanging="0" w:start="0"/>
                        <w:jc w:val="both"/>
                        <w:rPr/>
                      </w:pPr>
                      <w:r>
                        <w:rPr/>
                        <w:t>Duke Energy International</w:t>
                      </w:r>
                    </w:p>
                    <w:p>
                      <w:pPr>
                        <w:pStyle w:val="Normal"/>
                        <w:tabs>
                          <w:tab w:val="clear" w:pos="720"/>
                          <w:tab w:val="left" w:pos="-1080" w:leader="none"/>
                          <w:tab w:val="left" w:pos="-720" w:leader="none"/>
                          <w:tab w:val="left" w:pos="1" w:leader="none"/>
                          <w:tab w:val="left" w:pos="693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P.O. Box 1642</w:t>
                      </w:r>
                    </w:p>
                    <w:p>
                      <w:pPr>
                        <w:pStyle w:val="Normal"/>
                        <w:tabs>
                          <w:tab w:val="clear" w:pos="720"/>
                          <w:tab w:val="left" w:pos="-1080" w:leader="none"/>
                          <w:tab w:val="left" w:pos="-720" w:leader="none"/>
                          <w:tab w:val="left" w:pos="1" w:leader="none"/>
                          <w:tab w:val="left" w:pos="693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Houston, Texas 77251-1642</w:t>
                      </w:r>
                    </w:p>
                    <w:p>
                      <w:pPr>
                        <w:pStyle w:val="Normal"/>
                        <w:tabs>
                          <w:tab w:val="clear" w:pos="720"/>
                          <w:tab w:val="left" w:pos="-1080" w:leader="none"/>
                          <w:tab w:val="left" w:pos="-720" w:leader="none"/>
                          <w:tab w:val="left" w:pos="1" w:leader="none"/>
                          <w:tab w:val="left" w:pos="693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5400 Westheimer Court</w:t>
                      </w:r>
                    </w:p>
                    <w:p>
                      <w:pPr>
                        <w:pStyle w:val="Normal"/>
                        <w:tabs>
                          <w:tab w:val="clear" w:pos="720"/>
                          <w:tab w:val="left" w:pos="-1080" w:leader="none"/>
                          <w:tab w:val="left" w:pos="-720" w:leader="none"/>
                          <w:tab w:val="left" w:pos="1" w:leader="none"/>
                          <w:tab w:val="left" w:pos="693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Houston, Texas 77056-5310</w:t>
                      </w:r>
                    </w:p>
                    <w:p>
                      <w:pPr>
                        <w:pStyle w:val="Normal"/>
                        <w:tabs>
                          <w:tab w:val="clear" w:pos="720"/>
                          <w:tab w:val="left" w:pos="-1080" w:leader="none"/>
                          <w:tab w:val="left" w:pos="-720" w:leader="none"/>
                          <w:tab w:val="left" w:pos="1" w:leader="none"/>
                          <w:tab w:val="left" w:pos="693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(713) 627-5600</w:t>
                      </w:r>
                    </w:p>
                    <w:p>
                      <w:pPr>
                        <w:pStyle w:val="Normal"/>
                        <w:jc w:val="both"/>
                        <w:rPr>
                          <w:sz w:val="14"/>
                        </w:rPr>
                      </w:pPr>
                      <w:r>
                        <w:rPr>
                          <w:sz w:val="14"/>
                        </w:rPr>
                        <w:t>Fax: 713 627-5905</w:t>
                      </w:r>
                    </w:p>
                  </w:txbxContent>
                </v:textbox>
                <w10:wrap type="square"/>
              </v:rect>
            </w:pict>
          </mc:Fallback>
        </mc:AlternateContent>
      </w:r>
    </w:p>
    <w:p>
      <w:pPr>
        <w:pStyle w:val="BodyText"/>
        <w:tabs>
          <w:tab w:val="clear" w:pos="720"/>
          <w:tab w:val="left" w:pos="9630" w:leader="none"/>
        </w:tabs>
        <w:jc w:val="both"/>
        <w:rPr>
          <w:rFonts w:ascii="Tms Rmn" w:hAnsi="Tms Rmn" w:cs="Tms Rmn"/>
        </w:rPr>
      </w:pPr>
      <w:bookmarkStart w:id="0" w:name="_991744332"/>
      <w:bookmarkEnd w:id="0"/>
      <w:r>
        <w:rPr>
          <w:rFonts w:cs="Tms Rmn" w:ascii="Tms Rmn" w:hAnsi="Tms Rmn"/>
        </w:rPr>
        <w:object w:dxaOrig="3861" w:dyaOrig="142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93.05pt;height:71.05pt" filled="f" o:ole="">
            <v:imagedata r:id="rId3" o:title=""/>
          </v:shape>
          <o:OLEObject Type="Embed" ProgID="" ShapeID="ole_rId2" DrawAspect="Content" ObjectID="_2055074659" r:id="rId2"/>
        </w:object>
      </w:r>
    </w:p>
    <w:p>
      <w:pPr>
        <w:pStyle w:val="BodyText"/>
        <w:tabs>
          <w:tab w:val="clear" w:pos="720"/>
          <w:tab w:val="left" w:pos="9630" w:leader="none"/>
        </w:tabs>
        <w:jc w:val="both"/>
        <w:rPr>
          <w:rFonts w:ascii="Tms Rmn" w:hAnsi="Tms Rmn" w:cs="Tms Rmn"/>
        </w:rPr>
      </w:pPr>
      <w:r>
        <w:rPr>
          <w:rFonts w:cs="Tms Rmn" w:ascii="Tms Rmn" w:hAnsi="Tms Rmn"/>
        </w:rPr>
      </w:r>
    </w:p>
    <w:p>
      <w:pPr>
        <w:pStyle w:val="Normal"/>
        <w:jc w:val="both"/>
        <w:rPr>
          <w:rFonts w:ascii="Tms Rmn" w:hAnsi="Tms Rmn" w:cs="Tms Rmn"/>
        </w:rPr>
      </w:pPr>
      <w:r>
        <w:rPr>
          <w:rFonts w:cs="Tms Rmn" w:ascii="Tms Rmn" w:hAnsi="Tms Rmn"/>
        </w:rPr>
      </w:r>
    </w:p>
    <w:p>
      <w:pPr>
        <w:pStyle w:val="Normal"/>
        <w:ind w:firstLine="720" w:start="3600" w:end="0"/>
        <w:jc w:val="center"/>
        <w:rPr/>
      </w:pPr>
      <w:r>
        <w:rPr/>
        <w:t>November 26, 2001</w:t>
      </w:r>
    </w:p>
    <w:p>
      <w:pPr>
        <w:pStyle w:val="Normal"/>
        <w:jc w:val="center"/>
        <w:rPr/>
      </w:pPr>
      <w:r>
        <w:rPr/>
      </w:r>
    </w:p>
    <w:p>
      <w:pPr>
        <w:pStyle w:val="Normal"/>
        <w:jc w:val="center"/>
        <w:rPr/>
      </w:pPr>
      <w:r>
        <w:rPr/>
      </w:r>
    </w:p>
    <w:p>
      <w:pPr>
        <w:pStyle w:val="Normal"/>
        <w:autoSpaceDE w:val="false"/>
        <w:spacing w:lineRule="atLeast" w:line="240"/>
        <w:jc w:val="both"/>
        <w:rPr>
          <w:rFonts w:eastAsia="Arial"/>
          <w:color w:val="000000"/>
        </w:rPr>
      </w:pPr>
      <w:r>
        <w:rPr>
          <w:rFonts w:eastAsia="Arial"/>
          <w:color w:val="000000"/>
        </w:rPr>
        <w:t xml:space="preserve"> </w:t>
      </w:r>
    </w:p>
    <w:p>
      <w:pPr>
        <w:pStyle w:val="Normal"/>
        <w:rPr>
          <w:lang w:val="es-AR"/>
        </w:rPr>
      </w:pPr>
      <w:r>
        <w:rPr>
          <w:lang w:val="es-AR"/>
        </w:rPr>
        <w:t>Mr. Federico Cerisoli</w:t>
      </w:r>
    </w:p>
    <w:p>
      <w:pPr>
        <w:pStyle w:val="Normal"/>
        <w:rPr>
          <w:lang w:val="es-AR"/>
        </w:rPr>
      </w:pPr>
      <w:r>
        <w:rPr>
          <w:lang w:val="es-AR"/>
        </w:rPr>
        <w:t>Enron America del Sur S.A.</w:t>
      </w:r>
    </w:p>
    <w:p>
      <w:pPr>
        <w:pStyle w:val="Normal"/>
        <w:rPr>
          <w:lang w:val="es-AR"/>
        </w:rPr>
      </w:pPr>
      <w:r>
        <w:rPr>
          <w:lang w:val="es-AR"/>
        </w:rPr>
        <w:t>Av. Eduardo Madero 900. Piso 18°</w:t>
      </w:r>
    </w:p>
    <w:p>
      <w:pPr>
        <w:pStyle w:val="Normal"/>
        <w:rPr/>
      </w:pPr>
      <w:r>
        <w:rPr/>
        <w:t>Buenos Aires</w:t>
      </w:r>
    </w:p>
    <w:p>
      <w:pPr>
        <w:pStyle w:val="Heading4"/>
        <w:ind w:hanging="0" w:start="0"/>
        <w:rPr/>
      </w:pPr>
      <w:r>
        <w:rPr>
          <w:rPrChange w:id="0" w:author="Unknown" w:date="0-00-00T00:00:00Z"/>
        </w:rPr>
        <w:t>Argentina</w:t>
      </w:r>
    </w:p>
    <w:p>
      <w:pPr>
        <w:pStyle w:val="Normal"/>
        <w:rPr/>
      </w:pPr>
      <w:r>
        <w:rPr/>
      </w:r>
    </w:p>
    <w:p>
      <w:pPr>
        <w:pStyle w:val="Normal"/>
        <w:rPr/>
      </w:pPr>
      <w:r>
        <w:rPr/>
      </w:r>
    </w:p>
    <w:p>
      <w:pPr>
        <w:pStyle w:val="Heading3"/>
        <w:ind w:hanging="0" w:start="0"/>
        <w:jc w:val="start"/>
        <w:rPr>
          <w:lang w:val="en-US"/>
        </w:rPr>
      </w:pPr>
      <w:r>
        <w:rPr>
          <w:lang w:val="en-US"/>
        </w:rPr>
        <w:t>Re:</w:t>
        <w:tab/>
        <w:t xml:space="preserve">Potential Acquisition of “Modesto Maranzana Power Plant”  </w:t>
      </w:r>
    </w:p>
    <w:p>
      <w:pPr>
        <w:pStyle w:val="Normal"/>
        <w:ind w:hanging="720" w:start="1440" w:end="0"/>
        <w:rPr>
          <w:lang w:val="en-US"/>
        </w:rPr>
      </w:pPr>
      <w:r>
        <w:rPr>
          <w:lang w:val="en-US"/>
        </w:rPr>
      </w:r>
    </w:p>
    <w:p>
      <w:pPr>
        <w:pStyle w:val="Normal"/>
        <w:rPr>
          <w:rFonts w:eastAsia="Arial"/>
        </w:rPr>
      </w:pPr>
      <w:r>
        <w:rPr>
          <w:rFonts w:eastAsia="Arial"/>
        </w:rPr>
        <w:t xml:space="preserve"> </w:t>
      </w:r>
    </w:p>
    <w:p>
      <w:pPr>
        <w:pStyle w:val="BodyText"/>
        <w:jc w:val="both"/>
        <w:rPr/>
      </w:pPr>
      <w:r>
        <w:rPr/>
        <w:tab/>
        <w:t xml:space="preserve">Duke Energy International, L.L.C. ("DEI") is pleased to make this preliminary non-binding proposal for the acquisition by DEI or a designated affiliate of the Modesto Maranzana Power Plant as an on-going business, located in the City of Rio Cuarto, Province of Córdoba, Republic of Argentina (the “Asset”). </w:t>
      </w:r>
    </w:p>
    <w:p>
      <w:pPr>
        <w:pStyle w:val="Normal"/>
        <w:jc w:val="both"/>
        <w:rPr/>
      </w:pPr>
      <w:r>
        <w:rPr/>
      </w:r>
    </w:p>
    <w:p>
      <w:pPr>
        <w:pStyle w:val="Normal"/>
        <w:jc w:val="both"/>
        <w:rPr/>
      </w:pPr>
      <w:r>
        <w:rPr/>
        <w:tab/>
        <w:t>Based on the limited information available to DEI, DEI's non-binding indicative cash value for the Asset is currently US$ 9,000,000 (nine million dollars).</w:t>
      </w:r>
    </w:p>
    <w:p>
      <w:pPr>
        <w:pStyle w:val="Normal"/>
        <w:jc w:val="both"/>
        <w:rPr/>
      </w:pPr>
      <w:r>
        <w:rPr/>
      </w:r>
    </w:p>
    <w:p>
      <w:pPr>
        <w:pStyle w:val="Normal"/>
        <w:jc w:val="both"/>
        <w:rPr/>
      </w:pPr>
      <w:r>
        <w:rPr/>
        <w:tab/>
        <w:t>Some critical assumptions utilized to reach  the above valuation include:</w:t>
      </w:r>
    </w:p>
    <w:p>
      <w:pPr>
        <w:pStyle w:val="Normal"/>
        <w:jc w:val="both"/>
        <w:rPr/>
      </w:pPr>
      <w:r>
        <w:rPr/>
      </w:r>
    </w:p>
    <w:p>
      <w:pPr>
        <w:pStyle w:val="Normal"/>
        <w:jc w:val="both"/>
        <w:rPr/>
      </w:pPr>
      <w:r>
        <w:rPr/>
        <w:tab/>
        <w:t>1.- Continued applicability of Municipal and Provincial tax exemptions.</w:t>
      </w:r>
    </w:p>
    <w:p>
      <w:pPr>
        <w:pStyle w:val="BodyTextIndent2"/>
        <w:rPr/>
      </w:pPr>
      <w:r>
        <w:rPr/>
        <w:tab/>
        <w:t>2.- Price of gas (including distribution and transportation costs) at current market value (no take or pay assumed).</w:t>
      </w:r>
    </w:p>
    <w:p>
      <w:pPr>
        <w:pStyle w:val="Normal"/>
        <w:ind w:start="709" w:end="0"/>
        <w:jc w:val="both"/>
        <w:rPr/>
      </w:pPr>
      <w:r>
        <w:rPr/>
        <w:t>3.- Revenues in Argentine Pesos.</w:t>
      </w:r>
    </w:p>
    <w:p>
      <w:pPr>
        <w:pStyle w:val="Normal"/>
        <w:ind w:start="709" w:end="0"/>
        <w:jc w:val="both"/>
        <w:rPr/>
      </w:pPr>
      <w:r>
        <w:rPr/>
        <w:t>4.- Dispatch according to current market rules.Terms and conditions of CVP and power contracts as currently declared to Cammesa.</w:t>
      </w:r>
    </w:p>
    <w:p>
      <w:pPr>
        <w:pStyle w:val="Normal"/>
        <w:ind w:start="709" w:end="0"/>
        <w:jc w:val="both"/>
        <w:rPr/>
      </w:pPr>
      <w:r>
        <w:rPr/>
        <w:t>5.- Collective Bargaining Agreement for Unionized Employees provided 16.2 month yearly salaries.</w:t>
      </w:r>
    </w:p>
    <w:p>
      <w:pPr>
        <w:pStyle w:val="Normal"/>
        <w:jc w:val="both"/>
        <w:rPr/>
      </w:pPr>
      <w:r>
        <w:rPr/>
      </w:r>
    </w:p>
    <w:p>
      <w:pPr>
        <w:pStyle w:val="Normal"/>
        <w:jc w:val="both"/>
        <w:rPr>
          <w:rFonts w:eastAsia="Arial"/>
        </w:rPr>
      </w:pPr>
      <w:r>
        <w:rPr>
          <w:rFonts w:eastAsia="Arial"/>
        </w:rPr>
        <w:t xml:space="preserve">  </w:t>
      </w:r>
    </w:p>
    <w:p>
      <w:pPr>
        <w:pStyle w:val="Normal"/>
        <w:jc w:val="both"/>
        <w:rPr/>
      </w:pPr>
      <w:r>
        <w:rPr>
          <w:rFonts w:eastAsia="Arial"/>
        </w:rPr>
        <w:t xml:space="preserve">     </w:t>
      </w:r>
      <w:r>
        <w:rPr/>
        <w:tab/>
        <w:t xml:space="preserve">The valuation contained hereinabove is preliminary and subject to a detailed review of the Asset and customary due diligence which will include, but not be limited to, legal corporate, technical, accounting, tax, environmental, human resources and risk management information. Further, any transaction in connection with the acquisition of the Asset would be subject to DEI and Duke Energy Corporation management and board approvals and the execution of a definitive purchase agreement. </w:t>
      </w:r>
    </w:p>
    <w:p>
      <w:pPr>
        <w:pStyle w:val="Normal"/>
        <w:jc w:val="both"/>
        <w:rPr/>
      </w:pPr>
      <w:r>
        <w:rPr/>
      </w:r>
    </w:p>
    <w:p>
      <w:pPr>
        <w:pStyle w:val="Normal"/>
        <w:ind w:firstLine="720" w:end="0"/>
        <w:jc w:val="both"/>
        <w:rPr/>
      </w:pPr>
      <w:r>
        <w:rPr/>
        <w:t xml:space="preserve">This is intended to constitute a non-binding indicative offer. In addition, essential terms that are required in order to establish a binding agreement for the sale of the Asset have been neither agreed upon or discussed herein.  The statements or understandings in this letter shall not be deemed to constitute any offer, acceptance, or legally binding agreement and do not create any rights or obligations for or on the part DEI, including, but not limited to any right or obligation to utilize best efforts or good faith efforts to negotiate a binding purchase and sale agreement in connection with the Asset. </w:t>
      </w:r>
    </w:p>
    <w:p>
      <w:pPr>
        <w:pStyle w:val="Normal"/>
        <w:jc w:val="both"/>
        <w:rPr/>
      </w:pPr>
      <w:r>
        <w:rPr/>
      </w:r>
    </w:p>
    <w:p>
      <w:pPr>
        <w:pStyle w:val="Normal"/>
        <w:jc w:val="both"/>
        <w:rPr/>
      </w:pPr>
      <w:r>
        <w:rPr/>
        <w:tab/>
        <w:t xml:space="preserve">Additionally, DEI is interested in pursuing discussions regarding a possible acquisition of Enron’s gas and power books in Argentina. </w:t>
      </w:r>
    </w:p>
    <w:p>
      <w:pPr>
        <w:pStyle w:val="Normal"/>
        <w:jc w:val="both"/>
        <w:rPr>
          <w:rFonts w:eastAsia="Arial"/>
        </w:rPr>
      </w:pPr>
      <w:r>
        <w:rPr>
          <w:rFonts w:eastAsia="Arial"/>
        </w:rPr>
        <w:t xml:space="preserve"> </w:t>
      </w:r>
    </w:p>
    <w:p>
      <w:pPr>
        <w:pStyle w:val="Normal"/>
        <w:jc w:val="both"/>
        <w:rPr/>
      </w:pPr>
      <w:r>
        <w:rPr/>
        <w:t>DEI is making this proposal with the understanding that the price and other terms of its proposal, as well as the fact that discussions between DEI and Enron America del Sur S.A. are taking place, are confidential and that you may not disclose such confidential matters to anyone.</w:t>
      </w:r>
    </w:p>
    <w:p>
      <w:pPr>
        <w:pStyle w:val="Normal"/>
        <w:jc w:val="both"/>
        <w:rPr/>
      </w:pPr>
      <w:r>
        <w:rPr/>
      </w:r>
    </w:p>
    <w:p>
      <w:pPr>
        <w:pStyle w:val="Normal"/>
        <w:jc w:val="both"/>
        <w:rPr/>
      </w:pPr>
      <w:r>
        <w:rPr/>
        <w:tab/>
        <w:t>DEI is excited about the potential prospect of acquiring the Asset.  If you wish to pursue discussions with respect to a possible acquisition of the Asset or to discuss a possible sale of Enron’s Argentine power and gas books, please contact me at your earliest convenience at 54 11 4875-0000.</w:t>
      </w:r>
    </w:p>
    <w:p>
      <w:pPr>
        <w:pStyle w:val="Normal"/>
        <w:jc w:val="both"/>
        <w:rPr/>
      </w:pPr>
      <w:r>
        <w:rPr/>
      </w:r>
    </w:p>
    <w:p>
      <w:pPr>
        <w:pStyle w:val="Normal"/>
        <w:jc w:val="both"/>
        <w:rPr/>
      </w:pPr>
      <w:r>
        <w:rPr/>
        <w:tab/>
        <w:tab/>
        <w:tab/>
        <w:tab/>
        <w:tab/>
        <w:tab/>
        <w:t>Very truly yours,</w:t>
      </w:r>
    </w:p>
    <w:p>
      <w:pPr>
        <w:pStyle w:val="Normal"/>
        <w:jc w:val="both"/>
        <w:rPr/>
      </w:pPr>
      <w:r>
        <w:rPr/>
      </w:r>
    </w:p>
    <w:p>
      <w:pPr>
        <w:pStyle w:val="Normal"/>
        <w:jc w:val="both"/>
        <w:rPr/>
      </w:pPr>
      <w:r>
        <w:rPr/>
        <w:tab/>
        <w:tab/>
        <w:tab/>
        <w:tab/>
        <w:tab/>
        <w:tab/>
        <w:t>DUKE ENERGY INTERNATIONAL, L.L.C.</w:t>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By:</w:t>
      </w:r>
      <w:r>
        <w:rPr>
          <w:u w:val="single"/>
        </w:rPr>
        <w:tab/>
        <w:tab/>
        <w:tab/>
        <w:tab/>
        <w:tab/>
        <w:tab/>
      </w:r>
    </w:p>
    <w:p>
      <w:pPr>
        <w:pStyle w:val="Normal"/>
        <w:jc w:val="both"/>
        <w:rPr>
          <w:u w:val="single"/>
        </w:rPr>
      </w:pPr>
      <w:r>
        <w:rPr>
          <w:u w:val="single"/>
        </w:rPr>
      </w:r>
    </w:p>
    <w:p>
      <w:pPr>
        <w:pStyle w:val="Normal"/>
        <w:jc w:val="both"/>
        <w:rPr/>
      </w:pPr>
      <w:r>
        <w:rPr/>
        <w:tab/>
        <w:tab/>
        <w:tab/>
        <w:tab/>
        <w:tab/>
        <w:tab/>
        <w:t>Name:</w:t>
        <w:tab/>
        <w:t>Erik Ludtke</w:t>
      </w:r>
    </w:p>
    <w:p>
      <w:pPr>
        <w:pStyle w:val="Normal"/>
        <w:jc w:val="both"/>
        <w:rPr/>
      </w:pPr>
      <w:r>
        <w:rPr>
          <w:rFonts w:eastAsia="Arial"/>
        </w:rPr>
        <w:t xml:space="preserve">                                 </w:t>
      </w:r>
      <w:r>
        <w:rPr/>
        <w:tab/>
        <w:tab/>
        <w:tab/>
        <w:t>Title:</w:t>
        <w:tab/>
        <w:t>Vice-President</w:t>
      </w:r>
    </w:p>
    <w:sectPr>
      <w:type w:val="nextPage"/>
      <w:pgSz w:w="12240" w:h="15840"/>
      <w:pgMar w:left="1701" w:right="1701" w:gutter="0" w:header="0" w:top="1701" w:footer="0"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tabs>
        <w:tab w:val="clear" w:pos="720"/>
        <w:tab w:val="left" w:pos="-1080" w:leader="none"/>
        <w:tab w:val="left" w:pos="-720" w:leader="none"/>
        <w:tab w:val="left" w:pos="1" w:leader="none"/>
        <w:tab w:val="left" w:pos="693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outlineLvl w:val="1"/>
    </w:pPr>
    <w:rPr>
      <w:b/>
      <w:sz w:val="14"/>
    </w:rPr>
  </w:style>
  <w:style w:type="paragraph" w:styleId="Heading3">
    <w:name w:val="heading 3"/>
    <w:basedOn w:val="Normal"/>
    <w:next w:val="Normal"/>
    <w:qFormat/>
    <w:pPr>
      <w:keepNext w:val="true"/>
      <w:numPr>
        <w:ilvl w:val="2"/>
        <w:numId w:val="1"/>
      </w:numPr>
      <w:jc w:val="center"/>
      <w:outlineLvl w:val="2"/>
    </w:pPr>
    <w:rPr>
      <w:b/>
      <w:bCs/>
      <w:lang w:val="es-AR"/>
    </w:rPr>
  </w:style>
  <w:style w:type="paragraph" w:styleId="Heading4">
    <w:name w:val="heading 4"/>
    <w:basedOn w:val="Normal"/>
    <w:next w:val="Normal"/>
    <w:qFormat/>
    <w:pPr>
      <w:keepNext w:val="true"/>
      <w:numPr>
        <w:ilvl w:val="3"/>
        <w:numId w:val="1"/>
      </w:numPr>
      <w:outlineLvl w:val="3"/>
    </w:pPr>
    <w:rPr>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DefaultParagraphFont">
    <w:name w:val="Default Paragraph Font"/>
    <w:qFormat/>
    <w:rPr/>
  </w:style>
  <w:style w:type="character" w:styleId="MessageHeaderLabel">
    <w:name w:val="Message Header Label"/>
    <w:qFormat/>
    <w:rPr>
      <w:b/>
      <w:caps/>
      <w:sz w:val="20"/>
    </w:rPr>
  </w:style>
  <w:style w:type="character" w:styleId="Checkbox">
    <w:name w:val="Checkbox"/>
    <w:qFormat/>
    <w:rPr>
      <w:rFonts w:ascii="Times New Roman" w:hAnsi="Times New Roman" w:cs="Times New Roman"/>
      <w:spacing w:val="0"/>
      <w:sz w:val="22"/>
    </w:rPr>
  </w:style>
  <w:style w:type="character" w:styleId="Emphasis">
    <w:name w:val="Emphasis"/>
    <w:qFormat/>
    <w:rPr>
      <w:rFonts w:ascii="Arial Black" w:hAnsi="Arial Black" w:cs="Arial Black"/>
      <w:sz w:val="18"/>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essageHeader">
    <w:name w:val="Message Header"/>
    <w:basedOn w:val="BodyText"/>
    <w:qFormat/>
    <w:pPr>
      <w:keepLines/>
      <w:tabs>
        <w:tab w:val="clear" w:pos="720"/>
        <w:tab w:val="left" w:pos="3600" w:leader="none"/>
        <w:tab w:val="left" w:pos="4680" w:leader="none"/>
      </w:tabs>
      <w:ind w:hanging="1080" w:start="1080" w:end="0"/>
    </w:pPr>
    <w:rPr>
      <w:sz w:val="22"/>
    </w:rPr>
  </w:style>
  <w:style w:type="paragraph" w:styleId="Pages">
    <w:name w:val="Pages"/>
    <w:basedOn w:val="BodyText"/>
    <w:next w:val="Heading1"/>
    <w:qFormat/>
    <w:pPr/>
    <w:rPr>
      <w:sz w:val="22"/>
    </w:rPr>
  </w:style>
  <w:style w:type="paragraph" w:styleId="DocumentLabel">
    <w:name w:val="Document Label"/>
    <w:basedOn w:val="Normal"/>
    <w:next w:val="BodyText"/>
    <w:qFormat/>
    <w:pPr>
      <w:keepNext w:val="true"/>
      <w:keepLines/>
      <w:spacing w:before="360" w:after="480"/>
    </w:pPr>
    <w:rPr>
      <w:caps/>
      <w:spacing w:val="180"/>
      <w:kern w:val="2"/>
      <w:sz w:val="32"/>
    </w:rPr>
  </w:style>
  <w:style w:type="paragraph" w:styleId="MessageHeaderFirst">
    <w:name w:val="Message Header First"/>
    <w:basedOn w:val="MessageHeader"/>
    <w:next w:val="MessageHeader"/>
    <w:qFormat/>
    <w:pPr>
      <w:spacing w:before="120" w:after="1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MessageHeaderLast">
    <w:name w:val="Message Header Last"/>
    <w:basedOn w:val="MessageHeader"/>
    <w:next w:val="BodyText"/>
    <w:qFormat/>
    <w:pPr>
      <w:pBdr>
        <w:bottom w:val="single" w:sz="6" w:space="19" w:color="000000"/>
      </w:pBdr>
      <w:tabs>
        <w:tab w:val="clear" w:pos="3600"/>
        <w:tab w:val="clear" w:pos="4680"/>
        <w:tab w:val="left" w:pos="1260" w:leader="none"/>
        <w:tab w:val="left" w:pos="2940" w:leader="none"/>
        <w:tab w:val="left" w:pos="5040" w:leader="none"/>
        <w:tab w:val="right" w:pos="8640" w:leader="none"/>
      </w:tabs>
      <w:spacing w:lineRule="atLeast" w:line="440" w:before="120" w:after="120"/>
      <w:ind w:hanging="0" w:start="0" w:end="0"/>
    </w:pPr>
    <w:rPr>
      <w:spacing w:val="-5"/>
      <w:sz w:val="20"/>
    </w:rPr>
  </w:style>
  <w:style w:type="paragraph" w:styleId="BodyText2">
    <w:name w:val="Body Text 2"/>
    <w:basedOn w:val="Normal"/>
    <w:qFormat/>
    <w:pPr>
      <w:tabs>
        <w:tab w:val="clear" w:pos="720"/>
        <w:tab w:val="left" w:pos="-1080" w:leader="none"/>
        <w:tab w:val="left" w:pos="-720" w:leader="none"/>
        <w:tab w:val="left" w:pos="1" w:leader="none"/>
        <w:tab w:val="left" w:pos="693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pPr>
    <w:rPr>
      <w:b/>
      <w:sz w:val="17"/>
    </w:rPr>
  </w:style>
  <w:style w:type="paragraph" w:styleId="BodyTextIndent">
    <w:name w:val="Body Text Indent"/>
    <w:basedOn w:val="Normal"/>
    <w:pPr>
      <w:ind w:firstLine="720" w:start="0" w:end="0"/>
      <w:jc w:val="both"/>
    </w:pPr>
    <w:rPr>
      <w:rFonts w:ascii="Times New Roman" w:hAnsi="Times New Roman" w:cs="Times New Roman"/>
    </w:rPr>
  </w:style>
  <w:style w:type="paragraph" w:styleId="BodyTextIndent2">
    <w:name w:val="Body Text Indent 2"/>
    <w:basedOn w:val="Normal"/>
    <w:qFormat/>
    <w:pPr>
      <w:ind w:hanging="0" w:start="709" w:end="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2001-11-26T17:07:00Z</dcterms:created>
  <dc:creator>PanEnergy</dc:creator>
  <dc:description/>
  <dc:language>en-CA</dc:language>
  <cp:lastModifiedBy>Alejandro Suarez Boedo</cp:lastModifiedBy>
  <cp:lastPrinted>2001-10-26T14:56:00Z</cp:lastPrinted>
  <dcterms:modified xsi:type="dcterms:W3CDTF">2001-11-26T17:25:00Z</dcterms:modified>
  <cp:revision>3</cp:revision>
  <dc:subject/>
  <dc:title>Duke Energy International Corp</dc:title>
</cp:coreProperties>
</file>