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Heading1"/>
        <w:ind w:hanging="0" w:start="0"/>
        <w:rPr>
          <w:sz w:val="24"/>
        </w:rPr>
      </w:pPr>
      <w:r>
        <w:rPr>
          <w:sz w:val="24"/>
        </w:rPr>
        <w:t>PPL Wallingford Energy – Indicative Tolling Proposal from Enron</w:t>
      </w:r>
    </w:p>
    <w:p>
      <w:pPr>
        <w:pStyle w:val="Normal"/>
        <w:rPr>
          <w:sz w:val="20"/>
        </w:rPr>
      </w:pPr>
      <w:r>
        <w:rPr>
          <w:sz w:val="20"/>
        </w:rPr>
        <w:tab/>
        <w:t>Summary of Key Terms from October 4, 2001 RFP – Confidential Document</w:t>
      </w:r>
    </w:p>
    <w:p>
      <w:pPr>
        <w:pStyle w:val="Normal"/>
        <w:rPr>
          <w:sz w:val="20"/>
        </w:rPr>
      </w:pPr>
      <w:r>
        <w:rPr>
          <w:sz w:val="20"/>
        </w:rPr>
      </w:r>
    </w:p>
    <w:p>
      <w:pPr>
        <w:pStyle w:val="Normal"/>
        <w:rPr>
          <w:sz w:val="20"/>
        </w:rPr>
      </w:pPr>
      <w:r>
        <w:rPr>
          <w:sz w:val="20"/>
        </w:rPr>
      </w:r>
    </w:p>
    <w:p>
      <w:pPr>
        <w:pStyle w:val="Normal"/>
        <w:rPr>
          <w:sz w:val="20"/>
        </w:rPr>
      </w:pPr>
      <w:r>
        <w:rPr>
          <w:sz w:val="20"/>
        </w:rPr>
        <w:t>Scope:</w:t>
        <w:tab/>
        <w:tab/>
        <w:t>Tolling for three units at the PPL Wallingford facility</w:t>
      </w:r>
    </w:p>
    <w:p>
      <w:pPr>
        <w:pStyle w:val="Normal"/>
        <w:rPr>
          <w:sz w:val="20"/>
        </w:rPr>
      </w:pPr>
      <w:r>
        <w:rPr>
          <w:sz w:val="20"/>
        </w:rPr>
      </w:r>
    </w:p>
    <w:p>
      <w:pPr>
        <w:pStyle w:val="Normal"/>
        <w:rPr>
          <w:sz w:val="20"/>
        </w:rPr>
      </w:pPr>
      <w:r>
        <w:rPr>
          <w:sz w:val="20"/>
        </w:rPr>
        <w:t xml:space="preserve">Term: </w:t>
        <w:tab/>
        <w:tab/>
        <w:t>Five years commencing January 1, 2002</w:t>
      </w:r>
    </w:p>
    <w:p>
      <w:pPr>
        <w:pStyle w:val="Normal"/>
        <w:rPr>
          <w:sz w:val="20"/>
        </w:rPr>
      </w:pPr>
      <w:r>
        <w:rPr>
          <w:sz w:val="20"/>
        </w:rPr>
      </w:r>
    </w:p>
    <w:p>
      <w:pPr>
        <w:pStyle w:val="Normal"/>
        <w:rPr>
          <w:sz w:val="20"/>
        </w:rPr>
      </w:pPr>
      <w:r>
        <w:rPr>
          <w:sz w:val="20"/>
        </w:rPr>
        <w:t>Products:</w:t>
        <w:tab/>
        <w:t>Energy, ICAP, TMNSR, TMOR, and all other existing or future ancillary services</w:t>
      </w:r>
    </w:p>
    <w:p>
      <w:pPr>
        <w:pStyle w:val="Normal"/>
        <w:rPr>
          <w:sz w:val="20"/>
        </w:rPr>
      </w:pPr>
      <w:r>
        <w:rPr>
          <w:sz w:val="20"/>
        </w:rPr>
      </w:r>
    </w:p>
    <w:p>
      <w:pPr>
        <w:pStyle w:val="Normal"/>
        <w:rPr>
          <w:sz w:val="20"/>
        </w:rPr>
      </w:pPr>
      <w:r>
        <w:rPr>
          <w:sz w:val="20"/>
        </w:rPr>
        <w:t>Capacity:</w:t>
        <w:tab/>
        <w:t>Seasonal Claimed Capability which is currently 40 MW Summer and 50 MW Winter</w:t>
      </w:r>
    </w:p>
    <w:p>
      <w:pPr>
        <w:pStyle w:val="Normal"/>
        <w:rPr>
          <w:sz w:val="20"/>
        </w:rPr>
      </w:pPr>
      <w:r>
        <w:rPr>
          <w:sz w:val="20"/>
        </w:rPr>
      </w:r>
    </w:p>
    <w:p>
      <w:pPr>
        <w:pStyle w:val="Normal"/>
        <w:rPr>
          <w:sz w:val="20"/>
        </w:rPr>
      </w:pPr>
      <w:r>
        <w:rPr>
          <w:sz w:val="20"/>
        </w:rPr>
        <w:t>Fuel Supply:</w:t>
        <w:tab/>
        <w:t>We would prefer PPL to arrange fuel supply but are willing to discuss</w:t>
      </w:r>
    </w:p>
    <w:p>
      <w:pPr>
        <w:pStyle w:val="Normal"/>
        <w:rPr>
          <w:sz w:val="20"/>
        </w:rPr>
      </w:pPr>
      <w:r>
        <w:rPr>
          <w:sz w:val="20"/>
        </w:rPr>
      </w:r>
    </w:p>
    <w:p>
      <w:pPr>
        <w:pStyle w:val="Normal"/>
        <w:rPr>
          <w:sz w:val="20"/>
        </w:rPr>
      </w:pPr>
      <w:r>
        <w:rPr>
          <w:sz w:val="20"/>
        </w:rPr>
        <w:t>Energy Delivery</w:t>
      </w:r>
    </w:p>
    <w:p>
      <w:pPr>
        <w:pStyle w:val="Normal"/>
        <w:rPr>
          <w:sz w:val="20"/>
        </w:rPr>
      </w:pPr>
      <w:r>
        <w:rPr>
          <w:sz w:val="20"/>
        </w:rPr>
        <w:t>Point</w:t>
        <w:tab/>
        <w:tab/>
        <w:t>Per RFP</w:t>
      </w:r>
    </w:p>
    <w:p>
      <w:pPr>
        <w:pStyle w:val="Normal"/>
        <w:rPr>
          <w:sz w:val="20"/>
        </w:rPr>
      </w:pPr>
      <w:r>
        <w:rPr>
          <w:sz w:val="20"/>
        </w:rPr>
      </w:r>
    </w:p>
    <w:p>
      <w:pPr>
        <w:pStyle w:val="Normal"/>
        <w:rPr>
          <w:sz w:val="20"/>
        </w:rPr>
      </w:pPr>
      <w:r>
        <w:rPr>
          <w:sz w:val="20"/>
        </w:rPr>
        <w:t xml:space="preserve">Delivery </w:t>
      </w:r>
    </w:p>
    <w:p>
      <w:pPr>
        <w:pStyle w:val="Normal"/>
        <w:rPr>
          <w:sz w:val="20"/>
        </w:rPr>
      </w:pPr>
      <w:r>
        <w:rPr>
          <w:sz w:val="20"/>
        </w:rPr>
        <w:t>Availability:</w:t>
        <w:tab/>
        <w:t>As presented in RFP</w:t>
      </w:r>
    </w:p>
    <w:p>
      <w:pPr>
        <w:pStyle w:val="Normal"/>
        <w:rPr>
          <w:sz w:val="20"/>
        </w:rPr>
      </w:pPr>
      <w:r>
        <w:rPr>
          <w:sz w:val="20"/>
        </w:rPr>
      </w:r>
    </w:p>
    <w:p>
      <w:pPr>
        <w:pStyle w:val="Normal"/>
        <w:rPr>
          <w:sz w:val="20"/>
        </w:rPr>
      </w:pPr>
      <w:r>
        <w:rPr>
          <w:sz w:val="20"/>
        </w:rPr>
        <w:t>Heat Rate</w:t>
      </w:r>
    </w:p>
    <w:p>
      <w:pPr>
        <w:pStyle w:val="Normal"/>
        <w:rPr>
          <w:sz w:val="20"/>
        </w:rPr>
      </w:pPr>
      <w:r>
        <w:rPr>
          <w:sz w:val="20"/>
        </w:rPr>
        <w:t xml:space="preserve">Min Run and </w:t>
      </w:r>
    </w:p>
    <w:p>
      <w:pPr>
        <w:pStyle w:val="Normal"/>
        <w:rPr>
          <w:sz w:val="20"/>
        </w:rPr>
      </w:pPr>
      <w:r>
        <w:rPr>
          <w:sz w:val="20"/>
        </w:rPr>
        <w:t>Output:</w:t>
        <w:tab/>
        <w:tab/>
        <w:t>Per RFP</w:t>
      </w:r>
    </w:p>
    <w:p>
      <w:pPr>
        <w:pStyle w:val="Normal"/>
        <w:rPr>
          <w:sz w:val="20"/>
        </w:rPr>
      </w:pPr>
      <w:r>
        <w:rPr>
          <w:sz w:val="20"/>
        </w:rPr>
      </w:r>
    </w:p>
    <w:p>
      <w:pPr>
        <w:pStyle w:val="Normal"/>
        <w:rPr>
          <w:sz w:val="20"/>
        </w:rPr>
      </w:pPr>
      <w:r>
        <w:rPr>
          <w:sz w:val="20"/>
        </w:rPr>
        <w:t>Variable O&amp;M:</w:t>
        <w:tab/>
        <w:t>$1.50</w:t>
      </w:r>
    </w:p>
    <w:p>
      <w:pPr>
        <w:pStyle w:val="Normal"/>
        <w:rPr>
          <w:sz w:val="20"/>
        </w:rPr>
      </w:pPr>
      <w:r>
        <w:rPr>
          <w:sz w:val="20"/>
        </w:rPr>
      </w:r>
    </w:p>
    <w:p>
      <w:pPr>
        <w:pStyle w:val="Normal"/>
        <w:rPr>
          <w:sz w:val="20"/>
        </w:rPr>
      </w:pPr>
      <w:r>
        <w:rPr>
          <w:sz w:val="20"/>
        </w:rPr>
        <w:t>Fixed O&amp;M:</w:t>
        <w:tab/>
        <w:t>$1.50</w:t>
      </w:r>
    </w:p>
    <w:p>
      <w:pPr>
        <w:pStyle w:val="Normal"/>
        <w:rPr>
          <w:sz w:val="20"/>
        </w:rPr>
      </w:pPr>
      <w:r>
        <w:rPr>
          <w:sz w:val="20"/>
        </w:rPr>
      </w:r>
    </w:p>
    <w:p>
      <w:pPr>
        <w:pStyle w:val="Normal"/>
        <w:rPr>
          <w:sz w:val="20"/>
        </w:rPr>
      </w:pPr>
      <w:r>
        <w:rPr>
          <w:sz w:val="20"/>
        </w:rPr>
        <w:t>Start up</w:t>
        <w:tab/>
        <w:tab/>
        <w:t>$500 per unit startup</w:t>
      </w:r>
    </w:p>
    <w:p>
      <w:pPr>
        <w:pStyle w:val="Normal"/>
        <w:rPr>
          <w:sz w:val="20"/>
        </w:rPr>
      </w:pPr>
      <w:r>
        <w:rPr>
          <w:sz w:val="20"/>
        </w:rPr>
      </w:r>
    </w:p>
    <w:p>
      <w:pPr>
        <w:pStyle w:val="Normal"/>
        <w:rPr>
          <w:sz w:val="20"/>
        </w:rPr>
      </w:pPr>
      <w:r>
        <w:rPr>
          <w:sz w:val="20"/>
        </w:rPr>
        <w:t xml:space="preserve">Monthly </w:t>
      </w:r>
    </w:p>
    <w:p>
      <w:pPr>
        <w:pStyle w:val="Normal"/>
        <w:rPr>
          <w:sz w:val="20"/>
        </w:rPr>
      </w:pPr>
      <w:r>
        <w:rPr>
          <w:sz w:val="20"/>
        </w:rPr>
        <w:t>Capacity</w:t>
      </w:r>
    </w:p>
    <w:p>
      <w:pPr>
        <w:pStyle w:val="Normal"/>
        <w:rPr>
          <w:sz w:val="20"/>
        </w:rPr>
      </w:pPr>
      <w:r>
        <w:rPr>
          <w:sz w:val="20"/>
        </w:rPr>
        <w:t>Payment:</w:t>
        <w:tab/>
        <w:t>$2.25 per kW-month for term</w:t>
      </w:r>
    </w:p>
    <w:p>
      <w:pPr>
        <w:pStyle w:val="Normal"/>
        <w:rPr>
          <w:sz w:val="20"/>
        </w:rPr>
      </w:pPr>
      <w:r>
        <w:rPr>
          <w:sz w:val="20"/>
        </w:rPr>
      </w:r>
    </w:p>
    <w:p>
      <w:pPr>
        <w:pStyle w:val="BodyText"/>
        <w:rPr>
          <w:i w:val="false"/>
          <w:i w:val="false"/>
          <w:sz w:val="20"/>
        </w:rPr>
      </w:pPr>
      <w:r>
        <w:rPr>
          <w:i w:val="false"/>
          <w:sz w:val="20"/>
        </w:rPr>
      </w:r>
    </w:p>
    <w:p>
      <w:pPr>
        <w:pStyle w:val="BodyText"/>
        <w:rPr/>
      </w:pPr>
      <w:r>
        <w:rPr/>
        <w:t>All terms and conditions of this proposal are confidential between Buyer and Seller and their duly appointed agents.  The costs assumed in this proposal are subject to movement during the time period during which Buyer will evaluate this proposal.  This proposal is for discussion purposes only and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2001-10-19T17:36:00Z</dcterms:created>
  <dc:creator>gwood</dc:creator>
  <dc:description/>
  <dc:language>en-CA</dc:language>
  <cp:lastModifiedBy>gwood</cp:lastModifiedBy>
  <dcterms:modified xsi:type="dcterms:W3CDTF">2001-10-19T17:58:00Z</dcterms:modified>
  <cp:revision>2</cp:revision>
  <dc:subject/>
  <dc:title>PPL Wallingford Energy – Indicative Tolling Proposal from Enron</dc:title>
</cp:coreProperties>
</file>