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rPr/>
      </w:pPr>
      <w:r>
        <w:rPr/>
      </w:r>
    </w:p>
    <w:p>
      <w:pPr>
        <w:pStyle w:val="Normal"/>
        <w:spacing w:lineRule="exact" w:line="240"/>
        <w:rPr/>
      </w:pPr>
      <w:r>
        <w:rPr/>
      </w:r>
    </w:p>
    <w:p>
      <w:pPr>
        <w:pStyle w:val="Header"/>
        <w:tabs>
          <w:tab w:val="clear" w:pos="4320"/>
          <w:tab w:val="clear" w:pos="8640"/>
        </w:tabs>
        <w:spacing w:lineRule="exact" w:line="240"/>
        <w:rPr>
          <w:rFonts w:ascii="Arial" w:hAnsi="Arial" w:cs="Arial"/>
          <w:vanish/>
        </w:rPr>
      </w:pPr>
      <w:r>
        <w:rPr/>
      </w:r>
    </w:p>
    <w:p>
      <w:pPr>
        <w:pStyle w:val="WP9Heading1"/>
        <w:keepNext w:val="true"/>
        <w:keepLines/>
        <w:widowControl/>
        <w:rPr/>
      </w:pPr>
      <w:r>
        <w:rPr/>
        <w:t>INITIAL POSITION OF THE INDICATED PRODUCERS</w:t>
      </w:r>
    </w:p>
    <w:p>
      <w:pPr>
        <w:pStyle w:val="WP9Heading1"/>
        <w:keepLines/>
        <w:widowControl/>
        <w:rPr>
          <w:b w:val="false"/>
        </w:rPr>
      </w:pPr>
      <w:r>
        <w:rPr/>
        <w:t>ON PG&amp;E’S GAS ACCORD II MARKET STRUCTURE</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Level1"/>
        <w:widowControl/>
        <w:numPr>
          <w:ilvl w:val="0"/>
          <w:numId w:val="1"/>
        </w:numPr>
        <w:tabs>
          <w:tab w:val="clear" w:pos="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b/>
        </w:rPr>
      </w:pPr>
      <w:r>
        <w:rPr>
          <w:rFonts w:cs="Arial" w:ascii="Arial" w:hAnsi="Arial"/>
          <w:b/>
        </w:rPr>
        <w:tab/>
        <w:t>Transportation Service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Arial" w:hAnsi="Arial" w:cs="Arial"/>
          <w:b/>
        </w:rPr>
      </w:pPr>
      <w:r>
        <w:rPr>
          <w:rFonts w:cs="Arial" w:ascii="Arial" w:hAnsi="Arial"/>
          <w: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Arial" w:hAnsi="Arial" w:cs="Arial"/>
        </w:rPr>
      </w:pPr>
      <w:r>
        <w:rPr>
          <w:rFonts w:cs="Arial" w:ascii="Arial" w:hAnsi="Arial"/>
        </w:rPr>
        <w:t>Transportation services should be unbundled, consistent with Gas Accord I (GAI), including separate services for backbone transmission and distribution/local transmission.  Backbone transmission service should be path-specific and should be provided under both firm and as-available contracts.  Backbone transmission rights should be tradable in a secondary market.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Arial" w:hAnsi="Arial" w:cs="Arial"/>
          <w:b/>
        </w:rPr>
      </w:pPr>
      <w:r>
        <w:rPr>
          <w:rFonts w:cs="Arial" w:ascii="Arial" w:hAnsi="Arial"/>
          <w:b/>
        </w:rPr>
        <w:t>2.</w:t>
        <w:tab/>
        <w:t>Allocation of Backbone Transmission Rights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Arial" w:hAnsi="Arial" w:cs="Arial"/>
          <w:b/>
        </w:rPr>
      </w:pPr>
      <w:r>
        <w:rPr>
          <w:rFonts w:cs="Arial" w:ascii="Arial" w:hAnsi="Arial"/>
          <w: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Fonts w:cs="Arial" w:ascii="Arial" w:hAnsi="Arial"/>
          <w:i/>
        </w:rPr>
        <w:t>Capacity Reservation:</w:t>
      </w:r>
      <w:r>
        <w:rPr>
          <w:rFonts w:cs="Arial" w:ascii="Arial" w:hAnsi="Arial"/>
        </w:rPr>
        <w:t xml:space="preserve">  The core class should be permitted to retain backbone transmission rights up to the level specified in GAI (see below).  The retention of these rights, however, should be predicated on an obligation to pay a charge for the capacity under the same design and rate level at which other customers acquire capacity.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Arial" w:hAnsi="Arial" w:cs="Arial"/>
        </w:rPr>
      </w:pPr>
      <w:r>
        <w:rPr>
          <w:rFonts w:cs="Arial" w:ascii="Arial" w:hAnsi="Arial"/>
        </w:rPr>
      </w:r>
    </w:p>
    <w:tbl>
      <w:tblPr>
        <w:tblW w:w="9270" w:type="dxa"/>
        <w:jc w:val="start"/>
        <w:tblInd w:w="136" w:type="dxa"/>
        <w:tblLayout w:type="fixed"/>
        <w:tblCellMar>
          <w:top w:w="0" w:type="dxa"/>
          <w:start w:w="136" w:type="dxa"/>
          <w:bottom w:w="0" w:type="dxa"/>
          <w:end w:w="136" w:type="dxa"/>
        </w:tblCellMar>
      </w:tblPr>
      <w:tblGrid>
        <w:gridCol w:w="1860"/>
        <w:gridCol w:w="3540"/>
        <w:gridCol w:w="3870"/>
      </w:tblGrid>
      <w:tr>
        <w:trPr/>
        <w:tc>
          <w:tcPr>
            <w:tcW w:w="9270" w:type="dxa"/>
            <w:gridSpan w:val="3"/>
            <w:tcBorders>
              <w:bottom w:val="single" w:sz="16" w:space="0" w:color="FFFFFF"/>
            </w:tcBorders>
            <w:shd w:fill="CCCCCC"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exact" w:line="16"/>
              <w:rPr>
                <w:rFonts w:ascii="Arial" w:hAnsi="Arial" w:cs="Arial"/>
                <w:b/>
              </w:rPr>
            </w:pPr>
            <w:r>
              <w:rPr>
                <w:rFonts w:cs="Arial" w:ascii="Arial" w:hAnsi="Arial"/>
                <w: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Arial" w:hAnsi="Arial" w:cs="Arial"/>
                <w:b/>
              </w:rPr>
            </w:pPr>
            <w:r>
              <w:rPr>
                <w:rFonts w:cs="Arial" w:ascii="Arial" w:hAnsi="Arial"/>
                <w:b/>
              </w:rPr>
              <w:t>PG&amp;E Firm Capacity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Arial" w:hAnsi="Arial" w:cs="Arial"/>
                <w:b/>
              </w:rPr>
            </w:pPr>
            <w:r>
              <w:rPr>
                <w:rFonts w:cs="Arial" w:ascii="Arial" w:hAnsi="Arial"/>
                <w:b/>
              </w:rPr>
              <w:t>(MMcf/d)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6"/>
              <w:rPr>
                <w:rFonts w:ascii="Arial" w:hAnsi="Arial" w:cs="Arial"/>
                <w:b/>
              </w:rPr>
            </w:pPr>
            <w:r>
              <w:rPr>
                <w:rFonts w:cs="Arial" w:ascii="Arial" w:hAnsi="Arial"/>
                <w:b/>
              </w:rPr>
            </w:r>
          </w:p>
        </w:tc>
      </w:tr>
      <w:tr>
        <w:trPr/>
        <w:tc>
          <w:tcPr>
            <w:tcW w:w="1860" w:type="dxa"/>
            <w:tcBorders>
              <w:top w:val="single" w:sz="16" w:space="0" w:color="FFFFFF"/>
              <w:bottom w:val="single" w:sz="16" w:space="0" w:color="FFFFFF"/>
              <w:end w:val="single" w:sz="16" w:space="0" w:color="FFFFFF"/>
            </w:tcBorders>
            <w:shd w:fill="F2F2F2"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exact" w:line="16"/>
              <w:rPr>
                <w:rFonts w:ascii="Arial" w:hAnsi="Arial" w:cs="Arial"/>
                <w:b/>
              </w:rPr>
            </w:pPr>
            <w:r>
              <w:rPr>
                <w:rFonts w:cs="Arial" w:ascii="Arial" w:hAnsi="Arial"/>
                <w: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6"/>
              <w:jc w:val="center"/>
              <w:rPr>
                <w:rFonts w:ascii="Arial" w:hAnsi="Arial" w:cs="Arial"/>
              </w:rPr>
            </w:pPr>
            <w:r>
              <w:rPr>
                <w:rFonts w:cs="Arial" w:ascii="Arial" w:hAnsi="Arial"/>
              </w:rPr>
            </w:r>
          </w:p>
        </w:tc>
        <w:tc>
          <w:tcPr>
            <w:tcW w:w="3540" w:type="dxa"/>
            <w:tcBorders>
              <w:top w:val="single" w:sz="16" w:space="0" w:color="FFFFFF"/>
              <w:start w:val="single" w:sz="16" w:space="0" w:color="FFFFFF"/>
              <w:bottom w:val="single" w:sz="16" w:space="0" w:color="FFFFFF"/>
              <w:end w:val="single" w:sz="16" w:space="0" w:color="FFFFFF"/>
            </w:tcBorders>
            <w:shd w:fill="F2F2F2"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exact" w:line="16"/>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6"/>
              <w:jc w:val="center"/>
              <w:rPr>
                <w:rFonts w:ascii="Arial" w:hAnsi="Arial" w:cs="Arial"/>
              </w:rPr>
            </w:pPr>
            <w:r>
              <w:rPr>
                <w:rFonts w:cs="Arial" w:ascii="Arial" w:hAnsi="Arial"/>
              </w:rPr>
              <w:t>Backbone Transmission Firm Capacity</w:t>
            </w:r>
          </w:p>
        </w:tc>
        <w:tc>
          <w:tcPr>
            <w:tcW w:w="3870" w:type="dxa"/>
            <w:tcBorders>
              <w:top w:val="single" w:sz="16" w:space="0" w:color="FFFFFF"/>
              <w:start w:val="single" w:sz="16" w:space="0" w:color="FFFFFF"/>
              <w:bottom w:val="single" w:sz="16" w:space="0" w:color="FFFFFF"/>
            </w:tcBorders>
            <w:shd w:fill="F2F2F2"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exact" w:line="16"/>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6"/>
              <w:jc w:val="center"/>
              <w:rPr>
                <w:rFonts w:ascii="Arial" w:hAnsi="Arial" w:cs="Arial"/>
              </w:rPr>
            </w:pPr>
            <w:r>
              <w:rPr>
                <w:rFonts w:cs="Arial" w:ascii="Arial" w:hAnsi="Arial"/>
              </w:rPr>
              <w:t>Firm Capacity Currently Assigned to Core</w:t>
            </w:r>
          </w:p>
        </w:tc>
      </w:tr>
      <w:tr>
        <w:trPr/>
        <w:tc>
          <w:tcPr>
            <w:tcW w:w="1860" w:type="dxa"/>
            <w:tcBorders>
              <w:top w:val="single" w:sz="16" w:space="0" w:color="FFFFFF"/>
              <w:bottom w:val="single" w:sz="16" w:space="0" w:color="FFFFFF"/>
              <w:end w:val="single" w:sz="16" w:space="0" w:color="FFFFFF"/>
            </w:tcBorders>
            <w:shd w:fill="CCCCCC"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exact" w:line="16"/>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6"/>
              <w:jc w:val="center"/>
              <w:rPr>
                <w:rFonts w:ascii="Arial" w:hAnsi="Arial" w:cs="Arial"/>
              </w:rPr>
            </w:pPr>
            <w:r>
              <w:rPr>
                <w:rFonts w:cs="Arial" w:ascii="Arial" w:hAnsi="Arial"/>
              </w:rPr>
              <w:t>Redwood</w:t>
            </w:r>
          </w:p>
        </w:tc>
        <w:tc>
          <w:tcPr>
            <w:tcW w:w="3540" w:type="dxa"/>
            <w:tcBorders>
              <w:top w:val="single" w:sz="16" w:space="0" w:color="FFFFFF"/>
              <w:start w:val="single" w:sz="16" w:space="0" w:color="FFFFFF"/>
              <w:bottom w:val="single" w:sz="16" w:space="0" w:color="FFFFFF"/>
              <w:end w:val="single" w:sz="16" w:space="0" w:color="FFFFFF"/>
            </w:tcBorders>
            <w:shd w:fill="CCCCCC"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exact" w:line="16"/>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6"/>
              <w:jc w:val="center"/>
              <w:rPr>
                <w:rFonts w:ascii="Arial" w:hAnsi="Arial" w:cs="Arial"/>
              </w:rPr>
            </w:pPr>
            <w:r>
              <w:rPr>
                <w:rFonts w:cs="Arial" w:ascii="Arial" w:hAnsi="Arial"/>
              </w:rPr>
              <w:t>1803</w:t>
            </w:r>
          </w:p>
        </w:tc>
        <w:tc>
          <w:tcPr>
            <w:tcW w:w="3870" w:type="dxa"/>
            <w:tcBorders>
              <w:top w:val="single" w:sz="16" w:space="0" w:color="FFFFFF"/>
              <w:start w:val="single" w:sz="16" w:space="0" w:color="FFFFFF"/>
              <w:bottom w:val="single" w:sz="16" w:space="0" w:color="FFFFFF"/>
            </w:tcBorders>
            <w:shd w:fill="CCCCCC"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exact" w:line="16"/>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6"/>
              <w:jc w:val="center"/>
              <w:rPr>
                <w:rFonts w:ascii="Arial" w:hAnsi="Arial" w:cs="Arial"/>
              </w:rPr>
            </w:pPr>
            <w:r>
              <w:rPr>
                <w:rFonts w:cs="Arial" w:ascii="Arial" w:hAnsi="Arial"/>
              </w:rPr>
              <w:t>606.5</w:t>
            </w:r>
          </w:p>
        </w:tc>
      </w:tr>
      <w:tr>
        <w:trPr/>
        <w:tc>
          <w:tcPr>
            <w:tcW w:w="1860" w:type="dxa"/>
            <w:tcBorders>
              <w:top w:val="single" w:sz="16" w:space="0" w:color="FFFFFF"/>
              <w:bottom w:val="single" w:sz="16" w:space="0" w:color="FFFFFF"/>
              <w:end w:val="single" w:sz="16" w:space="0" w:color="FFFFFF"/>
            </w:tcBorders>
            <w:shd w:fill="F2F2F2"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exact" w:line="16"/>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6"/>
              <w:jc w:val="center"/>
              <w:rPr>
                <w:rFonts w:ascii="Arial" w:hAnsi="Arial" w:cs="Arial"/>
              </w:rPr>
            </w:pPr>
            <w:r>
              <w:rPr>
                <w:rFonts w:cs="Arial" w:ascii="Arial" w:hAnsi="Arial"/>
              </w:rPr>
              <w:t>Baja</w:t>
            </w:r>
          </w:p>
        </w:tc>
        <w:tc>
          <w:tcPr>
            <w:tcW w:w="3540" w:type="dxa"/>
            <w:tcBorders>
              <w:top w:val="single" w:sz="16" w:space="0" w:color="FFFFFF"/>
              <w:start w:val="single" w:sz="16" w:space="0" w:color="FFFFFF"/>
              <w:bottom w:val="single" w:sz="16" w:space="0" w:color="FFFFFF"/>
              <w:end w:val="single" w:sz="16" w:space="0" w:color="FFFFFF"/>
            </w:tcBorders>
            <w:shd w:fill="F2F2F2"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exact" w:line="16"/>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6"/>
              <w:jc w:val="center"/>
              <w:rPr>
                <w:rFonts w:ascii="Arial" w:hAnsi="Arial" w:cs="Arial"/>
              </w:rPr>
            </w:pPr>
            <w:r>
              <w:rPr>
                <w:rFonts w:cs="Arial" w:ascii="Arial" w:hAnsi="Arial"/>
              </w:rPr>
              <w:t>1140</w:t>
            </w:r>
          </w:p>
        </w:tc>
        <w:tc>
          <w:tcPr>
            <w:tcW w:w="3870" w:type="dxa"/>
            <w:tcBorders>
              <w:top w:val="single" w:sz="16" w:space="0" w:color="FFFFFF"/>
              <w:start w:val="single" w:sz="16" w:space="0" w:color="FFFFFF"/>
              <w:bottom w:val="single" w:sz="16" w:space="0" w:color="FFFFFF"/>
            </w:tcBorders>
            <w:shd w:fill="F2F2F2"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exact" w:line="16"/>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Arial" w:hAnsi="Arial" w:cs="Arial"/>
              </w:rPr>
            </w:pPr>
            <w:r>
              <w:rPr>
                <w:rFonts w:cs="Arial" w:ascii="Arial" w:hAnsi="Arial"/>
              </w:rPr>
              <w:t>April - October: 150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Arial" w:hAnsi="Arial" w:cs="Arial"/>
              </w:rPr>
            </w:pPr>
            <w:r>
              <w:rPr>
                <w:rFonts w:cs="Arial" w:ascii="Arial" w:hAnsi="Arial"/>
              </w:rPr>
              <w:t>November - March: 300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6"/>
              <w:jc w:val="center"/>
              <w:rPr>
                <w:rFonts w:ascii="Arial" w:hAnsi="Arial" w:cs="Arial"/>
              </w:rPr>
            </w:pPr>
            <w:r>
              <w:rPr>
                <w:rFonts w:cs="Arial" w:ascii="Arial" w:hAnsi="Arial"/>
              </w:rPr>
              <w:t>December - February: 600</w:t>
            </w:r>
          </w:p>
        </w:tc>
      </w:tr>
      <w:tr>
        <w:trPr/>
        <w:tc>
          <w:tcPr>
            <w:tcW w:w="1860" w:type="dxa"/>
            <w:tcBorders>
              <w:top w:val="single" w:sz="16" w:space="0" w:color="FFFFFF"/>
              <w:end w:val="single" w:sz="16" w:space="0" w:color="FFFFFF"/>
            </w:tcBorders>
            <w:shd w:fill="CCCCCC"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exact" w:line="16"/>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6"/>
              <w:jc w:val="center"/>
              <w:rPr>
                <w:rFonts w:ascii="Arial" w:hAnsi="Arial" w:cs="Arial"/>
              </w:rPr>
            </w:pPr>
            <w:r>
              <w:rPr>
                <w:rFonts w:cs="Arial" w:ascii="Arial" w:hAnsi="Arial"/>
              </w:rPr>
              <w:t>Silverado</w:t>
            </w:r>
          </w:p>
        </w:tc>
        <w:tc>
          <w:tcPr>
            <w:tcW w:w="3540" w:type="dxa"/>
            <w:tcBorders>
              <w:top w:val="single" w:sz="16" w:space="0" w:color="FFFFFF"/>
              <w:start w:val="single" w:sz="16" w:space="0" w:color="FFFFFF"/>
              <w:end w:val="single" w:sz="16" w:space="0" w:color="FFFFFF"/>
            </w:tcBorders>
            <w:shd w:fill="CCCCCC"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exact" w:line="16"/>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6"/>
              <w:jc w:val="center"/>
              <w:rPr>
                <w:rFonts w:ascii="Arial" w:hAnsi="Arial" w:cs="Arial"/>
              </w:rPr>
            </w:pPr>
            <w:r>
              <w:rPr>
                <w:rFonts w:cs="Arial" w:ascii="Arial" w:hAnsi="Arial"/>
              </w:rPr>
              <w:t>200</w:t>
            </w:r>
          </w:p>
        </w:tc>
        <w:tc>
          <w:tcPr>
            <w:tcW w:w="3870" w:type="dxa"/>
            <w:tcBorders>
              <w:top w:val="single" w:sz="16" w:space="0" w:color="FFFFFF"/>
              <w:start w:val="single" w:sz="16" w:space="0" w:color="FFFFFF"/>
            </w:tcBorders>
            <w:shd w:fill="CCCCCC" w:val="clear"/>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exact" w:line="16"/>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Arial" w:hAnsi="Arial" w:cs="Arial"/>
              </w:rPr>
            </w:pPr>
            <w:r>
              <w:rPr>
                <w:rFonts w:cs="Arial" w:ascii="Arial" w:hAnsi="Arial"/>
              </w:rPr>
              <w:t>50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6"/>
              <w:jc w:val="center"/>
              <w:rPr>
                <w:rFonts w:ascii="Arial" w:hAnsi="Arial" w:cs="Arial"/>
              </w:rPr>
            </w:pPr>
            <w:r>
              <w:rPr>
                <w:rFonts w:cs="Arial" w:ascii="Arial" w:hAnsi="Arial"/>
              </w:rPr>
            </w:r>
          </w:p>
        </w:tc>
      </w:tr>
    </w:tbl>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Arial" w:hAnsi="Arial" w:cs="Arial"/>
        </w:rPr>
      </w:pPr>
      <w:r>
        <w:rPr>
          <w:rFonts w:cs="Arial" w:ascii="Arial" w:hAnsi="Arial"/>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Fonts w:cs="Arial" w:ascii="Arial" w:hAnsi="Arial"/>
          <w:i/>
        </w:rPr>
        <w:t>Open Seasons:</w:t>
      </w:r>
      <w:r>
        <w:rPr>
          <w:rFonts w:cs="Arial" w:ascii="Arial" w:hAnsi="Arial"/>
        </w:rPr>
        <w:t xml:space="preserve">  Capacity not reserved for the core class should be offered in open seasons.  PG&amp;E should consider a multi-round bidding process, allowing end-use customers first election.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Arial" w:hAnsi="Arial" w:cs="Arial"/>
        </w:rPr>
      </w:pPr>
      <w:r>
        <w:rPr>
          <w:rFonts w:cs="Arial" w:ascii="Arial" w:hAnsi="Arial"/>
        </w:rPr>
      </w:r>
    </w:p>
    <w:p>
      <w:pPr>
        <w:pStyle w:val="Level1"/>
        <w:widowControl/>
        <w:numPr>
          <w:ilvl w:val="0"/>
          <w:numId w:val="2"/>
        </w:numPr>
        <w:tabs>
          <w:tab w:val="clear" w:pos="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ab/>
      </w:r>
      <w:r>
        <w:rPr>
          <w:rFonts w:cs="Arial" w:ascii="Arial" w:hAnsi="Arial"/>
          <w:i/>
        </w:rPr>
        <w:t>Redwood Round One:</w:t>
      </w:r>
      <w:r>
        <w:rPr>
          <w:rFonts w:cs="Arial" w:ascii="Arial" w:hAnsi="Arial"/>
        </w:rPr>
        <w:t xml:space="preserve">  Redwood capacity would be the first bidding path of the open season process.  A first round open season would allow PG&amp;E end-use customers to bid an amount up to their full load.  Capacity would be allocated pro rata among the bidders for an oversubscription.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720" w:end="0"/>
        <w:rPr/>
      </w:pPr>
      <w:r>
        <w:rPr>
          <w:rFonts w:cs="Arial" w:ascii="Arial" w:hAnsi="Arial"/>
        </w:rPr>
        <w:t xml:space="preserve">(2) </w:t>
        <w:tab/>
      </w:r>
      <w:r>
        <w:rPr>
          <w:rFonts w:cs="Arial" w:ascii="Arial" w:hAnsi="Arial"/>
          <w:i/>
        </w:rPr>
        <w:t>Baja and Silverado Round Two:</w:t>
      </w:r>
      <w:r>
        <w:rPr>
          <w:rFonts w:cs="Arial" w:ascii="Arial" w:hAnsi="Arial"/>
        </w:rPr>
        <w:t xml:space="preserve"> PG&amp;E end-use customers who did not obtain Redwood capacity to meet their full load in round one, and other end-use customers preferring the Baja and/or Silverado paths may bid for capacity up to their full load.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720" w:end="0"/>
        <w:rPr/>
      </w:pPr>
      <w:r>
        <w:rPr>
          <w:rFonts w:cs="Arial" w:ascii="Arial" w:hAnsi="Arial"/>
        </w:rPr>
        <w:t xml:space="preserve">(3) </w:t>
        <w:tab/>
      </w:r>
      <w:r>
        <w:rPr>
          <w:rFonts w:cs="Arial" w:ascii="Arial" w:hAnsi="Arial"/>
          <w:i/>
        </w:rPr>
        <w:t>Remaining Capacity Round Three:</w:t>
      </w:r>
      <w:r>
        <w:rPr>
          <w:rFonts w:cs="Arial" w:ascii="Arial" w:hAnsi="Arial"/>
        </w:rPr>
        <w:t xml:space="preserve"> Any market participants may acquire capacity remaining after the conclusion of both “customers first” open seasons.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The term of the allocated rights should vary.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rFonts w:cs="Arial" w:ascii="Arial" w:hAnsi="Arial"/>
          <w:i/>
        </w:rPr>
        <w:t>Market Power Mitigation:</w:t>
      </w:r>
      <w:r>
        <w:rPr>
          <w:rFonts w:cs="Arial" w:ascii="Arial" w:hAnsi="Arial"/>
        </w:rPr>
        <w:t xml:space="preserve">  Under no circumstances may any single entity acquire in the primary market, more than 30% of the available noncore capacity at each receipt point (</w:t>
      </w:r>
      <w:r>
        <w:rPr>
          <w:rFonts w:cs="Arial" w:ascii="Arial" w:hAnsi="Arial"/>
          <w:i/>
        </w:rPr>
        <w:t>e.g.,</w:t>
      </w:r>
      <w:r>
        <w:rPr>
          <w:rFonts w:cs="Arial" w:ascii="Arial" w:hAnsi="Arial"/>
        </w:rPr>
        <w:t xml:space="preserve"> 180 MMcfd).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b/>
        </w:rPr>
      </w:pPr>
      <w:r>
        <w:rPr>
          <w:rFonts w:cs="Arial" w:ascii="Arial" w:hAnsi="Arial"/>
          <w:b/>
        </w:rPr>
      </w:r>
    </w:p>
    <w:p>
      <w:pPr>
        <w:pStyle w:val="Level1"/>
        <w:widowControl/>
        <w:numPr>
          <w:ilvl w:val="0"/>
          <w:numId w:val="3"/>
        </w:numPr>
        <w:tabs>
          <w:tab w:val="clear" w:pos="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b/>
        </w:rPr>
      </w:pPr>
      <w:r>
        <w:rPr>
          <w:rFonts w:cs="Arial" w:ascii="Arial" w:hAnsi="Arial"/>
        </w:rPr>
        <w:tab/>
      </w:r>
      <w:r>
        <w:rPr>
          <w:rFonts w:cs="Arial" w:ascii="Arial" w:hAnsi="Arial"/>
          <w:b/>
        </w:rPr>
        <w:t>Rates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b/>
        </w:rPr>
      </w:pPr>
      <w:r>
        <w:rPr>
          <w:rFonts w:cs="Arial" w:ascii="Arial" w:hAnsi="Arial"/>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rFonts w:cs="Arial" w:ascii="Arial" w:hAnsi="Arial"/>
          <w:i/>
        </w:rPr>
        <w:t>Backbone Transmission</w:t>
      </w:r>
      <w:r>
        <w:rPr>
          <w:rFonts w:cs="Arial" w:ascii="Arial" w:hAnsi="Arial"/>
        </w:rPr>
        <w:t>:  Rates should be based on embedded costs.  Rate design should be generally consistent with the rate design established in GAI, including a two-part SFV rate for firm service and a volumetric rate for as-available service.  Both firm and as-available service should be subject to discounting at the utility’s [shareholder] risk.  As-available service should be subject to a 120% rate ceiling.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rFonts w:cs="Arial" w:ascii="Arial" w:hAnsi="Arial"/>
          <w:i/>
        </w:rPr>
        <w:t>Direct Connect Rate:</w:t>
      </w:r>
      <w:r>
        <w:rPr>
          <w:rFonts w:cs="Arial" w:ascii="Arial" w:hAnsi="Arial"/>
        </w:rPr>
        <w:t xml:space="preserve">  Local transmission rates should be bypassable for customers establishing a direct backbone transmission interconnection with PG&amp;E.  This concept should apply to new, incremental loads, as these loads did not require any investment in the local transmission system.  Existing loads should also be permitted to directly connect to the backbone and pay a backbone-only rate.  There should be no shifting of local transmission and/or distribution costs into backbone rates to prevent customers from exercising a direct connect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eastAsia="Arial" w:cs="Arial"/>
        </w:rPr>
      </w:pPr>
      <w:r>
        <w:rPr>
          <w:rFonts w:eastAsia="Arial" w:cs="Arial" w:ascii="Arial" w:hAnsi="Arial"/>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rFonts w:cs="Arial" w:ascii="Arial" w:hAnsi="Arial"/>
          <w:i/>
        </w:rPr>
        <w:t>Vintaged Rates:</w:t>
      </w:r>
      <w:r>
        <w:rPr>
          <w:rFonts w:cs="Arial" w:ascii="Arial" w:hAnsi="Arial"/>
        </w:rPr>
        <w:t xml:space="preserve">  PG&amp;E must sunset vintaged rates for the core.  The core has a special vintage backbone transmission rate for its reservation on the Redwood path that is not subject to the Line 401 phase-in.  The vintage rate is $0.115/Dth and only applies to capacity reserved on the Redwood-to-on-system path.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b/>
        </w:rPr>
        <w:t>4.</w:t>
        <w:tab/>
        <w:t>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b/>
        </w:rPr>
      </w:pPr>
      <w:r>
        <w:rPr>
          <w:rFonts w:cs="Arial" w:ascii="Arial" w:hAnsi="Arial"/>
        </w:rPr>
        <w:t>As permitted in the GAI, unexpired contracts should continue in force for their full term and should be integrated in a manner that maintains the full value of the contract to the customer.</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b/>
        </w:rPr>
      </w:pPr>
      <w:r>
        <w:rPr>
          <w:rFonts w:cs="Arial" w:ascii="Arial" w:hAnsi="Arial"/>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b/>
        </w:rPr>
      </w:pPr>
      <w:r>
        <w:rPr>
          <w:rFonts w:cs="Arial" w:ascii="Arial" w:hAnsi="Arial"/>
          <w:b/>
        </w:rPr>
        <w:t>5.</w:t>
        <w:tab/>
        <w:t>Transparency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b/>
        </w:rPr>
      </w:pPr>
      <w:r>
        <w:rPr>
          <w:rFonts w:cs="Arial" w:ascii="Arial" w:hAnsi="Arial"/>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The GAI did not accommodate transparency in the secondary market.  While Public Utilities Code section 489 requires utilities to publicly file rates, charges, contracts, etc., section 489.1 allows the Commission to exempt contracts of gas utilities from public disclosure; the purpose of the exemption was to “encourage fair competition.”  Section 489.1 will sunset January 1,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To encourage an active secondary market, PG&amp;E maintains an electronic posting board that parties may use to advertise capacity they wish to sell or to place want-ads for capacity they would like to buy.  PG&amp;E has admitted that no one uses this service.  Because of this failure, PG&amp;E should increase the level of information disclosure in the northern California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The GAII information disclosure requirements should be similar to that of interstate pipelines. Specifically, GAII should establish a formal capacity release program similar to the system in place on the El Paso system, under which all capacity is posted for competitive bids, with the exception of pre-arranged deals at the maximum rate.  Information provided in the release program should include the identity of the parties, contract term and price.  Primary contracts should be subject to disclosure, as well, to prevent rate discrimination.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b/>
        </w:rPr>
        <w:t>6.</w:t>
        <w:tab/>
        <w:t>Storage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 xml:space="preserve">PG&amp;E should be required to expand the Central Backbone to ensure deliverability for competing storage products.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 xml:space="preserve">PG&amp;E storage services should be offered at cost-based rates in an open season in contracts of varying term.  Packaging of injection, withdrawal and inventory rights should be subject to bidder discretion.  Oversubscription should be prorated among winning bidders.  Storage rights should be assignable in a secondary market.  Unbundled storage capacity not committed during the open season could be sold on an as-available basis, with availability posted monthly, subject to a cap of 120% of cost.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 xml:space="preserve">To guard against market power abuse, storage awarded to a single entity in the primary market should not exceed 20% of PG&amp;E’s available capacity.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Absent a compelling reason to the contrary, allocation of storage products and services should be as established in GAI.</w:t>
      </w:r>
    </w:p>
    <w:p>
      <w:pPr>
        <w:pStyle w:val="Normal"/>
        <w:rPr>
          <w:rFonts w:ascii="Arial" w:hAnsi="Arial" w:cs="Arial"/>
        </w:rPr>
      </w:pPr>
      <w:r>
        <w:rPr>
          <w:rFonts w:cs="Arial" w:ascii="Arial" w:hAnsi="Arial"/>
        </w:rPr>
      </w:r>
    </w:p>
    <w:tbl>
      <w:tblPr>
        <w:tblW w:w="9240" w:type="dxa"/>
        <w:jc w:val="start"/>
        <w:tblInd w:w="136" w:type="dxa"/>
        <w:tblLayout w:type="fixed"/>
        <w:tblCellMar>
          <w:top w:w="0" w:type="dxa"/>
          <w:start w:w="136" w:type="dxa"/>
          <w:bottom w:w="0" w:type="dxa"/>
          <w:end w:w="136" w:type="dxa"/>
        </w:tblCellMar>
      </w:tblPr>
      <w:tblGrid>
        <w:gridCol w:w="1500"/>
        <w:gridCol w:w="2430"/>
        <w:gridCol w:w="2520"/>
        <w:gridCol w:w="2790"/>
      </w:tblGrid>
      <w:tr>
        <w:trPr/>
        <w:tc>
          <w:tcPr>
            <w:tcW w:w="9240" w:type="dxa"/>
            <w:gridSpan w:val="4"/>
            <w:tcBorders>
              <w:bottom w:val="single" w:sz="16" w:space="0" w:color="FFFFFF"/>
            </w:tcBorders>
            <w:shd w:fill="CCCCCC"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b/>
              </w:rPr>
            </w:pPr>
            <w:r>
              <w:rPr>
                <w:rFonts w:cs="Arial" w:ascii="Arial" w:hAnsi="Arial"/>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center"/>
              <w:rPr>
                <w:rFonts w:ascii="Arial" w:hAnsi="Arial" w:cs="Arial"/>
                <w:b/>
              </w:rPr>
            </w:pPr>
            <w:r>
              <w:rPr>
                <w:rFonts w:cs="Arial" w:ascii="Arial" w:hAnsi="Arial"/>
                <w:b/>
              </w:rPr>
              <w:t>PG&amp;E Storage Products and Services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center"/>
              <w:rPr>
                <w:rFonts w:ascii="Arial" w:hAnsi="Arial" w:cs="Arial"/>
                <w:b/>
              </w:rPr>
            </w:pPr>
            <w:r>
              <w:rPr>
                <w:rFonts w:cs="Arial" w:ascii="Arial" w:hAnsi="Arial"/>
                <w:b/>
              </w:rPr>
            </w:r>
          </w:p>
        </w:tc>
      </w:tr>
      <w:tr>
        <w:trPr/>
        <w:tc>
          <w:tcPr>
            <w:tcW w:w="1500" w:type="dxa"/>
            <w:tcBorders>
              <w:top w:val="single" w:sz="16" w:space="0" w:color="FFFFFF"/>
              <w:bottom w:val="single" w:sz="16" w:space="0" w:color="FFFFFF"/>
              <w:end w:val="single" w:sz="16" w:space="0" w:color="FFFFFF"/>
            </w:tcBorders>
            <w:shd w:fill="F2F2F2"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b/>
              </w:rPr>
            </w:pPr>
            <w:r>
              <w:rPr>
                <w:rFonts w:cs="Arial" w:ascii="Arial" w:hAnsi="Arial"/>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r>
          </w:p>
        </w:tc>
        <w:tc>
          <w:tcPr>
            <w:tcW w:w="2430" w:type="dxa"/>
            <w:tcBorders>
              <w:top w:val="single" w:sz="16" w:space="0" w:color="FFFFFF"/>
              <w:start w:val="single" w:sz="16" w:space="0" w:color="FFFFFF"/>
              <w:bottom w:val="single" w:sz="16" w:space="0" w:color="FFFFFF"/>
              <w:end w:val="single" w:sz="16" w:space="0" w:color="FFFFFF"/>
            </w:tcBorders>
            <w:shd w:fill="F2F2F2"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120"/>
              <w:jc w:val="center"/>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t>Allocation of Storage Capacity to Core</w:t>
            </w:r>
          </w:p>
        </w:tc>
        <w:tc>
          <w:tcPr>
            <w:tcW w:w="2520" w:type="dxa"/>
            <w:tcBorders>
              <w:top w:val="single" w:sz="16" w:space="0" w:color="FFFFFF"/>
              <w:start w:val="single" w:sz="16" w:space="0" w:color="FFFFFF"/>
              <w:bottom w:val="single" w:sz="16" w:space="0" w:color="FFFFFF"/>
              <w:end w:val="single" w:sz="16" w:space="0" w:color="FFFFFF"/>
            </w:tcBorders>
            <w:shd w:fill="F2F2F2"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120"/>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t>Allocation of Storage Capacity to Pipeline Balancing Service</w:t>
            </w:r>
          </w:p>
        </w:tc>
        <w:tc>
          <w:tcPr>
            <w:tcW w:w="2790" w:type="dxa"/>
            <w:tcBorders>
              <w:top w:val="single" w:sz="16" w:space="0" w:color="FFFFFF"/>
              <w:start w:val="single" w:sz="16" w:space="0" w:color="FFFFFF"/>
              <w:bottom w:val="single" w:sz="16" w:space="0" w:color="FFFFFF"/>
            </w:tcBorders>
            <w:shd w:fill="F2F2F2"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120"/>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t>Allocation of Storage Capacity to Unbundled Storage Program</w:t>
            </w:r>
          </w:p>
        </w:tc>
      </w:tr>
      <w:tr>
        <w:trPr/>
        <w:tc>
          <w:tcPr>
            <w:tcW w:w="1500" w:type="dxa"/>
            <w:tcBorders>
              <w:top w:val="single" w:sz="16" w:space="0" w:color="FFFFFF"/>
              <w:bottom w:val="single" w:sz="16" w:space="0" w:color="FFFFFF"/>
              <w:end w:val="single" w:sz="16" w:space="0" w:color="FFFFFF"/>
            </w:tcBorders>
            <w:shd w:fill="CCCCCC"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t>Inventory</w:t>
            </w:r>
          </w:p>
        </w:tc>
        <w:tc>
          <w:tcPr>
            <w:tcW w:w="2430" w:type="dxa"/>
            <w:tcBorders>
              <w:top w:val="single" w:sz="16" w:space="0" w:color="FFFFFF"/>
              <w:start w:val="single" w:sz="16" w:space="0" w:color="FFFFFF"/>
              <w:bottom w:val="single" w:sz="16" w:space="0" w:color="FFFFFF"/>
              <w:end w:val="single" w:sz="16" w:space="0" w:color="FFFFFF"/>
            </w:tcBorders>
            <w:shd w:fill="CCCCCC"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t>32.8 Bcf</w:t>
            </w:r>
          </w:p>
        </w:tc>
        <w:tc>
          <w:tcPr>
            <w:tcW w:w="2520" w:type="dxa"/>
            <w:tcBorders>
              <w:top w:val="single" w:sz="16" w:space="0" w:color="FFFFFF"/>
              <w:start w:val="single" w:sz="16" w:space="0" w:color="FFFFFF"/>
              <w:bottom w:val="single" w:sz="16" w:space="0" w:color="FFFFFF"/>
              <w:end w:val="single" w:sz="16" w:space="0" w:color="FFFFFF"/>
            </w:tcBorders>
            <w:shd w:fill="CCCCCC"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t>2.2 Bcf</w:t>
            </w:r>
          </w:p>
        </w:tc>
        <w:tc>
          <w:tcPr>
            <w:tcW w:w="2790" w:type="dxa"/>
            <w:tcBorders>
              <w:top w:val="single" w:sz="16" w:space="0" w:color="FFFFFF"/>
              <w:start w:val="single" w:sz="16" w:space="0" w:color="FFFFFF"/>
              <w:bottom w:val="single" w:sz="16" w:space="0" w:color="FFFFFF"/>
            </w:tcBorders>
            <w:shd w:fill="CCCCCC"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t>4.7 Bcf</w:t>
            </w:r>
          </w:p>
        </w:tc>
      </w:tr>
      <w:tr>
        <w:trPr/>
        <w:tc>
          <w:tcPr>
            <w:tcW w:w="1500" w:type="dxa"/>
            <w:tcBorders>
              <w:top w:val="single" w:sz="16" w:space="0" w:color="FFFFFF"/>
              <w:bottom w:val="single" w:sz="16" w:space="0" w:color="FFFFFF"/>
              <w:end w:val="single" w:sz="16" w:space="0" w:color="FFFFFF"/>
            </w:tcBorders>
            <w:shd w:fill="F2F2F2"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t>Injection</w:t>
            </w:r>
          </w:p>
        </w:tc>
        <w:tc>
          <w:tcPr>
            <w:tcW w:w="2430" w:type="dxa"/>
            <w:tcBorders>
              <w:top w:val="single" w:sz="16" w:space="0" w:color="FFFFFF"/>
              <w:start w:val="single" w:sz="16" w:space="0" w:color="FFFFFF"/>
              <w:bottom w:val="single" w:sz="16" w:space="0" w:color="FFFFFF"/>
              <w:end w:val="single" w:sz="16" w:space="0" w:color="FFFFFF"/>
            </w:tcBorders>
            <w:shd w:fill="F2F2F2"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t>93 - 209 MMcf/d</w:t>
            </w:r>
          </w:p>
        </w:tc>
        <w:tc>
          <w:tcPr>
            <w:tcW w:w="2520" w:type="dxa"/>
            <w:tcBorders>
              <w:top w:val="single" w:sz="16" w:space="0" w:color="FFFFFF"/>
              <w:start w:val="single" w:sz="16" w:space="0" w:color="FFFFFF"/>
              <w:bottom w:val="single" w:sz="16" w:space="0" w:color="FFFFFF"/>
              <w:end w:val="single" w:sz="16" w:space="0" w:color="FFFFFF"/>
            </w:tcBorders>
            <w:shd w:fill="F2F2F2"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t>50 MMcf/d</w:t>
            </w:r>
          </w:p>
        </w:tc>
        <w:tc>
          <w:tcPr>
            <w:tcW w:w="2790" w:type="dxa"/>
            <w:tcBorders>
              <w:top w:val="single" w:sz="16" w:space="0" w:color="FFFFFF"/>
              <w:start w:val="single" w:sz="16" w:space="0" w:color="FFFFFF"/>
              <w:bottom w:val="single" w:sz="16" w:space="0" w:color="FFFFFF"/>
            </w:tcBorders>
            <w:shd w:fill="F2F2F2"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t>13-30 MMcf/d</w:t>
            </w:r>
          </w:p>
        </w:tc>
      </w:tr>
      <w:tr>
        <w:trPr/>
        <w:tc>
          <w:tcPr>
            <w:tcW w:w="1500" w:type="dxa"/>
            <w:tcBorders>
              <w:top w:val="single" w:sz="16" w:space="0" w:color="FFFFFF"/>
              <w:end w:val="single" w:sz="16" w:space="0" w:color="FFFFFF"/>
            </w:tcBorders>
            <w:shd w:fill="CCCCCC"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t>Withdrawal</w:t>
            </w:r>
          </w:p>
        </w:tc>
        <w:tc>
          <w:tcPr>
            <w:tcW w:w="2430" w:type="dxa"/>
            <w:tcBorders>
              <w:top w:val="single" w:sz="16" w:space="0" w:color="FFFFFF"/>
              <w:start w:val="single" w:sz="16" w:space="0" w:color="FFFFFF"/>
              <w:end w:val="single" w:sz="16" w:space="0" w:color="FFFFFF"/>
            </w:tcBorders>
            <w:shd w:fill="CCCCCC"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t>951 - 1228 MMcf/d</w:t>
            </w:r>
          </w:p>
        </w:tc>
        <w:tc>
          <w:tcPr>
            <w:tcW w:w="2520" w:type="dxa"/>
            <w:tcBorders>
              <w:top w:val="single" w:sz="16" w:space="0" w:color="FFFFFF"/>
              <w:start w:val="single" w:sz="16" w:space="0" w:color="FFFFFF"/>
              <w:end w:val="single" w:sz="16" w:space="0" w:color="FFFFFF"/>
            </w:tcBorders>
            <w:shd w:fill="CCCCCC"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16"/>
              <w:jc w:val="center"/>
              <w:rPr>
                <w:rFonts w:ascii="Arial" w:hAnsi="Arial" w:cs="Arial"/>
              </w:rPr>
            </w:pPr>
            <w:r>
              <w:rPr>
                <w:rFonts w:cs="Arial" w:ascii="Arial" w:hAnsi="Arial"/>
              </w:rPr>
              <w:t>70 MMcf/d</w:t>
            </w:r>
          </w:p>
        </w:tc>
        <w:tc>
          <w:tcPr>
            <w:tcW w:w="2790" w:type="dxa"/>
            <w:tcBorders>
              <w:top w:val="single" w:sz="16" w:space="0" w:color="FFFFFF"/>
              <w:start w:val="single" w:sz="16" w:space="0" w:color="FFFFFF"/>
            </w:tcBorders>
            <w:shd w:fill="CCCCCC" w:val="clea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napToGrid w:val="false"/>
              <w:spacing w:lineRule="exact" w:line="16"/>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center"/>
              <w:rPr>
                <w:rFonts w:ascii="Arial" w:hAnsi="Arial" w:cs="Arial"/>
              </w:rPr>
            </w:pPr>
            <w:r>
              <w:rPr>
                <w:rFonts w:cs="Arial" w:ascii="Arial" w:hAnsi="Arial"/>
              </w:rPr>
              <w:t>136-175 MMcf/d</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b/>
        </w:rPr>
        <w:t>7.</w:t>
        <w:tab/>
        <w:t>OFOs, Balancing and Trading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 xml:space="preserve">The current OFO, balancing and trading procedures are acceptable, with one addition.  When PG&amp;E forecasts on OFO, the utility “freezes” nominations for three cycles.  During the freeze, system users cannot change nominations, even to nominate additional supplies.  PG&amp;E should allow users to increase nominations during high demand periods.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 xml:space="preserve">PG&amp;E should pursue the trading of OFO day imbalance rights ("Chip Trading") as outlined in the Gas OII Settlement.  At the end of each month PG&amp;E will calculate, for each OFO day, the amount in decatherms each balancing entity is within its allowable OFO tolerance band.  PG&amp;E will assign imbalance rights (or "chips") for each           decatherm out of balance for the given OFO day.  Chips may be bought and sold at market prices on a third-party provider’s [formerly ALTRA] trading platform for a fee.  Each OFO day is mutually exclusive; chips may only be traded with chips from the same OFO date.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PG&amp;E should continue to offer the existing “self-balancing” option offered with a service credit on transportation.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PG&amp;E should explore mechanisms to target regular abusers of the monthly 5% balancing tolerance.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WP9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No additional storage or pipeline resources should be allocated to balancing services.</w:t>
      </w:r>
    </w:p>
    <w:p>
      <w:pPr>
        <w:pStyle w:val="WP9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r>
        <w:br w:type="page"/>
      </w:r>
    </w:p>
    <w:p>
      <w:pPr>
        <w:pStyle w:val="WP9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WP9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eastAsia="Arial" w:cs="Arial" w:ascii="Arial" w:hAnsi="Arial"/>
        </w:rPr>
        <w:t xml:space="preserve"> </w:t>
      </w:r>
      <w:r>
        <w:rPr>
          <w:rFonts w:cs="Arial" w:ascii="Arial" w:hAnsi="Arial"/>
          <w:b/>
        </w:rPr>
        <w:t>8.</w:t>
        <w:tab/>
        <w:t>Reliability Solutions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 xml:space="preserve">PG&amp;E should continue to move the core class toward self-reliance on the availability of flowing supplies and storage, rather than relying on supply diversions from noncore and EG customers.  As PG&amp;E noted in its presentation, curtailments/diversions historically affected P5 customers, characterized as customers with alternative fuel supplies; business or electric generation could continue even during a curtailment, with a switch to fuel oil.  This is no longer the case.  PG&amp;E’s noncore and EG customers rely on the </w:t>
      </w:r>
    </w:p>
    <w:p>
      <w:pPr>
        <w:sectPr>
          <w:headerReference w:type="default" r:id="rId2"/>
          <w:footerReference w:type="default" r:id="rId3"/>
          <w:type w:val="nextPage"/>
          <w:pgSz w:w="12240" w:h="15840"/>
          <w:pgMar w:left="1440" w:right="1440" w:gutter="0" w:header="1440" w:top="1496" w:footer="1440" w:bottom="2405"/>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market for commodity price and contracts for flowing supply.  Diverting or curtailing these customers has wide-ranging impacts.  PG&amp;E should consider, for example, expanding core access and reliance on storage.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PG&amp;E should rely on market-driven solutions for noncore demand.  Specifically, PG&amp;E should not expand in-state transmission capacity unless and until interstate capacity expansions are also planned.  Wild Goose (online 1999) and Lodi (coming online around 2001) want access to Lines 400/401.  Expansion of the central backbone will allow these two storage providers and others, to gain access to demand bottlenecks.  This can be accomplished without upstream capacity additions.</w:t>
      </w:r>
    </w:p>
    <w:p>
      <w:pPr>
        <w:pStyle w:val="WP9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t xml:space="preserve">PG&amp;E should consider demand-response measures, employing the value of the demand response established by customer bids.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rFonts w:ascii="Arial" w:hAnsi="Arial" w:cs="Arial"/>
        </w:rPr>
      </w:pPr>
      <w:r>
        <w:rPr>
          <w:rFonts w:cs="Arial" w:ascii="Arial" w:hAnsi="Arial"/>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tLeast" w:line="0"/>
        <w:rPr>
          <w:rFonts w:ascii="Arial" w:hAnsi="Arial" w:cs="Arial"/>
        </w:rPr>
      </w:pPr>
      <w:r>
        <w:rPr>
          <w:rFonts w:cs="Arial" w:ascii="Arial" w:hAnsi="Arial"/>
        </w:rPr>
        <w:t>PG&amp;E should work with SoCalGas to maximize the use of SoCalGas’ excess storage capacity.  Critical to the success of this solution is a reasonable transportation rate from storage to the PG&amp;E burnertip.</w:t>
      </w:r>
    </w:p>
    <w:sectPr>
      <w:type w:val="continuous"/>
      <w:pgSz w:w="12240" w:h="15840"/>
      <w:pgMar w:left="1440" w:right="1440" w:gutter="0" w:header="1440" w:top="1496" w:footer="1440" w:bottom="2405"/>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exact" w:line="240"/>
      <w:rPr>
        <w:sz w:val="20"/>
      </w:rPr>
    </w:pPr>
    <w:r>
      <w:rPr>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pPr>
    <w:r>
      <w:rPr>
        <w:rFonts w:cs="Arial" w:ascii="Arial" w:hAnsi="Arial"/>
        <w:sz w:val="20"/>
      </w:rPr>
      <w:t>Indicated Producers</w:t>
    </w:r>
    <w:r>
      <w:rPr>
        <w:rFonts w:cs="WP TypographicSymbols;Courier New" w:ascii="WP TypographicSymbols;Courier New" w:hAnsi="WP TypographicSymbols;Courier New"/>
        <w:sz w:val="20"/>
      </w:rPr>
      <w:t>=</w:t>
    </w:r>
    <w:r>
      <w:rPr>
        <w:rFonts w:cs="Arial" w:ascii="Arial" w:hAnsi="Arial"/>
        <w:sz w:val="20"/>
      </w:rPr>
      <w:t xml:space="preserve"> Proposal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jc w:val="end"/>
      <w:rPr>
        <w:rFonts w:ascii="Arial" w:hAnsi="Arial" w:cs="Arial"/>
        <w:sz w:val="20"/>
      </w:rPr>
    </w:pPr>
    <w:r>
      <w:rPr>
        <w:rFonts w:cs="Arial" w:ascii="Arial" w:hAnsi="Arial"/>
        <w:sz w:val="20"/>
      </w:rPr>
      <w:t>November 15, 2000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pPr>
    <w:r>
      <w:rPr>
        <w:rFonts w:cs="Arial" w:ascii="Arial" w:hAnsi="Arial"/>
        <w:sz w:val="20"/>
      </w:rPr>
      <w:t xml:space="preserve">Page </w:t>
    </w:r>
    <w:r>
      <w:rPr>
        <w:rFonts w:cs="Arial" w:ascii="Arial" w:hAnsi="Arial"/>
        <w:sz w:val="20"/>
      </w:rPr>
      <w:fldChar w:fldCharType="begin"/>
    </w:r>
    <w:r>
      <w:rPr>
        <w:sz w:val="20"/>
        <w:rFonts w:cs="Arial" w:ascii="Arial" w:hAnsi="Arial"/>
      </w:rPr>
      <w:instrText xml:space="preserve"> PAGE \* ARABIC </w:instrText>
    </w:r>
    <w:r>
      <w:rPr>
        <w:sz w:val="20"/>
        <w:rFonts w:cs="Arial" w:ascii="Arial" w:hAnsi="Arial"/>
      </w:rPr>
      <w:fldChar w:fldCharType="separate"/>
    </w:r>
    <w:r>
      <w:rPr>
        <w:sz w:val="20"/>
        <w:rFonts w:cs="Arial" w:ascii="Arial" w:hAnsi="Arial"/>
      </w:rPr>
      <w:t>6</w:t>
    </w:r>
    <w:r>
      <w:rPr>
        <w:sz w:val="20"/>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center"/>
      <w:rPr/>
    </w:pPr>
    <w:r>
      <w:rPr/>
      <w:t>Confidential for Settlement Discussions Pursuant to CPUC Rule 51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suff w:val="nothing"/>
      <w:lvlText w:val="%1.%2%3"/>
      <w:lvlJc w:val="start"/>
      <w:pPr>
        <w:tabs>
          <w:tab w:val="num" w:pos="0"/>
        </w:tabs>
        <w:ind w:start="0" w:hanging="0"/>
      </w:pPr>
    </w:lvl>
    <w:lvl w:ilvl="3">
      <w:start w:val="1"/>
      <w:numFmt w:val="decimal"/>
      <w:suff w:val="nothing"/>
      <w:lvlText w:val="%1.%2%3%4"/>
      <w:lvlJc w:val="start"/>
      <w:pPr>
        <w:tabs>
          <w:tab w:val="num" w:pos="0"/>
        </w:tabs>
        <w:ind w:start="0" w:hanging="0"/>
      </w:pPr>
    </w:lvl>
    <w:lvl w:ilvl="4">
      <w:start w:val="1"/>
      <w:numFmt w:val="decimal"/>
      <w:suff w:val="nothing"/>
      <w:lvlText w:val="%1.%2%3%4%5"/>
      <w:lvlJc w:val="start"/>
      <w:pPr>
        <w:tabs>
          <w:tab w:val="num" w:pos="0"/>
        </w:tabs>
        <w:ind w:start="0" w:hanging="0"/>
      </w:pPr>
    </w:lvl>
    <w:lvl w:ilvl="5">
      <w:start w:val="1"/>
      <w:numFmt w:val="decimal"/>
      <w:suff w:val="nothing"/>
      <w:lvlText w:val="%1.%2%3%4%5%6"/>
      <w:lvlJc w:val="start"/>
      <w:pPr>
        <w:tabs>
          <w:tab w:val="num" w:pos="0"/>
        </w:tabs>
        <w:ind w:start="0" w:hanging="0"/>
      </w:pPr>
    </w:lvl>
    <w:lvl w:ilvl="6">
      <w:start w:val="1"/>
      <w:numFmt w:val="decimal"/>
      <w:suff w:val="nothing"/>
      <w:lvlText w:val="%1.%2%3%4%5%6%7"/>
      <w:lvlJc w:val="start"/>
      <w:pPr>
        <w:tabs>
          <w:tab w:val="num" w:pos="0"/>
        </w:tabs>
        <w:ind w:start="0" w:hanging="0"/>
      </w:pPr>
    </w:lvl>
    <w:lvl w:ilvl="7">
      <w:start w:val="1"/>
      <w:numFmt w:val="decimal"/>
      <w:suff w:val="nothing"/>
      <w:lvlText w:val="%1.%2%3%4%5%6%7%8"/>
      <w:lvlJc w:val="start"/>
      <w:pPr>
        <w:tabs>
          <w:tab w:val="num" w:pos="0"/>
        </w:tabs>
        <w:ind w:start="0" w:hanging="0"/>
      </w:pPr>
    </w:lvl>
    <w:lvl w:ilvl="8">
      <w:start w:val="1"/>
      <w:numFmt w:val="lowerRoman"/>
      <w:suff w:val="nothing"/>
      <w:lvlText w:val="%9)"/>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suff w:val="nothing"/>
      <w:lvlText w:val="(%1)%2%3"/>
      <w:lvlJc w:val="start"/>
      <w:pPr>
        <w:tabs>
          <w:tab w:val="num" w:pos="0"/>
        </w:tabs>
        <w:ind w:start="0" w:hanging="0"/>
      </w:pPr>
    </w:lvl>
    <w:lvl w:ilvl="3">
      <w:start w:val="1"/>
      <w:numFmt w:val="decimal"/>
      <w:suff w:val="nothing"/>
      <w:lvlText w:val="(%1)%2%3%4"/>
      <w:lvlJc w:val="start"/>
      <w:pPr>
        <w:tabs>
          <w:tab w:val="num" w:pos="0"/>
        </w:tabs>
        <w:ind w:start="0" w:hanging="0"/>
      </w:pPr>
    </w:lvl>
    <w:lvl w:ilvl="4">
      <w:start w:val="1"/>
      <w:numFmt w:val="decimal"/>
      <w:suff w:val="nothing"/>
      <w:lvlText w:val="(%1)%2%3%4%5"/>
      <w:lvlJc w:val="start"/>
      <w:pPr>
        <w:tabs>
          <w:tab w:val="num" w:pos="0"/>
        </w:tabs>
        <w:ind w:start="0" w:hanging="0"/>
      </w:pPr>
    </w:lvl>
    <w:lvl w:ilvl="5">
      <w:start w:val="1"/>
      <w:numFmt w:val="decimal"/>
      <w:suff w:val="nothing"/>
      <w:lvlText w:val="(%1)%2%3%4%5%6"/>
      <w:lvlJc w:val="start"/>
      <w:pPr>
        <w:tabs>
          <w:tab w:val="num" w:pos="0"/>
        </w:tabs>
        <w:ind w:start="0" w:hanging="0"/>
      </w:pPr>
    </w:lvl>
    <w:lvl w:ilvl="6">
      <w:start w:val="1"/>
      <w:numFmt w:val="decimal"/>
      <w:suff w:val="nothing"/>
      <w:lvlText w:val="(%1)%2%3%4%5%6%7"/>
      <w:lvlJc w:val="start"/>
      <w:pPr>
        <w:tabs>
          <w:tab w:val="num" w:pos="0"/>
        </w:tabs>
        <w:ind w:start="0" w:hanging="0"/>
      </w:pPr>
    </w:lvl>
    <w:lvl w:ilvl="7">
      <w:start w:val="1"/>
      <w:numFmt w:val="decimal"/>
      <w:suff w:val="nothing"/>
      <w:lvlText w:val="(%1)%2%3%4%5%6%7%8"/>
      <w:lvlJc w:val="start"/>
      <w:pPr>
        <w:tabs>
          <w:tab w:val="num" w:pos="0"/>
        </w:tabs>
        <w:ind w:start="0" w:hanging="0"/>
      </w:pPr>
    </w:lvl>
    <w:lvl w:ilvl="8">
      <w:start w:val="1"/>
      <w:numFmt w:val="lowerRoman"/>
      <w:suff w:val="nothing"/>
      <w:lvlText w:val="%9)"/>
      <w:lvlJc w:val="start"/>
      <w:pPr>
        <w:tabs>
          <w:tab w:val="num" w:pos="0"/>
        </w:tabs>
        <w:ind w:start="0" w:hanging="0"/>
      </w:pPr>
    </w:lvl>
  </w:abstractNum>
  <w:abstractNum w:abstractNumId="3">
    <w:lvl w:ilvl="0">
      <w:start w:val="3"/>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suff w:val="nothing"/>
      <w:lvlText w:val="%1.%2%3"/>
      <w:lvlJc w:val="start"/>
      <w:pPr>
        <w:tabs>
          <w:tab w:val="num" w:pos="0"/>
        </w:tabs>
        <w:ind w:start="0" w:hanging="0"/>
      </w:pPr>
    </w:lvl>
    <w:lvl w:ilvl="3">
      <w:start w:val="1"/>
      <w:numFmt w:val="decimal"/>
      <w:suff w:val="nothing"/>
      <w:lvlText w:val="%1.%2%3%4"/>
      <w:lvlJc w:val="start"/>
      <w:pPr>
        <w:tabs>
          <w:tab w:val="num" w:pos="0"/>
        </w:tabs>
        <w:ind w:start="0" w:hanging="0"/>
      </w:pPr>
    </w:lvl>
    <w:lvl w:ilvl="4">
      <w:start w:val="1"/>
      <w:numFmt w:val="decimal"/>
      <w:suff w:val="nothing"/>
      <w:lvlText w:val="%1.%2%3%4%5"/>
      <w:lvlJc w:val="start"/>
      <w:pPr>
        <w:tabs>
          <w:tab w:val="num" w:pos="0"/>
        </w:tabs>
        <w:ind w:start="0" w:hanging="0"/>
      </w:pPr>
    </w:lvl>
    <w:lvl w:ilvl="5">
      <w:start w:val="1"/>
      <w:numFmt w:val="decimal"/>
      <w:suff w:val="nothing"/>
      <w:lvlText w:val="%1.%2%3%4%5%6"/>
      <w:lvlJc w:val="start"/>
      <w:pPr>
        <w:tabs>
          <w:tab w:val="num" w:pos="0"/>
        </w:tabs>
        <w:ind w:start="0" w:hanging="0"/>
      </w:pPr>
    </w:lvl>
    <w:lvl w:ilvl="6">
      <w:start w:val="1"/>
      <w:numFmt w:val="decimal"/>
      <w:suff w:val="nothing"/>
      <w:lvlText w:val="%1.%2%3%4%5%6%7"/>
      <w:lvlJc w:val="start"/>
      <w:pPr>
        <w:tabs>
          <w:tab w:val="num" w:pos="0"/>
        </w:tabs>
        <w:ind w:start="0" w:hanging="0"/>
      </w:pPr>
    </w:lvl>
    <w:lvl w:ilvl="7">
      <w:start w:val="1"/>
      <w:numFmt w:val="decimal"/>
      <w:suff w:val="nothing"/>
      <w:lvlText w:val="%1.%2%3%4%5%6%7%8"/>
      <w:lvlJc w:val="start"/>
      <w:pPr>
        <w:tabs>
          <w:tab w:val="num" w:pos="0"/>
        </w:tabs>
        <w:ind w:start="0" w:hanging="0"/>
      </w:pPr>
    </w:lvl>
    <w:lvl w:ilvl="8">
      <w:start w:val="1"/>
      <w:numFmt w:val="lowerRoman"/>
      <w:suff w:val="nothing"/>
      <w:lvlText w:val="%9)"/>
      <w:lvlJc w:val="start"/>
      <w:pPr>
        <w:tabs>
          <w:tab w:val="num" w:pos="0"/>
        </w:tabs>
        <w:ind w:start="0" w:hanging="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DefaultPara">
    <w:name w:val="Default Para"/>
    <w:qFormat/>
    <w:rPr/>
  </w:style>
  <w:style w:type="character" w:styleId="FootnoteRef">
    <w:name w:val="Footnote Ref"/>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evel1">
    <w:name w:val="Level 1"/>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720" w:end="0"/>
    </w:pPr>
    <w:rPr/>
  </w:style>
  <w:style w:type="paragraph" w:styleId="level2">
    <w:name w:val="_level2"/>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720" w:end="0"/>
    </w:pPr>
    <w:rPr/>
  </w:style>
  <w:style w:type="paragraph" w:styleId="level3">
    <w:name w:val="_level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080" w:end="0"/>
    </w:pPr>
    <w:rPr/>
  </w:style>
  <w:style w:type="paragraph" w:styleId="level4">
    <w:name w:val="_level4"/>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440" w:end="0"/>
    </w:pPr>
    <w:rPr/>
  </w:style>
  <w:style w:type="paragraph" w:styleId="level5">
    <w:name w:val="_level5"/>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800" w:end="0"/>
    </w:pPr>
    <w:rPr/>
  </w:style>
  <w:style w:type="paragraph" w:styleId="level6">
    <w:name w:val="_level6"/>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160" w:end="0"/>
    </w:pPr>
    <w:rPr/>
  </w:style>
  <w:style w:type="paragraph" w:styleId="level7">
    <w:name w:val="_level7"/>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520" w:end="0"/>
    </w:pPr>
    <w:rPr/>
  </w:style>
  <w:style w:type="paragraph" w:styleId="level8">
    <w:name w:val="_level8"/>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880" w:end="0"/>
    </w:pPr>
    <w:rPr/>
  </w:style>
  <w:style w:type="paragraph" w:styleId="Level9">
    <w:name w:val="Level 9"/>
    <w:basedOn w:val="Normal"/>
    <w:qFormat/>
    <w:pPr>
      <w:widowControl w:val="false"/>
    </w:pPr>
    <w:rPr>
      <w:b/>
    </w:rPr>
  </w:style>
  <w:style w:type="paragraph" w:styleId="level11">
    <w:name w:val="_level1"/>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60" w:end="0"/>
    </w:pPr>
    <w:rPr/>
  </w:style>
  <w:style w:type="paragraph" w:styleId="level91">
    <w:name w:val="_level9"/>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240" w:end="0"/>
    </w:pPr>
    <w:rPr/>
  </w:style>
  <w:style w:type="paragraph" w:styleId="levsl1">
    <w:name w:val="_levsl1"/>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60" w:end="0"/>
    </w:pPr>
    <w:rPr/>
  </w:style>
  <w:style w:type="paragraph" w:styleId="levsl2">
    <w:name w:val="_levsl2"/>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720" w:end="0"/>
    </w:pPr>
    <w:rPr/>
  </w:style>
  <w:style w:type="paragraph" w:styleId="levsl3">
    <w:name w:val="_levsl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080" w:end="0"/>
    </w:pPr>
    <w:rPr/>
  </w:style>
  <w:style w:type="paragraph" w:styleId="levsl4">
    <w:name w:val="_levsl4"/>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440" w:end="0"/>
    </w:pPr>
    <w:rPr/>
  </w:style>
  <w:style w:type="paragraph" w:styleId="levsl5">
    <w:name w:val="_levsl5"/>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800" w:end="0"/>
    </w:pPr>
    <w:rPr/>
  </w:style>
  <w:style w:type="paragraph" w:styleId="levsl6">
    <w:name w:val="_levsl6"/>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160" w:end="0"/>
    </w:pPr>
    <w:rPr/>
  </w:style>
  <w:style w:type="paragraph" w:styleId="levsl7">
    <w:name w:val="_levsl7"/>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520" w:end="0"/>
    </w:pPr>
    <w:rPr/>
  </w:style>
  <w:style w:type="paragraph" w:styleId="levsl8">
    <w:name w:val="_levsl8"/>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880" w:end="0"/>
    </w:pPr>
    <w:rPr/>
  </w:style>
  <w:style w:type="paragraph" w:styleId="levsl9">
    <w:name w:val="_levsl9"/>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240" w:end="0"/>
    </w:pPr>
    <w:rPr/>
  </w:style>
  <w:style w:type="paragraph" w:styleId="levnl1">
    <w:name w:val="_levnl1"/>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60" w:end="0"/>
    </w:pPr>
    <w:rPr/>
  </w:style>
  <w:style w:type="paragraph" w:styleId="levnl2">
    <w:name w:val="_levnl2"/>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720" w:end="0"/>
    </w:pPr>
    <w:rPr/>
  </w:style>
  <w:style w:type="paragraph" w:styleId="levnl3">
    <w:name w:val="_levnl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080" w:end="0"/>
    </w:pPr>
    <w:rPr/>
  </w:style>
  <w:style w:type="paragraph" w:styleId="levnl4">
    <w:name w:val="_levnl4"/>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440" w:end="0"/>
    </w:pPr>
    <w:rPr/>
  </w:style>
  <w:style w:type="paragraph" w:styleId="levnl5">
    <w:name w:val="_levnl5"/>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800" w:end="0"/>
    </w:pPr>
    <w:rPr/>
  </w:style>
  <w:style w:type="paragraph" w:styleId="levnl6">
    <w:name w:val="_levnl6"/>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160" w:end="0"/>
    </w:pPr>
    <w:rPr/>
  </w:style>
  <w:style w:type="paragraph" w:styleId="levnl7">
    <w:name w:val="_levnl7"/>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520" w:end="0"/>
    </w:pPr>
    <w:rPr/>
  </w:style>
  <w:style w:type="paragraph" w:styleId="levnl8">
    <w:name w:val="_levnl8"/>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880" w:end="0"/>
    </w:pPr>
    <w:rPr/>
  </w:style>
  <w:style w:type="paragraph" w:styleId="levnl9">
    <w:name w:val="_levnl9"/>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240" w:end="0"/>
    </w:pPr>
    <w:rPr/>
  </w:style>
  <w:style w:type="paragraph" w:styleId="WP9Heading1">
    <w:name w:val="WP9_Heading 1"/>
    <w:basedOn w:val="Normal"/>
    <w:qFormat/>
    <w:pPr>
      <w:widowControl w:val="false"/>
      <w:jc w:val="center"/>
    </w:pPr>
    <w:rPr>
      <w:rFonts w:ascii="Arial" w:hAnsi="Arial" w:cs="Arial"/>
      <w:b/>
      <w:sz w:val="24"/>
    </w:rPr>
  </w:style>
  <w:style w:type="paragraph" w:styleId="WP9BodyText">
    <w:name w:val="WP9_Body Text"/>
    <w:basedOn w:val="Normal"/>
    <w:qFormat/>
    <w:pPr>
      <w:widowControl w:val="false"/>
    </w:pPr>
    <w:rPr>
      <w:sz w:val="24"/>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2000-11-27T12:59:00Z</dcterms:created>
  <dc:creator>Elizabeth Westby</dc:creator>
  <dc:description/>
  <dc:language>en-CA</dc:language>
  <cp:lastModifiedBy>A PG&amp;E Employee</cp:lastModifiedBy>
  <cp:lastPrinted>2000-11-22T09:34:00Z</cp:lastPrinted>
  <dcterms:modified xsi:type="dcterms:W3CDTF">2000-11-27T12:59:00Z</dcterms:modified>
  <cp:revision>2</cp:revision>
  <dc:subject/>
  <dc:title/>
</cp:coreProperties>
</file>