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drawing>
          <wp:inline distT="0" distB="0" distL="0" distR="0">
            <wp:extent cx="1236345" cy="12325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36345" cy="1232535"/>
                    </a:xfrm>
                    <a:prstGeom prst="rect">
                      <a:avLst/>
                    </a:prstGeom>
                    <a:noFill/>
                  </pic:spPr>
                </pic:pic>
              </a:graphicData>
            </a:graphic>
          </wp:inline>
        </w:drawing>
      </w:r>
    </w:p>
    <w:p>
      <w:pPr>
        <w:pStyle w:val="Normal"/>
        <w:rPr>
          <w:sz w:val="32"/>
        </w:rPr>
      </w:pPr>
      <w:r>
        <w:rPr>
          <w:sz w:val="32"/>
        </w:rPr>
      </w:r>
    </w:p>
    <w:p>
      <w:pPr>
        <w:pStyle w:val="Normal"/>
        <w:rPr/>
      </w:pPr>
      <w:r>
        <w:rPr/>
      </w:r>
    </w:p>
    <w:p>
      <w:pPr>
        <w:pStyle w:val="Heading1"/>
        <w:ind w:hanging="0" w:start="0"/>
        <w:jc w:val="center"/>
        <w:rPr>
          <w:sz w:val="32"/>
        </w:rPr>
      </w:pPr>
      <w:r>
        <w:rPr>
          <w:sz w:val="32"/>
        </w:rPr>
      </w:r>
    </w:p>
    <w:p>
      <w:pPr>
        <w:pStyle w:val="Heading1"/>
        <w:ind w:hanging="0" w:start="0"/>
        <w:jc w:val="center"/>
        <w:rPr>
          <w:sz w:val="32"/>
        </w:rPr>
      </w:pPr>
      <w:r>
        <w:rPr>
          <w:sz w:val="32"/>
        </w:rPr>
      </w:r>
    </w:p>
    <w:p>
      <w:pPr>
        <w:pStyle w:val="Heading1"/>
        <w:ind w:hanging="0" w:start="0"/>
        <w:jc w:val="center"/>
        <w:rPr>
          <w:sz w:val="32"/>
        </w:rPr>
      </w:pPr>
      <w:r>
        <w:rPr>
          <w:sz w:val="32"/>
        </w:rPr>
      </w:r>
    </w:p>
    <w:p>
      <w:pPr>
        <w:pStyle w:val="Heading1"/>
        <w:ind w:hanging="0" w:start="0"/>
        <w:jc w:val="center"/>
        <w:rPr>
          <w:sz w:val="36"/>
        </w:rPr>
      </w:pPr>
      <w:r>
        <w:rPr>
          <w:sz w:val="36"/>
        </w:rPr>
      </w:r>
    </w:p>
    <w:p>
      <w:pPr>
        <w:pStyle w:val="Heading1"/>
        <w:ind w:hanging="0" w:start="0"/>
        <w:jc w:val="center"/>
        <w:rPr>
          <w:sz w:val="36"/>
        </w:rPr>
      </w:pPr>
      <w:r>
        <w:rPr>
          <w:sz w:val="36"/>
        </w:rPr>
        <w:t>MG Metall Recycling</w:t>
      </w:r>
    </w:p>
    <w:p>
      <w:pPr>
        <w:pStyle w:val="Normal"/>
        <w:jc w:val="center"/>
        <w:rPr>
          <w:sz w:val="36"/>
        </w:rPr>
      </w:pPr>
      <w:r>
        <w:rPr>
          <w:sz w:val="36"/>
        </w:rPr>
      </w:r>
    </w:p>
    <w:p>
      <w:pPr>
        <w:pStyle w:val="Normal"/>
        <w:jc w:val="center"/>
        <w:rPr/>
      </w:pPr>
      <w:r>
        <w:rPr/>
      </w:r>
    </w:p>
    <w:p>
      <w:pPr>
        <w:pStyle w:val="Normal"/>
        <w:jc w:val="center"/>
        <w:rPr/>
      </w:pPr>
      <w:r>
        <w:rPr/>
      </w:r>
    </w:p>
    <w:p>
      <w:pPr>
        <w:pStyle w:val="Heading1"/>
        <w:ind w:hanging="0" w:start="0"/>
        <w:jc w:val="center"/>
        <w:rPr>
          <w:sz w:val="32"/>
        </w:rPr>
      </w:pPr>
      <w:r>
        <w:rPr>
          <w:sz w:val="32"/>
        </w:rPr>
        <w:t>Review of Indian Deals</w:t>
      </w:r>
    </w:p>
    <w:p>
      <w:pPr>
        <w:pStyle w:val="Normal"/>
        <w:rPr>
          <w:sz w:val="32"/>
        </w:rPr>
      </w:pPr>
      <w:r>
        <w:rPr>
          <w:sz w:val="32"/>
        </w:rPr>
      </w:r>
    </w:p>
    <w:p>
      <w:pPr>
        <w:pStyle w:val="Normal"/>
        <w:rPr>
          <w:sz w:val="32"/>
        </w:rPr>
      </w:pPr>
      <w:r>
        <w:rPr>
          <w:sz w:val="3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Issue date:</w:t>
        <w:tab/>
        <w:tab/>
        <w:t>1 Dec  2000</w:t>
      </w:r>
    </w:p>
    <w:p>
      <w:pPr>
        <w:pStyle w:val="Normal"/>
        <w:rPr/>
      </w:pPr>
      <w:r>
        <w:rPr/>
      </w:r>
    </w:p>
    <w:p>
      <w:pPr>
        <w:pStyle w:val="Normal"/>
        <w:rPr/>
      </w:pPr>
      <w:r>
        <w:rPr/>
      </w:r>
    </w:p>
    <w:p>
      <w:pPr>
        <w:pStyle w:val="Normal"/>
        <w:rPr/>
      </w:pPr>
      <w:r>
        <w:rPr/>
        <w:t>Completed by:</w:t>
        <w:tab/>
        <w:tab/>
        <w:t>Doug Imrie</w:t>
      </w:r>
    </w:p>
    <w:p>
      <w:pPr>
        <w:pStyle w:val="Normal"/>
        <w:rPr/>
      </w:pPr>
      <w:r>
        <w:rPr/>
      </w:r>
    </w:p>
    <w:p>
      <w:pPr>
        <w:pStyle w:val="Normal"/>
        <w:rPr/>
      </w:pPr>
      <w:r>
        <w:rPr/>
      </w:r>
    </w:p>
    <w:p>
      <w:pPr>
        <w:pStyle w:val="Normal"/>
        <w:rPr/>
      </w:pPr>
      <w:r>
        <w:rPr/>
        <w:t>Distribution List:</w:t>
        <w:tab/>
        <w:tab/>
        <w:t>Mike Jordan</w:t>
      </w:r>
    </w:p>
    <w:p>
      <w:pPr>
        <w:pStyle w:val="Normal"/>
        <w:rPr/>
      </w:pPr>
      <w:r>
        <w:rPr/>
        <w:tab/>
        <w:tab/>
        <w:tab/>
        <w:t>Naomi Connell</w:t>
      </w:r>
    </w:p>
    <w:p>
      <w:pPr>
        <w:pStyle w:val="Normal"/>
        <w:rPr/>
      </w:pPr>
      <w:r>
        <w:rPr/>
        <w:tab/>
        <w:tab/>
        <w:tab/>
        <w:t>Andrew Cornfield</w:t>
      </w:r>
    </w:p>
    <w:p>
      <w:pPr>
        <w:pStyle w:val="Normal"/>
        <w:rPr/>
      </w:pPr>
      <w:r>
        <w:rPr/>
        <w:tab/>
        <w:tab/>
        <w:tab/>
        <w:t>Rob Soeldner</w:t>
      </w:r>
    </w:p>
    <w:p>
      <w:pPr>
        <w:pStyle w:val="Normal"/>
        <w:rPr/>
      </w:pPr>
      <w:r>
        <w:rPr/>
        <w:tab/>
        <w:tab/>
        <w:tab/>
        <w:t>John Gill</w:t>
      </w:r>
    </w:p>
    <w:p>
      <w:pPr>
        <w:pStyle w:val="Normal"/>
        <w:ind w:firstLine="720" w:start="1440" w:end="0"/>
        <w:rPr/>
      </w:pPr>
      <w:r>
        <w:rPr/>
        <w:t>Ralph Jaeger</w:t>
      </w:r>
    </w:p>
    <w:p>
      <w:pPr>
        <w:pStyle w:val="Normal"/>
        <w:rPr/>
      </w:pPr>
      <w:r>
        <w:rPr/>
        <w:tab/>
        <w:tab/>
        <w:tab/>
        <w:t>Tina Ward</w:t>
      </w:r>
    </w:p>
    <w:p>
      <w:pPr>
        <w:pStyle w:val="Normal"/>
        <w:rPr/>
      </w:pPr>
      <w:r>
        <w:rPr/>
        <w:tab/>
        <w:tab/>
        <w:tab/>
        <w:t>Angela Brown</w:t>
      </w:r>
    </w:p>
    <w:p>
      <w:pPr>
        <w:pStyle w:val="Normal"/>
        <w:rPr/>
      </w:pPr>
      <w:r>
        <w:rPr/>
        <w:tab/>
        <w:tab/>
        <w:tab/>
        <w:t>Paul Simons</w:t>
      </w:r>
    </w:p>
    <w:p>
      <w:pPr>
        <w:pStyle w:val="Normal"/>
        <w:rPr/>
      </w:pPr>
      <w:r>
        <w:rPr/>
      </w:r>
      <w:r>
        <w:br w:type="page"/>
      </w:r>
    </w:p>
    <w:p>
      <w:pPr>
        <w:pStyle w:val="Heading1"/>
        <w:ind w:hanging="0" w:start="0"/>
        <w:jc w:val="both"/>
        <w:rPr>
          <w:sz w:val="32"/>
        </w:rPr>
      </w:pPr>
      <w:r>
        <w:rPr>
          <w:sz w:val="32"/>
        </w:rPr>
        <w:t>Overview</w:t>
      </w:r>
    </w:p>
    <w:p>
      <w:pPr>
        <w:pStyle w:val="Normal"/>
        <w:jc w:val="both"/>
        <w:rPr>
          <w:sz w:val="32"/>
        </w:rPr>
      </w:pPr>
      <w:r>
        <w:rPr>
          <w:sz w:val="32"/>
        </w:rPr>
      </w:r>
    </w:p>
    <w:p>
      <w:pPr>
        <w:pStyle w:val="Normal"/>
        <w:jc w:val="both"/>
        <w:rPr/>
      </w:pPr>
      <w:r>
        <w:rPr/>
        <w:t>The review arose because of a number of unusual sales transactions that MG Metall Recycling (“MGMR”) had entered into with Indian Couterparties; these transactions covered two forms:</w:t>
      </w:r>
    </w:p>
    <w:p>
      <w:pPr>
        <w:pStyle w:val="Normal"/>
        <w:jc w:val="both"/>
        <w:rPr/>
      </w:pPr>
      <w:r>
        <w:rPr/>
      </w:r>
    </w:p>
    <w:p>
      <w:pPr>
        <w:pStyle w:val="Heading3"/>
        <w:numPr>
          <w:ilvl w:val="0"/>
          <w:numId w:val="5"/>
        </w:numPr>
        <w:jc w:val="both"/>
        <w:rPr/>
      </w:pPr>
      <w:r>
        <w:rPr/>
        <w:t>“</w:t>
      </w:r>
      <w:r>
        <w:rPr/>
        <w:t>Underpaid Contracts”</w:t>
      </w:r>
    </w:p>
    <w:p>
      <w:pPr>
        <w:pStyle w:val="Normal"/>
        <w:jc w:val="both"/>
        <w:rPr/>
      </w:pPr>
      <w:r>
        <w:rPr/>
      </w:r>
    </w:p>
    <w:p>
      <w:pPr>
        <w:pStyle w:val="Normal"/>
        <w:jc w:val="both"/>
        <w:rPr/>
      </w:pPr>
      <w:r>
        <w:rPr/>
        <w:t>On some deals with India, MGMR were producing two contracts.</w:t>
      </w:r>
    </w:p>
    <w:p>
      <w:pPr>
        <w:pStyle w:val="Normal"/>
        <w:jc w:val="both"/>
        <w:rPr/>
      </w:pPr>
      <w:r>
        <w:rPr/>
      </w:r>
    </w:p>
    <w:p>
      <w:pPr>
        <w:pStyle w:val="Normal"/>
        <w:numPr>
          <w:ilvl w:val="0"/>
          <w:numId w:val="4"/>
        </w:numPr>
        <w:jc w:val="both"/>
        <w:rPr/>
      </w:pPr>
      <w:r>
        <w:rPr/>
        <w:t>The original contract (“Contract A”) was that which had been entered into with the Indian counterparties (“the Counterparties”), it specified the material type, the quantity, price per tonne, delivery and payment terms of the deal, see Appendix 1a.</w:t>
      </w:r>
    </w:p>
    <w:p>
      <w:pPr>
        <w:pStyle w:val="Normal"/>
        <w:jc w:val="both"/>
        <w:rPr/>
      </w:pPr>
      <w:r>
        <w:rPr/>
      </w:r>
    </w:p>
    <w:p>
      <w:pPr>
        <w:pStyle w:val="Normal"/>
        <w:numPr>
          <w:ilvl w:val="0"/>
          <w:numId w:val="4"/>
        </w:numPr>
        <w:jc w:val="both"/>
        <w:rPr/>
      </w:pPr>
      <w:r>
        <w:rPr/>
        <w:t>A second contract (“Contract B”) was also produced which was sent to the Counterparty, it was exactly the same as the first contract except that it had a lower price per tonne, see Appendix 1b.</w:t>
      </w:r>
    </w:p>
    <w:p>
      <w:pPr>
        <w:pStyle w:val="Normal"/>
        <w:jc w:val="both"/>
        <w:rPr/>
      </w:pPr>
      <w:r>
        <w:rPr/>
      </w:r>
    </w:p>
    <w:p>
      <w:pPr>
        <w:pStyle w:val="Normal"/>
        <w:jc w:val="both"/>
        <w:rPr/>
      </w:pPr>
      <w:r>
        <w:rPr/>
        <w:t>Two invoices were then issued.</w:t>
      </w:r>
    </w:p>
    <w:p>
      <w:pPr>
        <w:pStyle w:val="Normal"/>
        <w:jc w:val="both"/>
        <w:rPr/>
      </w:pPr>
      <w:r>
        <w:rPr/>
      </w:r>
    </w:p>
    <w:p>
      <w:pPr>
        <w:pStyle w:val="Normal"/>
        <w:numPr>
          <w:ilvl w:val="0"/>
          <w:numId w:val="3"/>
        </w:numPr>
        <w:jc w:val="both"/>
        <w:rPr/>
      </w:pPr>
      <w:r>
        <w:rPr/>
        <w:t>An internal invoice (“Invoice A”) with a price per tonne equal to the differences between the prices per tonne of Contract A and Contract B, see Appendix 2a.</w:t>
      </w:r>
    </w:p>
    <w:p>
      <w:pPr>
        <w:pStyle w:val="Normal"/>
        <w:jc w:val="both"/>
        <w:rPr/>
      </w:pPr>
      <w:r>
        <w:rPr/>
      </w:r>
    </w:p>
    <w:p>
      <w:pPr>
        <w:pStyle w:val="Normal"/>
        <w:numPr>
          <w:ilvl w:val="0"/>
          <w:numId w:val="3"/>
        </w:numPr>
        <w:jc w:val="both"/>
        <w:rPr/>
      </w:pPr>
      <w:r>
        <w:rPr/>
        <w:t>An external invoice was also produced this was sent with the goods to India, with a price per tonne equal to that of Contract B, see Appendix 2b.</w:t>
      </w:r>
    </w:p>
    <w:p>
      <w:pPr>
        <w:pStyle w:val="Normal"/>
        <w:jc w:val="both"/>
        <w:rPr/>
      </w:pPr>
      <w:r>
        <w:rPr/>
      </w:r>
    </w:p>
    <w:p>
      <w:pPr>
        <w:pStyle w:val="Heading3"/>
        <w:ind w:hanging="0" w:start="0"/>
        <w:jc w:val="both"/>
        <w:rPr/>
      </w:pPr>
      <w:r>
        <w:rPr/>
        <w:t>Motive</w:t>
      </w:r>
    </w:p>
    <w:p>
      <w:pPr>
        <w:pStyle w:val="Normal"/>
        <w:jc w:val="both"/>
        <w:rPr>
          <w:color w:val="000000"/>
        </w:rPr>
      </w:pPr>
      <w:r>
        <w:rPr>
          <w:color w:val="000000"/>
        </w:rPr>
      </w:r>
    </w:p>
    <w:p>
      <w:pPr>
        <w:pStyle w:val="BodyText"/>
        <w:rPr>
          <w:color w:val="000000"/>
        </w:rPr>
      </w:pPr>
      <w:r>
        <w:rPr>
          <w:color w:val="000000"/>
        </w:rPr>
        <w:t>The principal motive behind this transaction would appear to be to aid the counterparties in minimising their liability of import duty which is payable in India by the importer at a rate of 56%.</w:t>
      </w:r>
    </w:p>
    <w:p>
      <w:pPr>
        <w:pStyle w:val="Normal"/>
        <w:jc w:val="both"/>
        <w:rPr>
          <w:color w:val="000000"/>
        </w:rPr>
      </w:pPr>
      <w:r>
        <w:rPr>
          <w:color w:val="000000"/>
        </w:rPr>
      </w:r>
    </w:p>
    <w:p>
      <w:pPr>
        <w:pStyle w:val="Heading3"/>
        <w:ind w:hanging="0" w:start="0"/>
        <w:jc w:val="both"/>
        <w:rPr/>
      </w:pPr>
      <w:r>
        <w:rPr/>
        <w:t>2.  “Overpaid Contracts”</w:t>
      </w:r>
    </w:p>
    <w:p>
      <w:pPr>
        <w:pStyle w:val="Normal"/>
        <w:jc w:val="both"/>
        <w:rPr/>
      </w:pPr>
      <w:r>
        <w:rPr/>
      </w:r>
    </w:p>
    <w:p>
      <w:pPr>
        <w:pStyle w:val="Normal"/>
        <w:jc w:val="both"/>
        <w:rPr/>
      </w:pPr>
      <w:r>
        <w:rPr/>
        <w:t>Once a deal had been made with a Counterparty the contract would state a value higher than that, which had been agreed on the deal ticket, see Appendix 3.</w:t>
      </w:r>
    </w:p>
    <w:p>
      <w:pPr>
        <w:pStyle w:val="Normal"/>
        <w:jc w:val="both"/>
        <w:rPr/>
      </w:pPr>
      <w:r>
        <w:rPr/>
      </w:r>
    </w:p>
    <w:p>
      <w:pPr>
        <w:pStyle w:val="Normal"/>
        <w:jc w:val="both"/>
        <w:rPr/>
      </w:pPr>
      <w:r>
        <w:rPr/>
        <w:t>Once the invoice had been issued and paid, an internal invoice would be raised for Ramnik Busa (“Busa”) to the value of the original modification between the deal ticket and the contract.</w:t>
      </w:r>
    </w:p>
    <w:p>
      <w:pPr>
        <w:pStyle w:val="Normal"/>
        <w:jc w:val="both"/>
        <w:rPr/>
      </w:pPr>
      <w:r>
        <w:rPr/>
      </w:r>
    </w:p>
    <w:p>
      <w:pPr>
        <w:pStyle w:val="Normal"/>
        <w:jc w:val="both"/>
        <w:rPr/>
      </w:pPr>
      <w:r>
        <w:rPr/>
        <w:t>The company then held this money for Busa until he requested its release.</w:t>
      </w:r>
    </w:p>
    <w:p>
      <w:pPr>
        <w:pStyle w:val="Normal"/>
        <w:jc w:val="both"/>
        <w:rPr/>
      </w:pPr>
      <w:r>
        <w:rPr/>
      </w:r>
    </w:p>
    <w:p>
      <w:pPr>
        <w:pStyle w:val="Heading3"/>
        <w:ind w:hanging="0" w:start="0"/>
        <w:jc w:val="both"/>
        <w:rPr/>
      </w:pPr>
      <w:r>
        <w:rPr/>
        <w:t>Motive</w:t>
      </w:r>
    </w:p>
    <w:p>
      <w:pPr>
        <w:pStyle w:val="Normal"/>
        <w:jc w:val="both"/>
        <w:rPr>
          <w:color w:val="000000"/>
        </w:rPr>
      </w:pPr>
      <w:r>
        <w:rPr>
          <w:color w:val="000000"/>
        </w:rPr>
      </w:r>
    </w:p>
    <w:p>
      <w:pPr>
        <w:pStyle w:val="BodyText"/>
        <w:rPr>
          <w:color w:val="000000"/>
        </w:rPr>
      </w:pPr>
      <w:r>
        <w:rPr>
          <w:color w:val="000000"/>
        </w:rPr>
        <w:t>The payments were described as being commission although supporting documentation was not available. This leads to a lack of transparency and the possibility that the reason for these payments may appear dubious. This should be considered in the context of the amounts involved, which are minor (sub $12,000).</w:t>
      </w:r>
    </w:p>
    <w:p>
      <w:pPr>
        <w:pStyle w:val="Normal"/>
        <w:jc w:val="both"/>
        <w:rPr>
          <w:color w:val="000000"/>
        </w:rPr>
      </w:pPr>
      <w:r>
        <w:rPr>
          <w:color w:val="000000"/>
        </w:rPr>
      </w:r>
    </w:p>
    <w:p>
      <w:pPr>
        <w:pStyle w:val="Normal"/>
        <w:jc w:val="both"/>
        <w:rPr/>
      </w:pPr>
      <w:r>
        <w:rPr/>
        <w:t xml:space="preserve"> </w:t>
      </w:r>
      <w:r>
        <w:br w:type="page"/>
      </w:r>
    </w:p>
    <w:p>
      <w:pPr>
        <w:pStyle w:val="Heading1"/>
        <w:ind w:hanging="0" w:start="0"/>
        <w:jc w:val="both"/>
        <w:rPr>
          <w:sz w:val="32"/>
        </w:rPr>
      </w:pPr>
      <w:r>
        <w:rPr>
          <w:sz w:val="32"/>
        </w:rPr>
        <w:t>Review Scope</w:t>
      </w:r>
    </w:p>
    <w:p>
      <w:pPr>
        <w:pStyle w:val="Normal"/>
        <w:jc w:val="both"/>
        <w:rPr>
          <w:sz w:val="32"/>
        </w:rPr>
      </w:pPr>
      <w:r>
        <w:rPr>
          <w:sz w:val="32"/>
        </w:rPr>
      </w:r>
    </w:p>
    <w:p>
      <w:pPr>
        <w:pStyle w:val="Normal"/>
        <w:jc w:val="both"/>
        <w:rPr/>
      </w:pPr>
      <w:r>
        <w:rPr/>
        <w:t>The review looked at all contracts entered into by MG Metall Recycling with Indian Counterparties, to identify:</w:t>
      </w:r>
    </w:p>
    <w:p>
      <w:pPr>
        <w:pStyle w:val="Normal"/>
        <w:jc w:val="both"/>
        <w:rPr/>
      </w:pPr>
      <w:r>
        <w:rPr/>
      </w:r>
    </w:p>
    <w:p>
      <w:pPr>
        <w:pStyle w:val="Normal"/>
        <w:numPr>
          <w:ilvl w:val="0"/>
          <w:numId w:val="2"/>
        </w:numPr>
        <w:jc w:val="both"/>
        <w:rPr/>
      </w:pPr>
      <w:r>
        <w:rPr/>
        <w:t>When the transactions with India had started;</w:t>
      </w:r>
    </w:p>
    <w:p>
      <w:pPr>
        <w:pStyle w:val="Normal"/>
        <w:ind w:start="720" w:end="0"/>
        <w:jc w:val="both"/>
        <w:rPr/>
      </w:pPr>
      <w:r>
        <w:rPr/>
      </w:r>
    </w:p>
    <w:p>
      <w:pPr>
        <w:pStyle w:val="Normal"/>
        <w:numPr>
          <w:ilvl w:val="0"/>
          <w:numId w:val="2"/>
        </w:numPr>
        <w:jc w:val="both"/>
        <w:rPr/>
      </w:pPr>
      <w:r>
        <w:rPr/>
        <w:t>The value of all deals that included underpaid contracts;</w:t>
      </w:r>
    </w:p>
    <w:p>
      <w:pPr>
        <w:pStyle w:val="Normal"/>
        <w:jc w:val="both"/>
        <w:rPr/>
      </w:pPr>
      <w:r>
        <w:rPr/>
      </w:r>
    </w:p>
    <w:p>
      <w:pPr>
        <w:pStyle w:val="Normal"/>
        <w:numPr>
          <w:ilvl w:val="0"/>
          <w:numId w:val="2"/>
        </w:numPr>
        <w:jc w:val="both"/>
        <w:rPr/>
      </w:pPr>
      <w:r>
        <w:rPr/>
        <w:t>The value of all deals that included overpaid contracts; and</w:t>
      </w:r>
    </w:p>
    <w:p>
      <w:pPr>
        <w:pStyle w:val="Normal"/>
        <w:jc w:val="both"/>
        <w:rPr/>
      </w:pPr>
      <w:r>
        <w:rPr/>
      </w:r>
    </w:p>
    <w:p>
      <w:pPr>
        <w:pStyle w:val="Normal"/>
        <w:numPr>
          <w:ilvl w:val="0"/>
          <w:numId w:val="2"/>
        </w:numPr>
        <w:jc w:val="both"/>
        <w:rPr/>
      </w:pPr>
      <w:r>
        <w:rPr/>
        <w:t>Identify any other unusual transactions that MGMR have entered into.</w:t>
      </w:r>
    </w:p>
    <w:p>
      <w:pPr>
        <w:pStyle w:val="Normal"/>
        <w:jc w:val="both"/>
        <w:rPr/>
      </w:pPr>
      <w:r>
        <w:rPr/>
      </w:r>
    </w:p>
    <w:p>
      <w:pPr>
        <w:pStyle w:val="Normal"/>
        <w:jc w:val="both"/>
        <w:rPr/>
      </w:pPr>
      <w:r>
        <w:rPr/>
      </w:r>
    </w:p>
    <w:p>
      <w:pPr>
        <w:pStyle w:val="Normal"/>
        <w:jc w:val="both"/>
        <w:rPr/>
      </w:pPr>
      <w:r>
        <w:rPr/>
        <w:t>The deals are split into two sections, the total of all deals with India and those entered into since acquisition.</w:t>
      </w:r>
    </w:p>
    <w:p>
      <w:pPr>
        <w:pStyle w:val="Normal"/>
        <w:jc w:val="both"/>
        <w:rPr/>
      </w:pPr>
      <w:r>
        <w:rPr/>
      </w:r>
    </w:p>
    <w:p>
      <w:pPr>
        <w:pStyle w:val="Normal"/>
        <w:jc w:val="both"/>
        <w:rPr/>
      </w:pPr>
      <w:r>
        <w:rPr/>
        <w:t>The acquisition date was 18</w:t>
      </w:r>
      <w:r>
        <w:rPr>
          <w:vertAlign w:val="superscript"/>
        </w:rPr>
        <w:t>th</w:t>
      </w:r>
      <w:r>
        <w:rPr/>
        <w:t xml:space="preserve"> July 2000.</w:t>
      </w:r>
    </w:p>
    <w:p>
      <w:pPr>
        <w:pStyle w:val="Normal"/>
        <w:jc w:val="both"/>
        <w:rPr/>
      </w:pPr>
      <w:r>
        <w:rPr/>
      </w:r>
    </w:p>
    <w:p>
      <w:pPr>
        <w:pStyle w:val="Normal"/>
        <w:jc w:val="both"/>
        <w:rPr/>
      </w:pPr>
      <w:r>
        <w:rPr/>
      </w:r>
      <w:r>
        <w:br w:type="page"/>
      </w:r>
    </w:p>
    <w:p>
      <w:pPr>
        <w:pStyle w:val="Heading1"/>
        <w:ind w:hanging="0" w:start="0"/>
        <w:jc w:val="both"/>
        <w:rPr>
          <w:sz w:val="32"/>
        </w:rPr>
      </w:pPr>
      <w:r>
        <w:rPr>
          <w:sz w:val="32"/>
        </w:rPr>
        <w:t>Financial Analysis</w:t>
      </w:r>
    </w:p>
    <w:p>
      <w:pPr>
        <w:pStyle w:val="Normal"/>
        <w:jc w:val="both"/>
        <w:rPr>
          <w:sz w:val="32"/>
        </w:rPr>
      </w:pPr>
      <w:r>
        <w:rPr>
          <w:sz w:val="32"/>
        </w:rPr>
      </w:r>
    </w:p>
    <w:p>
      <w:pPr>
        <w:pStyle w:val="Heading3"/>
        <w:ind w:hanging="0" w:start="0"/>
        <w:jc w:val="both"/>
        <w:rPr/>
      </w:pPr>
      <w:r>
        <w:rPr/>
        <w:t>Commencement of Deals with India</w:t>
      </w:r>
    </w:p>
    <w:p>
      <w:pPr>
        <w:pStyle w:val="Normal"/>
        <w:jc w:val="both"/>
        <w:rPr/>
      </w:pPr>
      <w:r>
        <w:rPr/>
      </w:r>
    </w:p>
    <w:p>
      <w:pPr>
        <w:pStyle w:val="Normal"/>
        <w:jc w:val="both"/>
        <w:rPr/>
      </w:pPr>
      <w:r>
        <w:rPr/>
        <w:t>Per appendix 3 the date of the first contract entered into with an Indian Counterparty was V63987, dated 29</w:t>
      </w:r>
      <w:r>
        <w:rPr>
          <w:vertAlign w:val="superscript"/>
        </w:rPr>
        <w:t>th</w:t>
      </w:r>
      <w:r>
        <w:rPr/>
        <w:t xml:space="preserve"> January 1997.</w:t>
      </w:r>
    </w:p>
    <w:p>
      <w:pPr>
        <w:pStyle w:val="Normal"/>
        <w:jc w:val="both"/>
        <w:rPr/>
      </w:pPr>
      <w:r>
        <w:rPr/>
      </w:r>
    </w:p>
    <w:p>
      <w:pPr>
        <w:pStyle w:val="Normal"/>
        <w:jc w:val="both"/>
        <w:rPr/>
      </w:pPr>
      <w:r>
        <w:rPr/>
        <w:t>Per an order by Rob Soeldner no new contracts were to be conducted with India as of 16</w:t>
      </w:r>
      <w:r>
        <w:rPr>
          <w:vertAlign w:val="superscript"/>
        </w:rPr>
        <w:t>th</w:t>
      </w:r>
      <w:r>
        <w:rPr/>
        <w:t xml:space="preserve"> October 2000.  Contract V70229 is dated 20</w:t>
      </w:r>
      <w:r>
        <w:rPr>
          <w:vertAlign w:val="superscript"/>
        </w:rPr>
        <w:t>th</w:t>
      </w:r>
      <w:r>
        <w:rPr/>
        <w:t xml:space="preserve"> November 2000, this deal has no unusual aspects.</w:t>
      </w:r>
    </w:p>
    <w:p>
      <w:pPr>
        <w:pStyle w:val="Normal"/>
        <w:jc w:val="both"/>
        <w:rPr/>
      </w:pPr>
      <w:r>
        <w:rPr/>
      </w:r>
    </w:p>
    <w:p>
      <w:pPr>
        <w:pStyle w:val="Heading3"/>
        <w:ind w:hanging="0" w:start="0"/>
        <w:jc w:val="both"/>
        <w:rPr/>
      </w:pPr>
      <w:r>
        <w:rPr/>
        <w:t>Underpaid Contracts</w:t>
      </w:r>
    </w:p>
    <w:p>
      <w:pPr>
        <w:pStyle w:val="Normal"/>
        <w:jc w:val="both"/>
        <w:rPr/>
      </w:pPr>
      <w:r>
        <w:rPr/>
      </w:r>
    </w:p>
    <w:p>
      <w:pPr>
        <w:pStyle w:val="Normal"/>
        <w:jc w:val="both"/>
        <w:rPr/>
      </w:pPr>
      <w:r>
        <w:rPr/>
        <w:t xml:space="preserve">The underpaid element of all deals entered into with Indian Counterparties is </w:t>
      </w:r>
      <w:r>
        <w:rPr>
          <w:b/>
        </w:rPr>
        <w:t>USD 906,287</w:t>
      </w:r>
      <w:r>
        <w:rPr/>
        <w:t xml:space="preserve">, assuming a constant Import Duty rate of 56%, this would give a total underpayment to the Indian tax authorities of </w:t>
      </w:r>
      <w:r>
        <w:rPr>
          <w:b/>
        </w:rPr>
        <w:t>USD 507,521</w:t>
      </w:r>
      <w:r>
        <w:rPr/>
        <w:t>.  This relates to eighty-nine contracts of the 123 total Indian contracts that were entered into.</w:t>
      </w:r>
    </w:p>
    <w:p>
      <w:pPr>
        <w:pStyle w:val="Normal"/>
        <w:jc w:val="both"/>
        <w:rPr/>
      </w:pPr>
      <w:r>
        <w:rPr/>
      </w:r>
    </w:p>
    <w:p>
      <w:pPr>
        <w:pStyle w:val="Normal"/>
        <w:jc w:val="both"/>
        <w:rPr/>
      </w:pPr>
      <w:r>
        <w:rPr/>
        <w:t>The underpaid element of deals entered into since 21</w:t>
      </w:r>
      <w:r>
        <w:rPr>
          <w:vertAlign w:val="superscript"/>
        </w:rPr>
        <w:t>st</w:t>
      </w:r>
      <w:r>
        <w:rPr/>
        <w:t xml:space="preserve"> July 2000 is </w:t>
      </w:r>
      <w:r>
        <w:rPr>
          <w:b/>
        </w:rPr>
        <w:t>USD 6,016.80</w:t>
      </w:r>
      <w:r>
        <w:rPr/>
        <w:t xml:space="preserve">.  The total underpayment to Indian tax authorities for this period (assuming a constant Import Duty rate of 56%) is </w:t>
      </w:r>
      <w:r>
        <w:rPr>
          <w:b/>
        </w:rPr>
        <w:t>USD 3,369.41</w:t>
      </w:r>
      <w:r>
        <w:rPr/>
        <w:t>.  This relates to just one contract, V69797, of the twelve entered into post acquisition.</w:t>
      </w:r>
    </w:p>
    <w:p>
      <w:pPr>
        <w:pStyle w:val="Normal"/>
        <w:jc w:val="both"/>
        <w:rPr/>
      </w:pPr>
      <w:r>
        <w:rPr/>
      </w:r>
    </w:p>
    <w:p>
      <w:pPr>
        <w:pStyle w:val="Normal"/>
        <w:jc w:val="both"/>
        <w:rPr/>
      </w:pPr>
      <w:r>
        <w:rPr/>
        <w:t>It is expected that there are no implications with the German tax authorities, as there are no export duties and German VAT is not charged on deals with India.  This was confirmed via the Arthur Andersen Legal Letter, see later.</w:t>
      </w:r>
    </w:p>
    <w:p>
      <w:pPr>
        <w:pStyle w:val="Normal"/>
        <w:jc w:val="both"/>
        <w:rPr/>
      </w:pPr>
      <w:r>
        <w:rPr/>
      </w:r>
    </w:p>
    <w:p>
      <w:pPr>
        <w:pStyle w:val="Heading3"/>
        <w:ind w:hanging="0" w:start="0"/>
        <w:jc w:val="both"/>
        <w:rPr/>
      </w:pPr>
      <w:r>
        <w:rPr/>
        <w:t>Overpaid Contracts</w:t>
      </w:r>
    </w:p>
    <w:p>
      <w:pPr>
        <w:pStyle w:val="Normal"/>
        <w:jc w:val="both"/>
        <w:rPr/>
      </w:pPr>
      <w:r>
        <w:rPr/>
      </w:r>
    </w:p>
    <w:p>
      <w:pPr>
        <w:pStyle w:val="Normal"/>
        <w:jc w:val="both"/>
        <w:rPr/>
      </w:pPr>
      <w:r>
        <w:rPr/>
        <w:t xml:space="preserve">The total overpaid element of the contracts to Busa is </w:t>
      </w:r>
      <w:r>
        <w:rPr>
          <w:b/>
        </w:rPr>
        <w:t>USD 11,513.88</w:t>
      </w:r>
      <w:r>
        <w:rPr/>
        <w:t>, this is held by the company as an exceptional debtor.  The remaining overpaid contracts are negligible.</w:t>
      </w:r>
    </w:p>
    <w:p>
      <w:pPr>
        <w:pStyle w:val="Normal"/>
        <w:jc w:val="both"/>
        <w:rPr/>
      </w:pPr>
      <w:r>
        <w:rPr/>
      </w:r>
    </w:p>
    <w:p>
      <w:pPr>
        <w:pStyle w:val="Normal"/>
        <w:jc w:val="both"/>
        <w:rPr/>
      </w:pPr>
      <w:r>
        <w:rPr/>
        <w:t>In October of this year, USD 6,800 was transferred to MG ST Louis after instruction from Busa.  This has been used to pay the underpaid element (USD 6,780) of a contract with MG St Louis.  MG St Louis have had two underpaid contracts with India, for a total value underpayment of USD 14,060 since acquisition.</w:t>
      </w:r>
    </w:p>
    <w:p>
      <w:pPr>
        <w:pStyle w:val="Normal"/>
        <w:jc w:val="both"/>
        <w:rPr/>
      </w:pPr>
      <w:r>
        <w:rPr/>
      </w:r>
    </w:p>
    <w:p>
      <w:pPr>
        <w:pStyle w:val="Normal"/>
        <w:jc w:val="both"/>
        <w:rPr/>
      </w:pPr>
      <w:r>
        <w:rPr/>
        <w:t xml:space="preserve">The total overpaid value of contracts since acquisition is </w:t>
      </w:r>
      <w:r>
        <w:rPr>
          <w:b/>
        </w:rPr>
        <w:t>USD 5,595.40</w:t>
      </w:r>
      <w:r>
        <w:rPr/>
        <w:t>.  Contract number V70081, which was to have accepted the overpayment did not go through as expected after direction from Enron staff.</w:t>
      </w:r>
    </w:p>
    <w:p>
      <w:pPr>
        <w:pStyle w:val="Normal"/>
        <w:jc w:val="both"/>
        <w:rPr/>
      </w:pPr>
      <w:r>
        <w:rPr/>
      </w:r>
    </w:p>
    <w:p>
      <w:pPr>
        <w:pStyle w:val="Normal"/>
        <w:jc w:val="both"/>
        <w:rPr/>
      </w:pPr>
      <w:r>
        <w:rPr/>
        <w:t>This relates to a total of nine contracts, two of which are post acquisition.</w:t>
      </w:r>
    </w:p>
    <w:p>
      <w:pPr>
        <w:pStyle w:val="Normal"/>
        <w:jc w:val="both"/>
        <w:rPr/>
      </w:pPr>
      <w:r>
        <w:rPr/>
      </w:r>
    </w:p>
    <w:p>
      <w:pPr>
        <w:pStyle w:val="Normal"/>
        <w:jc w:val="both"/>
        <w:rPr/>
      </w:pPr>
      <w:r>
        <w:rPr/>
        <w:t>The remaining amount on the Busa account is c. USD 5,000, as of 23 November 2000.</w:t>
      </w:r>
    </w:p>
    <w:p>
      <w:pPr>
        <w:pStyle w:val="Normal"/>
        <w:jc w:val="both"/>
        <w:rPr/>
      </w:pPr>
      <w:r>
        <w:rPr/>
      </w:r>
    </w:p>
    <w:p>
      <w:pPr>
        <w:pStyle w:val="Heading3"/>
        <w:ind w:hanging="0" w:start="0"/>
        <w:jc w:val="both"/>
        <w:rPr/>
      </w:pPr>
      <w:r>
        <w:rPr/>
        <w:t>Other Overpaid Contracts</w:t>
      </w:r>
    </w:p>
    <w:p>
      <w:pPr>
        <w:pStyle w:val="Normal"/>
        <w:jc w:val="both"/>
        <w:rPr/>
      </w:pPr>
      <w:r>
        <w:rPr/>
      </w:r>
    </w:p>
    <w:p>
      <w:pPr>
        <w:pStyle w:val="Normal"/>
        <w:jc w:val="both"/>
        <w:rPr/>
      </w:pPr>
      <w:r>
        <w:rPr/>
        <w:t>There are a total of four other overpaid contracts, all pre-acquisition.  All of these are commission payments to respective parties, either for releasing the contract to other counterparties, or for introducing the business to MGMR in the case of Mr. Parolia.  Mr Parolia is the man responsible for the introduction of contracts that were not dealt with by MG India, thus were not subject to the standard 1% MG India commission.</w:t>
      </w:r>
    </w:p>
    <w:p>
      <w:pPr>
        <w:pStyle w:val="Normal"/>
        <w:jc w:val="both"/>
        <w:rPr/>
      </w:pPr>
      <w:r>
        <w:rPr/>
      </w:r>
    </w:p>
    <w:p>
      <w:pPr>
        <w:pStyle w:val="Normal"/>
        <w:jc w:val="both"/>
        <w:rPr/>
      </w:pPr>
      <w:r>
        <w:rPr/>
        <w:t xml:space="preserve">The total value of the commission payments on these contracts was </w:t>
      </w:r>
      <w:r>
        <w:rPr>
          <w:b/>
        </w:rPr>
        <w:t>USD 3,864.70</w:t>
      </w:r>
      <w:r>
        <w:rPr/>
        <w:t>.</w:t>
      </w:r>
    </w:p>
    <w:p>
      <w:pPr>
        <w:pStyle w:val="Heading3"/>
        <w:ind w:hanging="0" w:start="0"/>
        <w:jc w:val="both"/>
        <w:rPr/>
      </w:pPr>
      <w:r>
        <w:rPr/>
      </w:r>
    </w:p>
    <w:p>
      <w:pPr>
        <w:pStyle w:val="Heading3"/>
        <w:ind w:hanging="0" w:start="0"/>
        <w:jc w:val="both"/>
        <w:rPr/>
      </w:pPr>
      <w:r>
        <w:rPr/>
        <w:t>Other Unusual Transactions</w:t>
      </w:r>
    </w:p>
    <w:p>
      <w:pPr>
        <w:pStyle w:val="Normal"/>
        <w:jc w:val="both"/>
        <w:rPr/>
      </w:pPr>
      <w:r>
        <w:rPr/>
      </w:r>
    </w:p>
    <w:p>
      <w:pPr>
        <w:pStyle w:val="Normal"/>
        <w:jc w:val="both"/>
        <w:rPr/>
      </w:pPr>
      <w:r>
        <w:rPr/>
        <w:t>Enron staff conducted a review of all other foreign (that is non-Domestic and non-Indian counterparties) transactions entered into by MGMR, no other deals of this type were identified through that review.</w:t>
      </w:r>
    </w:p>
    <w:p>
      <w:pPr>
        <w:pStyle w:val="Normal"/>
        <w:jc w:val="both"/>
        <w:rPr/>
      </w:pPr>
      <w:r>
        <w:rPr/>
      </w:r>
    </w:p>
    <w:p>
      <w:pPr>
        <w:pStyle w:val="Normal"/>
        <w:jc w:val="both"/>
        <w:rPr/>
      </w:pPr>
      <w:r>
        <w:rPr/>
        <w:t>The review of the Indian contracts has noted some anomalies with the weight listed on the contracts to that delivered.</w:t>
      </w:r>
    </w:p>
    <w:p>
      <w:pPr>
        <w:pStyle w:val="Normal"/>
        <w:jc w:val="both"/>
        <w:rPr/>
      </w:pPr>
      <w:r>
        <w:rPr/>
      </w:r>
    </w:p>
    <w:p>
      <w:pPr>
        <w:pStyle w:val="Normal"/>
        <w:jc w:val="both"/>
        <w:rPr/>
      </w:pPr>
      <w:r>
        <w:rPr/>
        <w:t xml:space="preserve">This relates to incidents of </w:t>
      </w:r>
      <w:r>
        <w:rPr>
          <w:b/>
        </w:rPr>
        <w:t>“Underweighting”</w:t>
      </w:r>
      <w:r>
        <w:rPr/>
        <w:t xml:space="preserve"> whereupon MGMR where sending more goods than noted on the documents given to customs and receiving the payment for the additional loads in advance.</w:t>
      </w:r>
    </w:p>
    <w:p>
      <w:pPr>
        <w:pStyle w:val="Normal"/>
        <w:jc w:val="both"/>
        <w:rPr/>
      </w:pPr>
      <w:r>
        <w:rPr/>
      </w:r>
    </w:p>
    <w:p>
      <w:pPr>
        <w:pStyle w:val="Normal"/>
        <w:jc w:val="both"/>
        <w:rPr/>
      </w:pPr>
      <w:r>
        <w:rPr/>
        <w:t xml:space="preserve">The total contracts with an element of underweighting had a value of </w:t>
      </w:r>
      <w:r>
        <w:rPr>
          <w:b/>
        </w:rPr>
        <w:t>USD 54,401.00</w:t>
      </w:r>
      <w:r>
        <w:rPr/>
        <w:t xml:space="preserve">, which equates to the evasion of Indian import duty of </w:t>
      </w:r>
      <w:r>
        <w:rPr>
          <w:b/>
        </w:rPr>
        <w:t>USD 30,464.56</w:t>
      </w:r>
      <w:r>
        <w:rPr/>
        <w:t>.</w:t>
      </w:r>
    </w:p>
    <w:p>
      <w:pPr>
        <w:pStyle w:val="Normal"/>
        <w:jc w:val="both"/>
        <w:rPr/>
      </w:pPr>
      <w:r>
        <w:rPr/>
      </w:r>
    </w:p>
    <w:p>
      <w:pPr>
        <w:pStyle w:val="Normal"/>
        <w:jc w:val="both"/>
        <w:rPr/>
      </w:pPr>
      <w:r>
        <w:rPr/>
        <w:t>This relates to a total of six contracts, all of which were pre-acquisition.</w:t>
      </w:r>
    </w:p>
    <w:p>
      <w:pPr>
        <w:pStyle w:val="Normal"/>
        <w:jc w:val="both"/>
        <w:rPr/>
      </w:pPr>
      <w:r>
        <w:rPr/>
      </w:r>
    </w:p>
    <w:p>
      <w:pPr>
        <w:pStyle w:val="Normal"/>
        <w:jc w:val="both"/>
        <w:rPr/>
      </w:pPr>
      <w:r>
        <w:rPr/>
        <w:t>This was not specifically included as part of the Arthur Andersen legal review, although the general facts of this matter are as for underpricing.</w:t>
      </w:r>
    </w:p>
    <w:p>
      <w:pPr>
        <w:pStyle w:val="Normal"/>
        <w:jc w:val="both"/>
        <w:rPr/>
      </w:pPr>
      <w:r>
        <w:rPr/>
      </w:r>
    </w:p>
    <w:p>
      <w:pPr>
        <w:pStyle w:val="Normal"/>
        <w:jc w:val="both"/>
        <w:rPr/>
      </w:pPr>
      <w:r>
        <w:rPr/>
        <w:t>Arthur Andersen staff conducted a review of transactions with Domestic counterparties, this did not identify any unusual transactions, the results of this review are shown in Appendix 6 to this document.</w:t>
      </w:r>
    </w:p>
    <w:p>
      <w:pPr>
        <w:pStyle w:val="Normal"/>
        <w:jc w:val="both"/>
        <w:rPr/>
      </w:pPr>
      <w:r>
        <w:rPr/>
      </w:r>
    </w:p>
    <w:p>
      <w:pPr>
        <w:pStyle w:val="Heading3"/>
        <w:ind w:hanging="0" w:start="0"/>
        <w:jc w:val="both"/>
        <w:rPr/>
      </w:pPr>
      <w:r>
        <w:rPr/>
      </w:r>
    </w:p>
    <w:p>
      <w:pPr>
        <w:pStyle w:val="Heading3"/>
        <w:ind w:hanging="0" w:start="0"/>
        <w:jc w:val="both"/>
        <w:rPr/>
      </w:pPr>
      <w:r>
        <w:rPr/>
        <w:t>Bergmann</w:t>
      </w:r>
    </w:p>
    <w:p>
      <w:pPr>
        <w:pStyle w:val="Normal"/>
        <w:jc w:val="both"/>
        <w:rPr/>
      </w:pPr>
      <w:r>
        <w:rPr/>
      </w:r>
    </w:p>
    <w:p>
      <w:pPr>
        <w:pStyle w:val="Normal"/>
        <w:jc w:val="both"/>
        <w:rPr/>
      </w:pPr>
      <w:r>
        <w:rPr/>
        <w:t>Naomi Connell performed a review of similar Indian contracts at Bergmann, two were noted, these will be closed prior to the acquisition, preliminarily set for 7</w:t>
      </w:r>
      <w:r>
        <w:rPr>
          <w:vertAlign w:val="superscript"/>
        </w:rPr>
        <w:t>th</w:t>
      </w:r>
      <w:r>
        <w:rPr/>
        <w:t xml:space="preserve"> December 2000.</w:t>
      </w:r>
    </w:p>
    <w:p>
      <w:pPr>
        <w:pStyle w:val="Normal"/>
        <w:jc w:val="both"/>
        <w:rPr/>
      </w:pPr>
      <w:r>
        <w:rPr/>
      </w:r>
      <w:r>
        <w:br w:type="page"/>
      </w:r>
    </w:p>
    <w:p>
      <w:pPr>
        <w:pStyle w:val="Heading1"/>
        <w:ind w:hanging="0" w:start="0"/>
        <w:rPr>
          <w:sz w:val="32"/>
        </w:rPr>
      </w:pPr>
      <w:r>
        <w:rPr>
          <w:sz w:val="32"/>
        </w:rPr>
        <w:t>Legal &amp; Tax review</w:t>
      </w:r>
    </w:p>
    <w:p>
      <w:pPr>
        <w:pStyle w:val="Normal"/>
        <w:jc w:val="both"/>
        <w:rPr>
          <w:sz w:val="32"/>
        </w:rPr>
      </w:pPr>
      <w:r>
        <w:rPr>
          <w:sz w:val="32"/>
        </w:rPr>
      </w:r>
    </w:p>
    <w:p>
      <w:pPr>
        <w:pStyle w:val="Normal"/>
        <w:jc w:val="both"/>
        <w:rPr/>
      </w:pPr>
      <w:r>
        <w:rPr/>
        <w:t>Arthur Andersen were commissioned to produce a letter detailing the implications of the transactions with India, per the specification drawn up by Paul Simons, which is detailed in Appendix 7 of this review, the letter will contain answers to the following queries:</w:t>
      </w:r>
    </w:p>
    <w:p>
      <w:pPr>
        <w:pStyle w:val="Normal"/>
        <w:jc w:val="both"/>
        <w:rPr/>
      </w:pPr>
      <w:r>
        <w:rPr/>
      </w:r>
    </w:p>
    <w:p>
      <w:pPr>
        <w:pStyle w:val="Normal"/>
        <w:numPr>
          <w:ilvl w:val="0"/>
          <w:numId w:val="2"/>
        </w:numPr>
        <w:spacing w:lineRule="atLeast" w:line="240"/>
        <w:jc w:val="both"/>
        <w:rPr>
          <w:color w:val="000000"/>
          <w:lang w:val="en-AU" w:eastAsia="en-US"/>
        </w:rPr>
      </w:pPr>
      <w:r>
        <w:rPr>
          <w:color w:val="000000"/>
          <w:lang w:val="en-AU" w:eastAsia="en-US"/>
        </w:rPr>
        <w:t>Has a criminal offence taken place? If so, where and what are the penalties on individuals and the company and what are the duties of the company?</w:t>
      </w:r>
    </w:p>
    <w:p>
      <w:pPr>
        <w:pStyle w:val="Normal"/>
        <w:spacing w:lineRule="atLeast" w:line="240"/>
        <w:jc w:val="both"/>
        <w:rPr>
          <w:color w:val="000000"/>
          <w:lang w:val="en-AU" w:eastAsia="en-US"/>
        </w:rPr>
      </w:pPr>
      <w:r>
        <w:rPr>
          <w:color w:val="000000"/>
          <w:lang w:val="en-AU" w:eastAsia="en-US"/>
        </w:rPr>
      </w:r>
    </w:p>
    <w:p>
      <w:pPr>
        <w:pStyle w:val="Normal"/>
        <w:numPr>
          <w:ilvl w:val="0"/>
          <w:numId w:val="2"/>
        </w:numPr>
        <w:spacing w:lineRule="atLeast" w:line="240"/>
        <w:jc w:val="both"/>
        <w:rPr>
          <w:color w:val="000000"/>
          <w:lang w:val="en-AU" w:eastAsia="en-US"/>
        </w:rPr>
      </w:pPr>
      <w:r>
        <w:rPr>
          <w:color w:val="000000"/>
          <w:lang w:val="en-AU" w:eastAsia="en-US"/>
        </w:rPr>
        <w:t>Is there any civil liability for the company or its employees?</w:t>
      </w:r>
    </w:p>
    <w:p>
      <w:pPr>
        <w:pStyle w:val="Normal"/>
        <w:spacing w:lineRule="atLeast" w:line="240"/>
        <w:jc w:val="both"/>
        <w:rPr>
          <w:color w:val="000000"/>
          <w:lang w:val="en-AU" w:eastAsia="en-US"/>
        </w:rPr>
      </w:pPr>
      <w:r>
        <w:rPr>
          <w:color w:val="000000"/>
          <w:lang w:val="en-AU" w:eastAsia="en-US"/>
        </w:rPr>
      </w:r>
    </w:p>
    <w:p>
      <w:pPr>
        <w:pStyle w:val="BodyTextIndent"/>
        <w:jc w:val="both"/>
        <w:rPr/>
      </w:pPr>
      <w:r>
        <w:rPr/>
        <w:t>-</w:t>
        <w:tab/>
        <w:t>What action (interim or long term) should the company and Enron management take in your view if there has been any wrongdoing?</w:t>
      </w:r>
    </w:p>
    <w:p>
      <w:pPr>
        <w:pStyle w:val="Normal"/>
        <w:jc w:val="both"/>
        <w:rPr/>
      </w:pPr>
      <w:r>
        <w:rPr/>
      </w:r>
    </w:p>
    <w:p>
      <w:pPr>
        <w:pStyle w:val="Normal"/>
        <w:jc w:val="both"/>
        <w:rPr/>
      </w:pPr>
      <w:r>
        <w:rPr/>
        <w:t>Arthur Andersen issued a draft reply to the letter on 22</w:t>
      </w:r>
      <w:r>
        <w:rPr>
          <w:vertAlign w:val="superscript"/>
        </w:rPr>
        <w:t>nd</w:t>
      </w:r>
      <w:r>
        <w:rPr/>
        <w:t xml:space="preserve"> November 2000; this is attached as Appendix 8 to this review document.</w:t>
      </w:r>
    </w:p>
    <w:p>
      <w:pPr>
        <w:pStyle w:val="Normal"/>
        <w:jc w:val="both"/>
        <w:rPr/>
      </w:pPr>
      <w:r>
        <w:rPr/>
      </w:r>
    </w:p>
    <w:p>
      <w:pPr>
        <w:pStyle w:val="Normal"/>
        <w:jc w:val="both"/>
        <w:rPr/>
      </w:pPr>
      <w:r>
        <w:rPr/>
        <w:t>The final draft version of this letter has now been received and is being examined by tax and legal to establish the appropriate Enron response.</w:t>
      </w:r>
    </w:p>
    <w:p>
      <w:pPr>
        <w:pStyle w:val="Normal"/>
        <w:jc w:val="both"/>
        <w:rPr/>
      </w:pPr>
      <w:r>
        <w:rPr/>
      </w:r>
    </w:p>
    <w:p>
      <w:pPr>
        <w:pStyle w:val="Normal"/>
        <w:jc w:val="both"/>
        <w:rPr/>
      </w:pPr>
      <w:r>
        <w:rPr/>
        <w:t>The main points arising from this letter are as follows:</w:t>
      </w:r>
    </w:p>
    <w:p>
      <w:pPr>
        <w:pStyle w:val="Normal"/>
        <w:jc w:val="both"/>
        <w:rPr/>
      </w:pPr>
      <w:r>
        <w:rPr/>
      </w:r>
    </w:p>
    <w:p>
      <w:pPr>
        <w:pStyle w:val="Normal"/>
        <w:numPr>
          <w:ilvl w:val="0"/>
          <w:numId w:val="6"/>
        </w:numPr>
        <w:jc w:val="both"/>
        <w:rPr/>
      </w:pPr>
      <w:r>
        <w:rPr/>
        <w:t>Germany</w:t>
      </w:r>
    </w:p>
    <w:p>
      <w:pPr>
        <w:pStyle w:val="Normal"/>
        <w:jc w:val="both"/>
        <w:rPr/>
      </w:pPr>
      <w:r>
        <w:rPr/>
      </w:r>
    </w:p>
    <w:p>
      <w:pPr>
        <w:pStyle w:val="Normal"/>
        <w:jc w:val="both"/>
        <w:rPr/>
      </w:pPr>
      <w:r>
        <w:rPr/>
        <w:t>No offence was committed according to German Criminal Law.</w:t>
      </w:r>
    </w:p>
    <w:p>
      <w:pPr>
        <w:pStyle w:val="Normal"/>
        <w:jc w:val="both"/>
        <w:rPr/>
      </w:pPr>
      <w:r>
        <w:rPr/>
      </w:r>
    </w:p>
    <w:p>
      <w:pPr>
        <w:pStyle w:val="Normal"/>
        <w:jc w:val="both"/>
        <w:rPr/>
      </w:pPr>
      <w:r>
        <w:rPr/>
        <w:t>The Duty Administration Act and the External Trade Act have been contravened, the maximum penalties arising from this are:</w:t>
      </w:r>
    </w:p>
    <w:p>
      <w:pPr>
        <w:pStyle w:val="Normal"/>
        <w:jc w:val="both"/>
        <w:rPr/>
      </w:pPr>
      <w:r>
        <w:rPr/>
      </w:r>
    </w:p>
    <w:p>
      <w:pPr>
        <w:pStyle w:val="Normal"/>
        <w:jc w:val="both"/>
        <w:rPr/>
      </w:pPr>
      <w:r>
        <w:rPr/>
        <w:t>Misdeclarations</w:t>
        <w:tab/>
        <w:t>- 10,000 DM per case</w:t>
      </w:r>
    </w:p>
    <w:p>
      <w:pPr>
        <w:pStyle w:val="Normal"/>
        <w:jc w:val="both"/>
        <w:rPr/>
      </w:pPr>
      <w:r>
        <w:rPr/>
        <w:t>Missing Reports</w:t>
        <w:tab/>
        <w:t>- 500,000 DM per audited report.</w:t>
      </w:r>
    </w:p>
    <w:p>
      <w:pPr>
        <w:pStyle w:val="Normal"/>
        <w:jc w:val="both"/>
        <w:rPr/>
      </w:pPr>
      <w:r>
        <w:rPr/>
      </w:r>
    </w:p>
    <w:p>
      <w:pPr>
        <w:pStyle w:val="Normal"/>
        <w:jc w:val="both"/>
        <w:rPr/>
      </w:pPr>
      <w:r>
        <w:rPr/>
        <w:t>There are a total of eight-nine contracts raised with an element of underpricing, of these there were a total of 147 invoices raised or shipments made, therefore there are 147 cases of misdeclaration.  This happened over a period of three audited financial statements.</w:t>
      </w:r>
    </w:p>
    <w:p>
      <w:pPr>
        <w:pStyle w:val="Normal"/>
        <w:jc w:val="both"/>
        <w:rPr/>
      </w:pPr>
      <w:r>
        <w:rPr/>
      </w:r>
    </w:p>
    <w:p>
      <w:pPr>
        <w:pStyle w:val="Normal"/>
        <w:jc w:val="both"/>
        <w:rPr/>
      </w:pPr>
      <w:r>
        <w:rPr/>
        <w:t>This would indicate a maximum penalty in the region of DM 3 Million.</w:t>
      </w:r>
    </w:p>
    <w:p>
      <w:pPr>
        <w:pStyle w:val="Normal"/>
        <w:jc w:val="both"/>
        <w:rPr/>
      </w:pPr>
      <w:r>
        <w:rPr/>
      </w:r>
    </w:p>
    <w:p>
      <w:pPr>
        <w:pStyle w:val="Normal"/>
        <w:numPr>
          <w:ilvl w:val="0"/>
          <w:numId w:val="6"/>
        </w:numPr>
        <w:jc w:val="both"/>
        <w:rPr/>
      </w:pPr>
      <w:r>
        <w:rPr/>
        <w:t>India</w:t>
      </w:r>
    </w:p>
    <w:p>
      <w:pPr>
        <w:pStyle w:val="Normal"/>
        <w:jc w:val="both"/>
        <w:rPr/>
      </w:pPr>
      <w:r>
        <w:rPr/>
      </w:r>
    </w:p>
    <w:p>
      <w:pPr>
        <w:pStyle w:val="Normal"/>
        <w:jc w:val="both"/>
        <w:rPr/>
      </w:pPr>
      <w:r>
        <w:rPr/>
        <w:t>According to the Indian Customs Act 1962 the risk for penalties or prosecution is not limited to the importer.  However as the burden of proof is on the Indian Authorities it was considered rare for Indian Custom Authorities to proceed against foreign exporters</w:t>
      </w:r>
    </w:p>
    <w:p>
      <w:pPr>
        <w:pStyle w:val="Normal"/>
        <w:jc w:val="both"/>
        <w:rPr/>
      </w:pPr>
      <w:r>
        <w:rPr/>
      </w:r>
    </w:p>
    <w:p>
      <w:pPr>
        <w:pStyle w:val="Normal"/>
        <w:numPr>
          <w:ilvl w:val="0"/>
          <w:numId w:val="6"/>
        </w:numPr>
        <w:jc w:val="both"/>
        <w:rPr/>
      </w:pPr>
      <w:r>
        <w:rPr/>
        <w:t>USA</w:t>
      </w:r>
    </w:p>
    <w:p>
      <w:pPr>
        <w:pStyle w:val="Normal"/>
        <w:jc w:val="both"/>
        <w:rPr/>
      </w:pPr>
      <w:r>
        <w:rPr/>
      </w:r>
    </w:p>
    <w:p>
      <w:pPr>
        <w:pStyle w:val="Normal"/>
        <w:jc w:val="both"/>
        <w:rPr/>
      </w:pPr>
      <w:r>
        <w:rPr/>
        <w:t>It was considered that no offence has been committed under US criminal law, AA were unable to conclude if an offence had occurred against the Foreign Corrupt Practices Act.</w:t>
      </w:r>
    </w:p>
    <w:p>
      <w:pPr>
        <w:pStyle w:val="Normal"/>
        <w:jc w:val="both"/>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720"/>
      </w:pPr>
      <w:rPr>
        <w:rFonts w:ascii="Liberation Serif" w:hAnsi="Liberation Serif" w:cs="Liberation Serif" w:hint="default"/>
      </w:rPr>
    </w:lvl>
  </w:abstractNum>
  <w:abstractNum w:abstractNumId="3">
    <w:lvl w:ilvl="0">
      <w:start w:val="1"/>
      <w:numFmt w:val="bullet"/>
      <w:lvlText w:val=""/>
      <w:lvlJc w:val="start"/>
      <w:pPr>
        <w:tabs>
          <w:tab w:val="num" w:pos="360"/>
        </w:tabs>
        <w:ind w:start="360" w:hanging="360"/>
      </w:pPr>
      <w:rPr>
        <w:rFonts w:ascii="Symbol" w:hAnsi="Symbol" w:cs="Symbol" w:hint="default"/>
        <w:color w:val="000000"/>
      </w:rPr>
    </w:lvl>
  </w:abstractNum>
  <w:abstractNum w:abstractNumId="4">
    <w:lvl w:ilvl="0">
      <w:start w:val="1"/>
      <w:numFmt w:val="bullet"/>
      <w:lvlText w:val=""/>
      <w:lvlJc w:val="start"/>
      <w:pPr>
        <w:tabs>
          <w:tab w:val="num" w:pos="360"/>
        </w:tabs>
        <w:ind w:start="360" w:hanging="360"/>
      </w:pPr>
      <w:rPr>
        <w:rFonts w:ascii="Symbol" w:hAnsi="Symbol" w:cs="Symbol" w:hint="default"/>
        <w:color w:val="000000"/>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3"/>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color w:val="000000"/>
    </w:rPr>
  </w:style>
  <w:style w:type="character" w:styleId="WW8Num6z0">
    <w:name w:val="WW8Num6z0"/>
    <w:qFormat/>
    <w:rPr>
      <w:rFonts w:ascii="Symbol" w:hAnsi="Symbol" w:cs="Symbol"/>
      <w:color w:val="000000"/>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pPr>
    <w:rPr>
      <w:color w:val="000000"/>
      <w:lang w:val="en-AU"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2000-12-01T07:45:00Z</dcterms:created>
  <dc:creator>dimrie</dc:creator>
  <dc:description/>
  <dc:language>en-CA</dc:language>
  <cp:lastModifiedBy>dimrie</cp:lastModifiedBy>
  <dcterms:modified xsi:type="dcterms:W3CDTF">2000-12-05T09:51:00Z</dcterms:modified>
  <cp:revision>11</cp:revision>
  <dc:subject/>
  <dc:title>MG Metall Recycling</dc:title>
</cp:coreProperties>
</file>