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100330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  <w:tab/>
        <w:tab/>
        <w:tab/>
        <w:tab/>
        <w:tab/>
        <w:tab/>
        <w:tab/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The Files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Market Risk Management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Risk Assessment and Controls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India Trading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May 16, 2000</w:t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ind w:start="0" w:end="0"/>
        <w:rPr/>
      </w:pPr>
      <w:r>
        <w:rPr/>
        <w:t>On May 15</w:t>
      </w:r>
      <w:r>
        <w:rPr>
          <w:vertAlign w:val="superscript"/>
        </w:rPr>
        <w:t>th</w:t>
      </w:r>
      <w:r>
        <w:rPr/>
        <w:t>, 2000 the group discussed the opportunities, approval procedures and operational procedures for setting-up trading/marketing activities in India.</w:t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/>
      </w:pPr>
      <w:r>
        <w:rPr/>
        <w:t>Rick Buy, Chief Risk Officer of Enron Corp.</w:t>
      </w:r>
    </w:p>
    <w:p>
      <w:pPr>
        <w:pStyle w:val="Body"/>
        <w:ind w:start="0" w:end="0"/>
        <w:rPr/>
      </w:pPr>
      <w:r>
        <w:rPr/>
        <w:t>Sally Beck, Energy Operations</w:t>
      </w:r>
    </w:p>
    <w:p>
      <w:pPr>
        <w:pStyle w:val="Body"/>
        <w:ind w:start="0" w:end="0"/>
        <w:rPr/>
      </w:pPr>
      <w:r>
        <w:rPr/>
        <w:t>Bill Gathmann, Enron India</w:t>
      </w:r>
    </w:p>
    <w:p>
      <w:pPr>
        <w:pStyle w:val="Body"/>
        <w:ind w:start="0" w:end="0"/>
        <w:rPr/>
      </w:pPr>
      <w:r>
        <w:rPr/>
        <w:t>Wanda Curry, Enron India</w:t>
      </w:r>
    </w:p>
    <w:p>
      <w:pPr>
        <w:pStyle w:val="Body"/>
        <w:ind w:start="0" w:end="0"/>
        <w:rPr/>
      </w:pPr>
      <w:r>
        <w:rPr/>
        <w:t>Vladimir Gorny, Market Risk Management</w:t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>
          <w:u w:val="single"/>
        </w:rPr>
      </w:pPr>
      <w:r>
        <w:rPr>
          <w:u w:val="single"/>
        </w:rPr>
        <w:t>Market Overview</w:t>
      </w:r>
    </w:p>
    <w:p>
      <w:pPr>
        <w:pStyle w:val="Body"/>
        <w:ind w:start="0" w:end="0"/>
        <w:rPr>
          <w:u w:val="single"/>
        </w:rPr>
      </w:pPr>
      <w:r>
        <w:rPr>
          <w:u w:val="single"/>
        </w:rPr>
      </w:r>
    </w:p>
    <w:p>
      <w:pPr>
        <w:pStyle w:val="Body"/>
        <w:ind w:start="0" w:end="0"/>
        <w:rPr/>
      </w:pPr>
      <w:r>
        <w:rPr/>
        <w:t>India’s energy industries are privatized at the present time. However, the government has demonstrated a desire to make steps towards opening up the energy markets to free competition in the near future. At the present time, no financial derivatives on commodities are allowed in India.</w:t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/>
      </w:pPr>
      <w:r>
        <w:rPr/>
        <w:t xml:space="preserve">Electric grid is generally segregated by state and is owned by the National Grid Corporation. Currently only limited sales of power between the state companies take place. A recent statement by the Government indicated a possible de-privatization of power markets in the next 1-2 years. </w:t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/>
      </w:pPr>
      <w:r>
        <w:rPr/>
        <w:t>India is the 3</w:t>
      </w:r>
      <w:r>
        <w:rPr>
          <w:vertAlign w:val="superscript"/>
        </w:rPr>
        <w:t>rd</w:t>
      </w:r>
      <w:r>
        <w:rPr/>
        <w:t xml:space="preserve"> largest user of coal. Local production of coal satisfies about 80-90% of coal demand. The exports of coal have been growing steadily due to increasing demand and low quality of coal produced locally.</w:t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>
          <w:u w:val="single"/>
        </w:rPr>
      </w:pPr>
      <w:r>
        <w:rPr>
          <w:u w:val="single"/>
        </w:rPr>
        <w:t>Products</w:t>
      </w:r>
    </w:p>
    <w:p>
      <w:pPr>
        <w:pStyle w:val="Body"/>
        <w:ind w:start="0" w:end="0"/>
        <w:rPr>
          <w:u w:val="single"/>
        </w:rPr>
      </w:pPr>
      <w:r>
        <w:rPr>
          <w:u w:val="single"/>
        </w:rPr>
      </w:r>
    </w:p>
    <w:p>
      <w:pPr>
        <w:pStyle w:val="Body"/>
        <w:ind w:start="0" w:end="0"/>
        <w:rPr/>
      </w:pPr>
      <w:r>
        <w:rPr/>
        <w:t>Coal – physical transactions could be executed currently. Enron India is looking to commence marketing activities on July 1</w:t>
      </w:r>
      <w:r>
        <w:rPr>
          <w:vertAlign w:val="superscript"/>
        </w:rPr>
        <w:t>st</w:t>
      </w:r>
      <w:r>
        <w:rPr/>
        <w:t>. Positions will be managed in the Global Coal portfolio by George McLellan. Issues to be addressed: India coal curve, basis curves for various delivery locations, logistics, middle-office and back-office set-up, EOL opportunities</w:t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/>
      </w:pPr>
      <w:r>
        <w:rPr/>
        <w:t>Crude and crude products – opportunities to market, but no specific plans currently. Positions to be managed out of the Global Products portfolio.</w:t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/>
      </w:pPr>
      <w:r>
        <w:rPr/>
        <w:t>Electricity – currently marketing excess capacity off of the Maharasta State Electricity Board contract (approximately 150 MWs). Two-way market could potentially materialized in the next 12-18 months. Would require an approval as a new commodity group under either a permanent or interim policy.</w:t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/>
      </w:pPr>
      <w:r>
        <w:rPr/>
        <w:t>Natural Gas/LNG – MetGas build in he next 1.5 years. Potentially could become part of the global LNG business.</w:t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>
          <w:u w:val="single"/>
        </w:rPr>
      </w:pPr>
      <w:r>
        <w:rPr>
          <w:u w:val="single"/>
        </w:rPr>
        <w:t>Next Steps/Responsibilities</w:t>
      </w:r>
    </w:p>
    <w:p>
      <w:pPr>
        <w:pStyle w:val="Body"/>
        <w:ind w:start="0" w:end="0"/>
        <w:rPr>
          <w:u w:val="single"/>
        </w:rPr>
      </w:pPr>
      <w:r>
        <w:rPr>
          <w:u w:val="single"/>
        </w:rPr>
      </w:r>
    </w:p>
    <w:p>
      <w:pPr>
        <w:pStyle w:val="Body"/>
        <w:numPr>
          <w:ilvl w:val="0"/>
          <w:numId w:val="3"/>
        </w:numPr>
        <w:rPr/>
      </w:pPr>
      <w:r>
        <w:rPr/>
        <w:t>Hire marketing and logistics personnel – Bill Gathmann</w:t>
      </w:r>
    </w:p>
    <w:p>
      <w:pPr>
        <w:pStyle w:val="Body"/>
        <w:numPr>
          <w:ilvl w:val="0"/>
          <w:numId w:val="3"/>
        </w:numPr>
        <w:rPr/>
      </w:pPr>
      <w:r>
        <w:rPr/>
        <w:t>Clarify middle and back office responsibilities – Eric Groves</w:t>
      </w:r>
    </w:p>
    <w:p>
      <w:pPr>
        <w:pStyle w:val="Body"/>
        <w:numPr>
          <w:ilvl w:val="0"/>
          <w:numId w:val="3"/>
        </w:numPr>
        <w:rPr/>
      </w:pPr>
      <w:r>
        <w:rPr/>
        <w:t>Initiate credit review of potential coal counterparties – Bill Bradford</w:t>
      </w:r>
    </w:p>
    <w:p>
      <w:pPr>
        <w:pStyle w:val="Body"/>
        <w:numPr>
          <w:ilvl w:val="0"/>
          <w:numId w:val="3"/>
        </w:numPr>
        <w:rPr/>
      </w:pPr>
      <w:r>
        <w:rPr/>
        <w:t>Legal/Regulatory reviews, contracts, etc. – Jane Wilson (EGA)</w:t>
      </w:r>
    </w:p>
    <w:p>
      <w:pPr>
        <w:pStyle w:val="Body"/>
        <w:numPr>
          <w:ilvl w:val="0"/>
          <w:numId w:val="3"/>
        </w:numPr>
        <w:rPr/>
      </w:pPr>
      <w:r>
        <w:rPr/>
        <w:t>Risk Management training, Policy circulation – RAC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576" w:right="36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left" w:pos="6030" w:leader="none"/>
        <w:tab w:val="right" w:pos="9540" w:leader="none"/>
      </w:tabs>
      <w:rPr>
        <w:rStyle w:val="PageNumber"/>
        <w:rFonts w:ascii="Arial Narrow" w:hAnsi="Arial Narrow" w:cs="Arial Narrow"/>
        <w:sz w:val="20"/>
      </w:rPr>
    </w:pPr>
    <w:r>
      <w:rPr>
        <w:sz w:val="20"/>
      </w:rPr>
      <w:t>The Finance Committee of the Board of Directors</w:t>
    </w:r>
    <w:r>
      <w:rPr>
        <w:rFonts w:cs="Arial Narrow" w:ascii="Arial Narrow" w:hAnsi="Arial Narrow"/>
        <w:sz w:val="20"/>
      </w:rPr>
      <w:tab/>
      <w:t>May 1, 2000</w:t>
      <w:tab/>
      <w:tab/>
      <w:t xml:space="preserve">Page </w:t>
    </w:r>
    <w:r>
      <w:rPr>
        <w:rStyle w:val="PageNumber"/>
        <w:rFonts w:cs="Arial Narrow" w:ascii="Arial Narrow" w:hAnsi="Arial Narrow"/>
        <w:sz w:val="20"/>
      </w:rPr>
      <w:fldChar w:fldCharType="begin"/>
    </w:r>
    <w:r>
      <w:rPr>
        <w:rStyle w:val="PageNumber"/>
        <w:sz w:val="20"/>
        <w:rFonts w:cs="Arial Narrow" w:ascii="Arial Narrow" w:hAnsi="Arial Narrow"/>
      </w:rPr>
      <w:instrText xml:space="preserve"> PAGE </w:instrText>
    </w:r>
    <w:r>
      <w:rPr>
        <w:rStyle w:val="PageNumber"/>
        <w:sz w:val="20"/>
        <w:rFonts w:cs="Arial Narrow" w:ascii="Arial Narrow" w:hAnsi="Arial Narrow"/>
      </w:rPr>
      <w:fldChar w:fldCharType="separate"/>
    </w:r>
    <w:r>
      <w:rPr>
        <w:rStyle w:val="PageNumber"/>
        <w:sz w:val="20"/>
        <w:rFonts w:cs="Arial Narrow" w:ascii="Arial Narrow" w:hAnsi="Arial Narrow"/>
      </w:rPr>
      <w:t>2</w:t>
    </w:r>
    <w:r>
      <w:rPr>
        <w:rStyle w:val="PageNumber"/>
        <w:sz w:val="20"/>
        <w:rFonts w:cs="Arial Narrow" w:ascii="Arial Narrow" w:hAnsi="Arial Narrow"/>
      </w:rPr>
      <w:fldChar w:fldCharType="end"/>
    </w:r>
  </w:p>
  <w:p>
    <w:pPr>
      <w:pStyle w:val="Header"/>
      <w:tabs>
        <w:tab w:val="clear" w:pos="8640"/>
        <w:tab w:val="center" w:pos="4320" w:leader="none"/>
        <w:tab w:val="left" w:pos="6030" w:leader="none"/>
        <w:tab w:val="right" w:pos="9540" w:leader="none"/>
      </w:tabs>
      <w:rPr>
        <w:rStyle w:val="PageNumber"/>
        <w:rFonts w:ascii="Arial Narrow" w:hAnsi="Arial Narrow" w:cs="Arial Narrow"/>
        <w:sz w:val="20"/>
      </w:rPr>
    </w:pPr>
    <w:r>
      <w:rPr/>
    </w:r>
  </w:p>
  <w:p>
    <w:pPr>
      <w:pStyle w:val="Header"/>
      <w:rPr>
        <w:rStyle w:val="PageNumber"/>
        <w:rFonts w:ascii="Times New Roman" w:hAnsi="Times New Roman" w:cs="Times New Roman"/>
        <w:sz w:val="20"/>
      </w:rPr>
    </w:pPr>
    <w:r>
      <w:rPr/>
    </w:r>
  </w:p>
  <w:p>
    <w:pPr>
      <w:pStyle w:val="Header"/>
      <w:rPr>
        <w:rFonts w:ascii="Times New Roman" w:hAnsi="Times New Roman" w:cs="Times New Roman"/>
        <w:sz w:val="20"/>
      </w:rPr>
    </w:pPr>
    <w:r>
      <w:rPr>
        <w:rFonts w:cs="Times New Roman" w:ascii="Times New Roman" w:hAnsi="Times New Roman"/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2625090</wp:posOffset>
              </wp:positionH>
              <wp:positionV relativeFrom="paragraph">
                <wp:posOffset>-218440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17.2pt;mso-position-vertical-relative:text;margin-left:206.7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upperRoman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3">
    <w:lvl w:ilvl="0"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360" w:end="0"/>
      <w:outlineLvl w:val="1"/>
    </w:pPr>
    <w:rPr>
      <w:rFonts w:ascii="Times New Roman" w:hAnsi="Times New Roman" w:cs="Times New Roman"/>
      <w:sz w:val="20"/>
      <w:u w:val="single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360" w:end="0"/>
      <w:outlineLvl w:val="3"/>
    </w:pPr>
    <w:rPr>
      <w:rFonts w:ascii="Times New Roman" w:hAnsi="Times New Roman" w:cs="Times New Roman"/>
      <w:i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Times New Roman" w:hAnsi="Times New Roman" w:cs="Times New Roman"/>
      <w:i/>
      <w:sz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360" w:end="0"/>
      <w:outlineLvl w:val="5"/>
    </w:pPr>
    <w:rPr>
      <w:rFonts w:ascii="Times New Roman" w:hAnsi="Times New Roman" w:cs="Times New Roman"/>
      <w:b/>
      <w:sz w:val="20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360" w:end="0"/>
      <w:outlineLvl w:val="6"/>
    </w:pPr>
    <w:rPr>
      <w:rFonts w:ascii="Times New Roman" w:hAnsi="Times New Roman" w:cs="Times New Roman"/>
      <w:i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2"/>
      </w:numPr>
      <w:outlineLvl w:val="7"/>
    </w:pPr>
    <w:rPr>
      <w:rFonts w:ascii="Times New Roman" w:hAnsi="Times New Roman" w:cs="Times New Roman"/>
      <w:b/>
      <w:sz w:val="20"/>
      <w:u w:val="single"/>
    </w:rPr>
  </w:style>
  <w:style w:type="character" w:styleId="WW8Num3z0">
    <w:name w:val="WW8Num3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cs="Times New Roman"/>
    </w:rPr>
  </w:style>
  <w:style w:type="character" w:styleId="WW8Num16z0">
    <w:name w:val="WW8Num16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sz w:val="20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tabs>
        <w:tab w:val="clear" w:pos="540"/>
      </w:tabs>
    </w:pPr>
    <w:rPr>
      <w:rFonts w:ascii="Times New Roman" w:hAnsi="Times New Roman" w:cs="Times New Roman"/>
      <w:color w:val="000000"/>
      <w:sz w:val="20"/>
      <w:lang w:val="en-AU"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2000-05-16T11:23:00Z</dcterms:created>
  <dc:creator>Jeff Ford</dc:creator>
  <dc:description/>
  <dc:language>en-CA</dc:language>
  <cp:lastModifiedBy>vgorny</cp:lastModifiedBy>
  <cp:lastPrinted>2000-05-16T10:03:00Z</cp:lastPrinted>
  <dcterms:modified xsi:type="dcterms:W3CDTF">2000-05-16T15:24:00Z</dcterms:modified>
  <cp:revision>12</cp:revision>
  <dc:subject/>
  <dc:title>Eron Capital &amp; Trade Resources Memo</dc:title>
</cp:coreProperties>
</file>