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ENRON RISK ASSESSMENT AND CONTROL</w:t>
      </w:r>
    </w:p>
    <w:p>
      <w:pPr>
        <w:pStyle w:val="Heading8"/>
        <w:ind w:hanging="0" w:start="0"/>
        <w:rPr>
          <w:rFonts w:ascii="Arial" w:hAnsi="Arial" w:cs="Arial"/>
        </w:rPr>
      </w:pPr>
      <w:r>
        <w:rPr>
          <w:rFonts w:eastAsia="Arial" w:cs="Arial" w:ascii="Arial" w:hAnsi="Arial"/>
        </w:rPr>
        <w:t xml:space="preserve"> </w:t>
      </w:r>
      <w:r>
        <w:rPr>
          <w:rFonts w:cs="Arial" w:ascii="Arial" w:hAnsi="Arial"/>
        </w:rPr>
        <w:t>DEAL APPROVAL SHEET</w:t>
      </w:r>
    </w:p>
    <w:p>
      <w:pPr>
        <w:pStyle w:val="Normal"/>
        <w:ind w:firstLine="720" w:start="720" w:end="0"/>
        <w:jc w:val="end"/>
        <w:rPr>
          <w:rFonts w:ascii="Arial" w:hAnsi="Arial" w:cs="Arial"/>
          <w:b/>
          <w:bCs/>
        </w:rPr>
      </w:pPr>
      <w:r>
        <w:fldChar w:fldCharType="begin">
          <w:ffData>
            <w:name w:val="Dropdown9"/>
            <w:enabled/>
            <w:ddList>
              <w:result w:val="4"/>
              <w:listEntry w:val="SELECT DEAL TYPE"/>
              <w:listEntry w:val="NEW DEAL"/>
              <w:listEntry w:val="SUBSEQUENT INVESTMENT"/>
              <w:listEntry w:val="AMENDMENT"/>
              <w:listEntry w:val="DIVESTITURE"/>
            </w:ddList>
          </w:ffData>
        </w:fldChar>
      </w:r>
      <w:r>
        <w:rPr>
          <w:b/>
          <w:bCs/>
          <w:rFonts w:cs="Arial" w:ascii="Arial" w:hAnsi="Arial"/>
        </w:rPr>
        <w:instrText xml:space="preserve"> FORMDROPDOWN </w:instrText>
      </w:r>
      <w:r>
        <w:rPr>
          <w:b/>
          <w:bCs/>
          <w:rFonts w:cs="Arial" w:ascii="Arial" w:hAnsi="Arial"/>
        </w:rPr>
        <w:fldChar w:fldCharType="separate"/>
      </w:r>
      <w:bookmarkStart w:id="0" w:name="Dropdown9"/>
      <w:bookmarkStart w:id="1" w:name="Dropdown9"/>
      <w:bookmarkEnd w:id="1"/>
      <w:r/>
      <w:r>
        <w:rPr>
          <w:b/>
          <w:bCs/>
          <w:rFonts w:cs="Arial" w:ascii="Arial" w:hAnsi="Arial"/>
        </w:rPr>
        <w:fldChar w:fldCharType="end"/>
      </w:r>
      <w:r>
        <w:rPr>
          <w:rFonts w:cs="Arial" w:ascii="Arial" w:hAnsi="Arial"/>
          <w:b/>
          <w:bCs/>
        </w:rPr>
      </w:r>
    </w:p>
    <w:tbl>
      <w:tblPr>
        <w:tblW w:w="10440" w:type="dxa"/>
        <w:jc w:val="start"/>
        <w:tblInd w:w="18" w:type="dxa"/>
        <w:tblLayout w:type="fixed"/>
        <w:tblCellMar>
          <w:top w:w="0" w:type="dxa"/>
          <w:start w:w="108" w:type="dxa"/>
          <w:bottom w:w="0" w:type="dxa"/>
          <w:end w:w="108" w:type="dxa"/>
        </w:tblCellMar>
      </w:tblPr>
      <w:tblGrid>
        <w:gridCol w:w="2250"/>
        <w:gridCol w:w="3060"/>
        <w:gridCol w:w="90"/>
        <w:gridCol w:w="5022"/>
        <w:gridCol w:w="18"/>
      </w:tblGrid>
      <w:tr>
        <w:trPr/>
        <w:tc>
          <w:tcPr>
            <w:tcW w:w="5400" w:type="dxa"/>
            <w:gridSpan w:val="3"/>
            <w:tcBorders>
              <w:top w:val="single" w:sz="8" w:space="0" w:color="000000"/>
            </w:tcBorders>
          </w:tcPr>
          <w:p>
            <w:pPr>
              <w:pStyle w:val="Normal"/>
              <w:rPr/>
            </w:pPr>
            <w:r>
              <w:rPr/>
              <w:t>DEAL NAME:</w:t>
            </w:r>
          </w:p>
          <w:tbl>
            <w:tblPr>
              <w:tblW w:w="5287" w:type="dxa"/>
              <w:jc w:val="start"/>
              <w:tblInd w:w="0" w:type="dxa"/>
              <w:tblLayout w:type="fixed"/>
              <w:tblCellMar>
                <w:top w:w="0" w:type="dxa"/>
                <w:start w:w="14" w:type="dxa"/>
                <w:bottom w:w="0" w:type="dxa"/>
                <w:end w:w="14" w:type="dxa"/>
              </w:tblCellMar>
            </w:tblPr>
            <w:tblGrid>
              <w:gridCol w:w="882"/>
              <w:gridCol w:w="540"/>
              <w:gridCol w:w="180"/>
              <w:gridCol w:w="720"/>
              <w:gridCol w:w="2965"/>
            </w:tblGrid>
            <w:tr>
              <w:trPr>
                <w:trHeight w:val="144" w:hRule="atLeast"/>
              </w:trPr>
              <w:tc>
                <w:tcPr>
                  <w:tcW w:w="1422" w:type="dxa"/>
                  <w:gridSpan w:val="2"/>
                  <w:tcBorders/>
                </w:tcPr>
                <w:p>
                  <w:pPr>
                    <w:pStyle w:val="Normal"/>
                    <w:ind w:end="792"/>
                    <w:rPr>
                      <w:rFonts w:ascii="Arial" w:hAnsi="Arial" w:cs="Arial"/>
                      <w:b/>
                      <w:sz w:val="20"/>
                    </w:rPr>
                  </w:pPr>
                  <w:r>
                    <w:fldChar w:fldCharType="begin">
                      <w:ffData>
                        <w:name w:val="Text1"/>
                        <w:enabled/>
                        <w:calcOnExit w:val="0"/>
                        <w:textInput/>
                      </w:ffData>
                    </w:fldChar>
                  </w:r>
                  <w:r>
                    <w:rPr>
                      <w:sz w:val="20"/>
                      <w:b/>
                      <w:rFonts w:cs="Arial" w:ascii="Arial" w:hAnsi="Arial"/>
                      <w:lang w:val="en-CA" w:eastAsia="en-CA"/>
                    </w:rPr>
                    <w:instrText xml:space="preserve"> FORMTEXT </w:instrText>
                  </w:r>
                  <w:r>
                    <w:rPr>
                      <w:rFonts w:cs="Arial" w:ascii="Arial" w:hAnsi="Arial"/>
                      <w:b/>
                      <w:sz w:val="20"/>
                      <w:lang w:val="en-CA" w:eastAsia="en-CA"/>
                    </w:rPr>
                  </w:r>
                  <w:r>
                    <w:rPr>
                      <w:sz w:val="20"/>
                      <w:b/>
                      <w:rFonts w:cs="Arial" w:ascii="Arial" w:hAnsi="Arial"/>
                      <w:lang w:val="en-CA" w:eastAsia="en-CA"/>
                    </w:rPr>
                    <w:fldChar w:fldCharType="separate"/>
                  </w:r>
                  <w:r>
                    <w:rPr>
                      <w:rFonts w:cs="Arial" w:ascii="Arial" w:hAnsi="Arial"/>
                      <w:b/>
                      <w:sz w:val="20"/>
                      <w:lang w:val="en-CA" w:eastAsia="en-CA"/>
                    </w:rPr>
                    <w:t>EOGIL Divestiture</w:t>
                  </w:r>
                  <w:r/>
                  <w:r>
                    <w:rPr>
                      <w:sz w:val="20"/>
                      <w:b/>
                      <w:rFonts w:cs="Arial" w:ascii="Arial" w:hAnsi="Arial"/>
                      <w:lang w:val="en-CA" w:eastAsia="en-CA"/>
                    </w:rPr>
                    <w:fldChar w:fldCharType="end"/>
                  </w:r>
                  <w:r>
                    <w:rPr>
                      <w:rFonts w:cs="Arial" w:ascii="Arial" w:hAnsi="Arial"/>
                      <w:b/>
                      <w:sz w:val="20"/>
                      <w:lang w:val="en-CA" w:eastAsia="en-CA"/>
                    </w:rPr>
                  </w:r>
                </w:p>
              </w:tc>
              <w:tc>
                <w:tcPr>
                  <w:tcW w:w="3865" w:type="dxa"/>
                  <w:gridSpan w:val="3"/>
                  <w:tcBorders/>
                </w:tcPr>
                <w:p>
                  <w:pPr>
                    <w:pStyle w:val="Normal"/>
                    <w:snapToGrid w:val="false"/>
                    <w:rPr>
                      <w:rFonts w:ascii="Arial" w:hAnsi="Arial" w:cs="Arial"/>
                      <w:b/>
                      <w:sz w:val="20"/>
                    </w:rPr>
                  </w:pPr>
                  <w:r>
                    <w:rPr>
                      <w:rFonts w:cs="Arial" w:ascii="Arial" w:hAnsi="Arial"/>
                      <w:b/>
                      <w:sz w:val="20"/>
                    </w:rPr>
                  </w:r>
                </w:p>
              </w:tc>
            </w:tr>
            <w:tr>
              <w:trPr>
                <w:trHeight w:val="144" w:hRule="atLeast"/>
              </w:trPr>
              <w:tc>
                <w:tcPr>
                  <w:tcW w:w="1422" w:type="dxa"/>
                  <w:gridSpan w:val="2"/>
                  <w:tcBorders/>
                </w:tcPr>
                <w:p>
                  <w:pPr>
                    <w:pStyle w:val="Header"/>
                    <w:widowControl/>
                    <w:tabs>
                      <w:tab w:val="clear" w:pos="4320"/>
                      <w:tab w:val="clear" w:pos="8640"/>
                    </w:tabs>
                    <w:rPr>
                      <w:rFonts w:ascii="Arial" w:hAnsi="Arial" w:cs="Arial"/>
                      <w:b/>
                    </w:rPr>
                  </w:pPr>
                  <w:r>
                    <w:rPr>
                      <w:rFonts w:cs="Arial" w:ascii="Arial" w:hAnsi="Arial"/>
                    </w:rPr>
                    <w:t>Counterparty:</w:t>
                  </w:r>
                </w:p>
              </w:tc>
              <w:tc>
                <w:tcPr>
                  <w:tcW w:w="3865" w:type="dxa"/>
                  <w:gridSpan w:val="3"/>
                  <w:tcBorders/>
                </w:tcPr>
                <w:p>
                  <w:pPr>
                    <w:pStyle w:val="Normal"/>
                    <w:ind w:end="792"/>
                    <w:rPr>
                      <w:rFonts w:ascii="Arial" w:hAnsi="Arial" w:cs="Arial"/>
                      <w:b/>
                      <w:sz w:val="20"/>
                    </w:rPr>
                  </w:pPr>
                  <w:r>
                    <w:fldChar w:fldCharType="begin">
                      <w:ffData>
                        <w:name w:val="Text2"/>
                        <w:enabled/>
                        <w:calcOnExit w:val="0"/>
                        <w:textInput/>
                      </w:ffData>
                    </w:fldChar>
                  </w:r>
                  <w:r>
                    <w:rPr>
                      <w:sz w:val="20"/>
                      <w:b/>
                      <w:rFonts w:cs="Arial" w:ascii="Arial" w:hAnsi="Arial"/>
                    </w:rPr>
                    <w:instrText xml:space="preserve"> FORMTEXT </w:instrText>
                  </w:r>
                  <w:r>
                    <w:rPr>
                      <w:rFonts w:cs="Arial" w:ascii="Arial" w:hAnsi="Arial"/>
                      <w:b/>
                      <w:sz w:val="20"/>
                    </w:rPr>
                  </w:r>
                  <w:r>
                    <w:rPr>
                      <w:sz w:val="20"/>
                      <w:b/>
                      <w:rFonts w:cs="Arial" w:ascii="Arial" w:hAnsi="Arial"/>
                    </w:rPr>
                    <w:fldChar w:fldCharType="separate"/>
                  </w:r>
                  <w:r>
                    <w:rPr>
                      <w:rFonts w:cs="Arial" w:ascii="Arial" w:hAnsi="Arial"/>
                      <w:b/>
                      <w:sz w:val="20"/>
                    </w:rPr>
                    <w:t>BG Energy Holdings Limited</w:t>
                  </w:r>
                  <w:r/>
                  <w:r>
                    <w:rPr>
                      <w:sz w:val="20"/>
                      <w:b/>
                      <w:rFonts w:cs="Arial" w:ascii="Arial" w:hAnsi="Arial"/>
                    </w:rPr>
                    <w:fldChar w:fldCharType="end"/>
                  </w:r>
                  <w:r>
                    <w:rPr>
                      <w:rFonts w:cs="Arial" w:ascii="Arial" w:hAnsi="Arial"/>
                      <w:b/>
                      <w:sz w:val="20"/>
                    </w:rPr>
                  </w:r>
                </w:p>
              </w:tc>
            </w:tr>
            <w:tr>
              <w:trPr>
                <w:trHeight w:val="144" w:hRule="atLeast"/>
              </w:trPr>
              <w:tc>
                <w:tcPr>
                  <w:tcW w:w="1422" w:type="dxa"/>
                  <w:gridSpan w:val="2"/>
                  <w:tcBorders/>
                </w:tcPr>
                <w:p>
                  <w:pPr>
                    <w:pStyle w:val="Normal"/>
                    <w:ind w:end="-738"/>
                    <w:rPr>
                      <w:rFonts w:ascii="Arial" w:hAnsi="Arial" w:cs="Arial"/>
                      <w:color w:val="0000FF"/>
                      <w:sz w:val="20"/>
                    </w:rPr>
                  </w:pPr>
                  <w:r>
                    <w:rPr>
                      <w:rFonts w:cs="Arial" w:ascii="Arial" w:hAnsi="Arial"/>
                      <w:color w:val="0000FF"/>
                      <w:sz w:val="20"/>
                    </w:rPr>
                    <w:t>Business Unit:</w:t>
                  </w:r>
                </w:p>
              </w:tc>
              <w:tc>
                <w:tcPr>
                  <w:tcW w:w="3865" w:type="dxa"/>
                  <w:gridSpan w:val="3"/>
                  <w:tcBorders/>
                </w:tcPr>
                <w:p>
                  <w:pPr>
                    <w:pStyle w:val="Normal"/>
                    <w:ind w:end="-738"/>
                    <w:rPr>
                      <w:rFonts w:ascii="Arial" w:hAnsi="Arial" w:cs="Arial"/>
                      <w:sz w:val="20"/>
                    </w:rPr>
                  </w:pPr>
                  <w:r>
                    <w:fldChar w:fldCharType="begin">
                      <w:ffData>
                        <w:name w:val="Dropdown6"/>
                        <w:enabled/>
                        <w:ddList>
                          <w:result w:val="3"/>
                          <w:listEntry w:val="SELECT BUSINESS UNIT"/>
                          <w:listEntry w:val="Enron Americas"/>
                          <w:listEntry w:val="Enron Broadband Services"/>
                          <w:listEntry w:val="Enron Corp."/>
                          <w:listEntry w:val="Enron Energy Asset Services"/>
                          <w:listEntry w:val="Enron Energy Services"/>
                          <w:listEntry w:val="Enron Europe"/>
                          <w:listEntry w:val="Enron Global Assets"/>
                          <w:listEntry w:val="Enron Global Finance"/>
                          <w:listEntry w:val="Enron Global Markets"/>
                          <w:listEntry w:val="Enron Industrial Markets"/>
                          <w:listEntry w:val="Enron Net Works"/>
                          <w:listEntry w:val="Enron Transportation Services"/>
                          <w:listEntry w:val="Enron Wind"/>
                          <w:listEntry w:val="NEPCO"/>
                          <w:listEntry w:val="Northern Border"/>
                          <w:listEntry w:val="Wholesale Services"/>
                        </w:ddList>
                      </w:ffData>
                    </w:fldChar>
                  </w:r>
                  <w:r>
                    <w:rPr>
                      <w:sz w:val="20"/>
                      <w:rFonts w:cs="Arial" w:ascii="Arial" w:hAnsi="Arial"/>
                    </w:rPr>
                    <w:instrText xml:space="preserve"> FORMDROPDOWN </w:instrText>
                  </w:r>
                  <w:r>
                    <w:rPr>
                      <w:sz w:val="20"/>
                      <w:rFonts w:cs="Arial" w:ascii="Arial" w:hAnsi="Arial"/>
                    </w:rPr>
                    <w:fldChar w:fldCharType="separate"/>
                  </w:r>
                  <w:bookmarkStart w:id="2" w:name="Dropdown6"/>
                  <w:bookmarkStart w:id="3" w:name="Dropdown6"/>
                  <w:bookmarkEnd w:id="3"/>
                  <w:r/>
                  <w:r>
                    <w:rPr>
                      <w:sz w:val="20"/>
                      <w:rFonts w:cs="Arial" w:ascii="Arial" w:hAnsi="Arial"/>
                    </w:rPr>
                    <w:fldChar w:fldCharType="end"/>
                  </w:r>
                  <w:r>
                    <w:rPr>
                      <w:rFonts w:cs="Arial" w:ascii="Arial" w:hAnsi="Arial"/>
                      <w:sz w:val="20"/>
                    </w:rPr>
                  </w:r>
                </w:p>
              </w:tc>
            </w:tr>
            <w:tr>
              <w:trPr>
                <w:trHeight w:val="144" w:hRule="atLeast"/>
              </w:trPr>
              <w:tc>
                <w:tcPr>
                  <w:tcW w:w="2322" w:type="dxa"/>
                  <w:gridSpan w:val="4"/>
                  <w:tcBorders/>
                </w:tcPr>
                <w:p>
                  <w:pPr>
                    <w:pStyle w:val="Normal"/>
                    <w:ind w:end="-738"/>
                    <w:rPr>
                      <w:rFonts w:ascii="Arial" w:hAnsi="Arial" w:cs="Arial"/>
                      <w:sz w:val="20"/>
                    </w:rPr>
                  </w:pPr>
                  <w:r>
                    <w:rPr>
                      <w:rFonts w:cs="Arial" w:ascii="Arial" w:hAnsi="Arial"/>
                      <w:sz w:val="20"/>
                    </w:rPr>
                    <w:t xml:space="preserve">Business Unit Originator: </w:t>
                  </w:r>
                </w:p>
              </w:tc>
              <w:tc>
                <w:tcPr>
                  <w:tcW w:w="2965" w:type="dxa"/>
                  <w:tcBorders/>
                </w:tcPr>
                <w:p>
                  <w:pPr>
                    <w:pStyle w:val="Normal"/>
                    <w:ind w:end="-738"/>
                    <w:rPr>
                      <w:rFonts w:ascii="Arial" w:hAnsi="Arial" w:cs="Arial"/>
                      <w:sz w:val="20"/>
                    </w:rPr>
                  </w:pPr>
                  <w:r>
                    <w:fldChar w:fldCharType="begin">
                      <w:ffData>
                        <w:name w:val="Text5"/>
                        <w:enabled/>
                        <w:calcOnExit w:val="0"/>
                        <w:textInput/>
                      </w:ffData>
                    </w:fldChar>
                  </w:r>
                  <w:r>
                    <w:rPr>
                      <w:sz w:val="20"/>
                      <w:rFonts w:cs="Arial" w:ascii="Arial" w:hAnsi="Arial"/>
                      <w:lang w:val="en-CA" w:eastAsia="en-CA"/>
                    </w:rPr>
                    <w:instrText xml:space="preserve"> FORMTEXT </w:instrText>
                  </w:r>
                  <w:r>
                    <w:rPr>
                      <w:rFonts w:cs="Arial" w:ascii="Arial" w:hAnsi="Arial"/>
                      <w:sz w:val="20"/>
                      <w:lang w:val="en-CA" w:eastAsia="en-CA"/>
                    </w:rPr>
                  </w:r>
                  <w:r>
                    <w:rPr>
                      <w:sz w:val="20"/>
                      <w:rFonts w:cs="Arial" w:ascii="Arial" w:hAnsi="Arial"/>
                      <w:lang w:val="en-CA" w:eastAsia="en-CA"/>
                    </w:rPr>
                    <w:fldChar w:fldCharType="separate"/>
                  </w:r>
                  <w:r>
                    <w:rPr>
                      <w:rFonts w:cs="Arial" w:ascii="Arial" w:hAnsi="Arial"/>
                      <w:sz w:val="20"/>
                      <w:lang w:val="en-CA" w:eastAsia="en-CA"/>
                    </w:rPr>
                    <w:t>Steve Harper</w:t>
                  </w:r>
                  <w:r/>
                  <w:r>
                    <w:rPr>
                      <w:sz w:val="20"/>
                      <w:rFonts w:cs="Arial" w:ascii="Arial" w:hAnsi="Arial"/>
                      <w:lang w:val="en-CA" w:eastAsia="en-CA"/>
                    </w:rPr>
                    <w:fldChar w:fldCharType="end"/>
                  </w:r>
                  <w:r>
                    <w:rPr>
                      <w:rFonts w:cs="Arial" w:ascii="Arial" w:hAnsi="Arial"/>
                      <w:sz w:val="20"/>
                      <w:lang w:val="en-CA" w:eastAsia="en-CA"/>
                    </w:rPr>
                  </w:r>
                </w:p>
              </w:tc>
            </w:tr>
            <w:tr>
              <w:trPr>
                <w:trHeight w:val="288" w:hRule="exact"/>
              </w:trPr>
              <w:tc>
                <w:tcPr>
                  <w:tcW w:w="882" w:type="dxa"/>
                  <w:tcBorders/>
                </w:tcPr>
                <w:p>
                  <w:pPr>
                    <w:pStyle w:val="Normal"/>
                    <w:ind w:end="-14"/>
                    <w:rPr>
                      <w:rFonts w:ascii="Arial" w:hAnsi="Arial" w:cs="Arial"/>
                      <w:b/>
                      <w:color w:val="0000FF"/>
                      <w:sz w:val="20"/>
                    </w:rPr>
                  </w:pPr>
                  <w:r>
                    <w:rPr>
                      <w:rFonts w:cs="Arial" w:ascii="Arial" w:hAnsi="Arial"/>
                      <w:color w:val="0000FF"/>
                      <w:sz w:val="20"/>
                    </w:rPr>
                    <w:t>Industry:</w:t>
                  </w:r>
                </w:p>
              </w:tc>
              <w:tc>
                <w:tcPr>
                  <w:tcW w:w="4405" w:type="dxa"/>
                  <w:gridSpan w:val="4"/>
                  <w:tcBorders/>
                  <w:vAlign w:val="center"/>
                </w:tcPr>
                <w:p>
                  <w:pPr>
                    <w:pStyle w:val="Normal"/>
                    <w:ind w:end="-738"/>
                    <w:rPr>
                      <w:rFonts w:ascii="Arial" w:hAnsi="Arial" w:cs="Arial"/>
                      <w:sz w:val="18"/>
                    </w:rPr>
                  </w:pPr>
                  <w:r>
                    <w:fldChar w:fldCharType="begin">
                      <w:ffData>
                        <w:name w:val="UserForm1"/>
                        <w:enabled/>
                        <w:calcOnExit w:val="0"/>
                        <w:textInput/>
                      </w:ffData>
                    </w:fldChar>
                  </w:r>
                  <w:r>
                    <w:rPr>
                      <w:sz w:val="18"/>
                      <w:rFonts w:cs="Arial" w:ascii="Arial" w:hAnsi="Arial"/>
                      <w:lang w:val="en-CA" w:eastAsia="en-CA"/>
                    </w:rPr>
                    <w:instrText xml:space="preserve"> FORMTEXT </w:instrText>
                  </w:r>
                  <w:r>
                    <w:rPr>
                      <w:rFonts w:cs="Arial" w:ascii="Arial" w:hAnsi="Arial"/>
                      <w:sz w:val="18"/>
                      <w:lang w:val="en-CA" w:eastAsia="en-CA"/>
                    </w:rPr>
                  </w:r>
                  <w:r>
                    <w:rPr>
                      <w:sz w:val="18"/>
                      <w:rFonts w:cs="Arial" w:ascii="Arial" w:hAnsi="Arial"/>
                      <w:lang w:val="en-CA" w:eastAsia="en-CA"/>
                    </w:rPr>
                    <w:fldChar w:fldCharType="separate"/>
                  </w:r>
                  <w:r>
                    <w:rPr>
                      <w:rFonts w:cs="Arial" w:ascii="Arial" w:hAnsi="Arial"/>
                      <w:sz w:val="18"/>
                      <w:lang w:val="en-CA" w:eastAsia="en-CA"/>
                    </w:rPr>
                    <w:t>Wholesale Energy-Upstream Oil &amp; Gas</w:t>
                  </w:r>
                  <w:r/>
                  <w:r>
                    <w:rPr>
                      <w:sz w:val="18"/>
                      <w:rFonts w:cs="Arial" w:ascii="Arial" w:hAnsi="Arial"/>
                      <w:lang w:val="en-CA" w:eastAsia="en-CA"/>
                    </w:rPr>
                    <w:fldChar w:fldCharType="end"/>
                  </w:r>
                  <w:r>
                    <w:rPr>
                      <w:rFonts w:cs="Arial" w:ascii="Arial" w:hAnsi="Arial"/>
                      <w:sz w:val="18"/>
                      <w:lang w:val="en-CA" w:eastAsia="en-CA"/>
                    </w:rPr>
                  </w:r>
                </w:p>
              </w:tc>
            </w:tr>
            <w:tr>
              <w:trPr>
                <w:trHeight w:val="144" w:hRule="atLeast"/>
              </w:trPr>
              <w:tc>
                <w:tcPr>
                  <w:tcW w:w="1602" w:type="dxa"/>
                  <w:gridSpan w:val="3"/>
                  <w:tcBorders/>
                </w:tcPr>
                <w:p>
                  <w:pPr>
                    <w:pStyle w:val="Normal"/>
                    <w:ind w:end="-738"/>
                    <w:rPr>
                      <w:rFonts w:ascii="Arial" w:hAnsi="Arial" w:cs="Arial"/>
                      <w:sz w:val="20"/>
                    </w:rPr>
                  </w:pPr>
                  <w:r>
                    <w:rPr>
                      <w:rFonts w:cs="Arial" w:ascii="Arial" w:hAnsi="Arial"/>
                      <w:sz w:val="20"/>
                    </w:rPr>
                    <w:t>This Transaction:</w:t>
                  </w:r>
                </w:p>
              </w:tc>
              <w:tc>
                <w:tcPr>
                  <w:tcW w:w="3685" w:type="dxa"/>
                  <w:gridSpan w:val="2"/>
                  <w:tcBorders/>
                </w:tcPr>
                <w:p>
                  <w:pPr>
                    <w:pStyle w:val="Normal"/>
                    <w:ind w:end="-738"/>
                    <w:rPr>
                      <w:rFonts w:ascii="Arial" w:hAnsi="Arial" w:cs="Arial"/>
                      <w:sz w:val="20"/>
                    </w:rPr>
                  </w:pPr>
                  <w:r>
                    <w:fldChar w:fldCharType="begin">
                      <w:ffData>
                        <w:name w:val="Unnamed"/>
                        <w:enabled/>
                        <w:ddList>
                          <w:result w:val="2"/>
                          <w:listEntry w:val="SELECT PUBLIC OR PRIVATE"/>
                          <w:listEntry w:val="Public"/>
                          <w:listEntry w:val="Private"/>
                        </w:ddList>
                      </w:ffData>
                    </w:fldChar>
                  </w:r>
                  <w:r>
                    <w:rPr>
                      <w:sz w:val="20"/>
                      <w:rFonts w:cs="Arial" w:ascii="Arial" w:hAnsi="Arial"/>
                    </w:rPr>
                    <w:instrText xml:space="preserve"> FORMDROPDOWN </w:instrText>
                  </w:r>
                  <w:r>
                    <w:rPr>
                      <w:sz w:val="20"/>
                      <w:rFonts w:cs="Arial" w:ascii="Arial" w:hAnsi="Arial"/>
                    </w:rPr>
                    <w:fldChar w:fldCharType="separate"/>
                  </w:r>
                  <w:bookmarkStart w:id="4" w:name="Unnamed"/>
                  <w:bookmarkStart w:id="5" w:name="Unnamed"/>
                  <w:bookmarkEnd w:id="5"/>
                  <w:r/>
                  <w:r>
                    <w:rPr>
                      <w:sz w:val="20"/>
                      <w:rFonts w:cs="Arial" w:ascii="Arial" w:hAnsi="Arial"/>
                    </w:rPr>
                    <w:fldChar w:fldCharType="end"/>
                  </w:r>
                  <w:r>
                    <w:rPr>
                      <w:rFonts w:cs="Arial" w:ascii="Arial" w:hAnsi="Arial"/>
                      <w:sz w:val="20"/>
                    </w:rPr>
                  </w:r>
                </w:p>
              </w:tc>
            </w:tr>
            <w:tr>
              <w:trPr>
                <w:trHeight w:val="144" w:hRule="atLeast"/>
              </w:trPr>
              <w:tc>
                <w:tcPr>
                  <w:tcW w:w="1602" w:type="dxa"/>
                  <w:gridSpan w:val="3"/>
                  <w:tcBorders/>
                </w:tcPr>
                <w:p>
                  <w:pPr>
                    <w:pStyle w:val="Normal"/>
                    <w:snapToGrid w:val="false"/>
                    <w:ind w:end="-738"/>
                    <w:rPr>
                      <w:rFonts w:ascii="Arial" w:hAnsi="Arial" w:cs="Arial"/>
                      <w:b/>
                      <w:sz w:val="20"/>
                    </w:rPr>
                  </w:pPr>
                  <w:r>
                    <w:rPr>
                      <w:rFonts w:cs="Arial" w:ascii="Arial" w:hAnsi="Arial"/>
                      <w:b/>
                      <w:sz w:val="20"/>
                    </w:rPr>
                  </w:r>
                </w:p>
              </w:tc>
              <w:tc>
                <w:tcPr>
                  <w:tcW w:w="3685" w:type="dxa"/>
                  <w:gridSpan w:val="2"/>
                  <w:tcBorders/>
                </w:tcPr>
                <w:p>
                  <w:pPr>
                    <w:pStyle w:val="Normal"/>
                    <w:ind w:end="-738"/>
                    <w:rPr>
                      <w:rFonts w:ascii="Arial" w:hAnsi="Arial" w:cs="Arial"/>
                      <w:sz w:val="20"/>
                    </w:rPr>
                  </w:pPr>
                  <w:r>
                    <w:fldChar w:fldCharType="begin">
                      <w:ffData>
                        <w:name w:val="Unnamed Copy 1"/>
                        <w:enabled/>
                        <w:ddList>
                          <w:result w:val="1"/>
                          <w:listEntry w:val="SELECT MERCHANT, STRATEGIC OR TRADING"/>
                          <w:listEntry w:val="Merchant"/>
                          <w:listEntry w:val="Strategic"/>
                          <w:listEntry w:val="Trading"/>
                        </w:ddList>
                      </w:ffData>
                    </w:fldChar>
                  </w:r>
                  <w:r>
                    <w:rPr>
                      <w:sz w:val="20"/>
                      <w:rFonts w:cs="Arial" w:ascii="Arial" w:hAnsi="Arial"/>
                    </w:rPr>
                    <w:instrText xml:space="preserve"> FORMDROPDOWN </w:instrText>
                  </w:r>
                  <w:r>
                    <w:rPr>
                      <w:sz w:val="20"/>
                      <w:rFonts w:cs="Arial" w:ascii="Arial" w:hAnsi="Arial"/>
                    </w:rPr>
                    <w:fldChar w:fldCharType="separate"/>
                  </w:r>
                  <w:bookmarkStart w:id="6" w:name="Unnamed_Copy_1"/>
                  <w:bookmarkStart w:id="7" w:name="Unnamed_Copy_1"/>
                  <w:bookmarkEnd w:id="7"/>
                  <w:r/>
                  <w:r>
                    <w:rPr>
                      <w:sz w:val="20"/>
                      <w:rFonts w:cs="Arial" w:ascii="Arial" w:hAnsi="Arial"/>
                    </w:rPr>
                    <w:fldChar w:fldCharType="end"/>
                  </w:r>
                  <w:r>
                    <w:rPr>
                      <w:rFonts w:cs="Arial" w:ascii="Arial" w:hAnsi="Arial"/>
                      <w:sz w:val="20"/>
                    </w:rPr>
                  </w:r>
                </w:p>
              </w:tc>
            </w:tr>
            <w:tr>
              <w:trPr>
                <w:trHeight w:val="144" w:hRule="atLeast"/>
              </w:trPr>
              <w:tc>
                <w:tcPr>
                  <w:tcW w:w="1602" w:type="dxa"/>
                  <w:gridSpan w:val="3"/>
                  <w:tcBorders/>
                </w:tcPr>
                <w:p>
                  <w:pPr>
                    <w:pStyle w:val="Normal"/>
                    <w:snapToGrid w:val="false"/>
                    <w:ind w:end="-738"/>
                    <w:rPr>
                      <w:rFonts w:ascii="Arial" w:hAnsi="Arial" w:cs="Arial"/>
                      <w:b/>
                      <w:sz w:val="20"/>
                    </w:rPr>
                  </w:pPr>
                  <w:r>
                    <w:rPr>
                      <w:rFonts w:cs="Arial" w:ascii="Arial" w:hAnsi="Arial"/>
                      <w:b/>
                      <w:sz w:val="20"/>
                    </w:rPr>
                  </w:r>
                </w:p>
              </w:tc>
              <w:tc>
                <w:tcPr>
                  <w:tcW w:w="3685" w:type="dxa"/>
                  <w:gridSpan w:val="2"/>
                  <w:tcBorders/>
                </w:tcPr>
                <w:p>
                  <w:pPr>
                    <w:pStyle w:val="Normal"/>
                    <w:ind w:end="-738"/>
                    <w:rPr>
                      <w:rFonts w:ascii="Arial" w:hAnsi="Arial" w:cs="Arial"/>
                      <w:sz w:val="20"/>
                    </w:rPr>
                  </w:pPr>
                  <w:r>
                    <w:fldChar w:fldCharType="begin">
                      <w:ffData>
                        <w:name w:val="Unnamed Copy 2"/>
                        <w:enabled/>
                        <w:ddList>
                          <w:result w:val="1"/>
                          <w:listEntry w:val="SELECT CONFORMING OR NONCONFORMING"/>
                          <w:listEntry w:val="Conforming"/>
                          <w:listEntry w:val="Nonconforming"/>
                        </w:ddList>
                      </w:ffData>
                    </w:fldChar>
                  </w:r>
                  <w:r>
                    <w:rPr>
                      <w:sz w:val="20"/>
                      <w:rFonts w:cs="Arial" w:ascii="Arial" w:hAnsi="Arial"/>
                    </w:rPr>
                    <w:instrText xml:space="preserve"> FORMDROPDOWN </w:instrText>
                  </w:r>
                  <w:r>
                    <w:rPr>
                      <w:sz w:val="20"/>
                      <w:rFonts w:cs="Arial" w:ascii="Arial" w:hAnsi="Arial"/>
                    </w:rPr>
                    <w:fldChar w:fldCharType="separate"/>
                  </w:r>
                  <w:bookmarkStart w:id="8" w:name="Unnamed_Copy_2"/>
                  <w:bookmarkStart w:id="9" w:name="Unnamed_Copy_2"/>
                  <w:bookmarkEnd w:id="9"/>
                  <w:r/>
                  <w:r>
                    <w:rPr>
                      <w:sz w:val="20"/>
                      <w:rFonts w:cs="Arial" w:ascii="Arial" w:hAnsi="Arial"/>
                    </w:rPr>
                    <w:fldChar w:fldCharType="end"/>
                  </w:r>
                  <w:r>
                    <w:rPr>
                      <w:rFonts w:cs="Arial" w:ascii="Arial" w:hAnsi="Arial"/>
                      <w:sz w:val="20"/>
                    </w:rPr>
                  </w:r>
                </w:p>
              </w:tc>
            </w:tr>
          </w:tbl>
          <w:p>
            <w:pPr>
              <w:pStyle w:val="Normal"/>
              <w:ind w:firstLine="90" w:start="-198" w:end="-738"/>
              <w:rPr>
                <w:rFonts w:ascii="Arial" w:hAnsi="Arial" w:cs="Arial"/>
                <w:sz w:val="20"/>
              </w:rPr>
            </w:pPr>
            <w:r>
              <w:rPr>
                <w:rFonts w:cs="Arial" w:ascii="Arial" w:hAnsi="Arial"/>
                <w:sz w:val="20"/>
              </w:rPr>
            </w:r>
          </w:p>
        </w:tc>
        <w:tc>
          <w:tcPr>
            <w:tcW w:w="5040" w:type="dxa"/>
            <w:tcBorders>
              <w:top w:val="single" w:sz="8" w:space="0" w:color="000000"/>
            </w:tcBorders>
          </w:tcPr>
          <w:tbl>
            <w:tblPr>
              <w:tblW w:w="4922" w:type="dxa"/>
              <w:jc w:val="start"/>
              <w:tblInd w:w="15" w:type="dxa"/>
              <w:tblLayout w:type="fixed"/>
              <w:tblCellMar>
                <w:top w:w="0" w:type="dxa"/>
                <w:start w:w="14" w:type="dxa"/>
                <w:bottom w:w="0" w:type="dxa"/>
                <w:end w:w="14" w:type="dxa"/>
              </w:tblCellMar>
            </w:tblPr>
            <w:tblGrid>
              <w:gridCol w:w="2127"/>
              <w:gridCol w:w="2795"/>
            </w:tblGrid>
            <w:tr>
              <w:trPr/>
              <w:tc>
                <w:tcPr>
                  <w:tcW w:w="2127" w:type="dxa"/>
                  <w:tcBorders/>
                </w:tcPr>
                <w:p>
                  <w:pPr>
                    <w:pStyle w:val="Normal"/>
                    <w:ind w:end="-738"/>
                    <w:rPr>
                      <w:rFonts w:ascii="Arial" w:hAnsi="Arial" w:cs="Arial"/>
                      <w:sz w:val="20"/>
                    </w:rPr>
                  </w:pPr>
                  <w:r>
                    <w:rPr>
                      <w:rFonts w:cs="Arial" w:ascii="Arial" w:hAnsi="Arial"/>
                      <w:sz w:val="20"/>
                    </w:rPr>
                    <w:t>Date DASH Completed:</w:t>
                  </w:r>
                </w:p>
              </w:tc>
              <w:tc>
                <w:tcPr>
                  <w:tcW w:w="2795" w:type="dxa"/>
                  <w:tcBorders/>
                </w:tcPr>
                <w:p>
                  <w:pPr>
                    <w:pStyle w:val="Normal"/>
                    <w:ind w:end="-738"/>
                    <w:rPr>
                      <w:rFonts w:ascii="Arial" w:hAnsi="Arial" w:cs="Arial"/>
                      <w:sz w:val="20"/>
                    </w:rPr>
                  </w:pPr>
                  <w:r>
                    <w:fldChar w:fldCharType="begin">
                      <w:ffData>
                        <w:name w:val="Text3"/>
                        <w:enabled/>
                        <w:calcOnExit w:val="0"/>
                        <w:textInput>
                          <w:type w:val="date"/>
                        </w:textInput>
                      </w:ffData>
                    </w:fldChar>
                  </w:r>
                  <w:r>
                    <w:rPr>
                      <w:sz w:val="20"/>
                      <w:rFonts w:cs="Arial" w:ascii="Arial" w:hAnsi="Arial"/>
                    </w:rPr>
                    <w:instrText xml:space="preserve"> FORMTEXT </w:instrText>
                  </w:r>
                  <w:r>
                    <w:rPr>
                      <w:rFonts w:cs="Arial" w:ascii="Arial" w:hAnsi="Arial"/>
                      <w:sz w:val="20"/>
                    </w:rPr>
                  </w:r>
                  <w:r>
                    <w:rPr>
                      <w:sz w:val="20"/>
                      <w:rFonts w:cs="Arial" w:ascii="Arial" w:hAnsi="Arial"/>
                    </w:rPr>
                    <w:fldChar w:fldCharType="separate"/>
                  </w:r>
                  <w:r>
                    <w:rPr>
                      <w:rFonts w:cs="Arial" w:ascii="Arial" w:hAnsi="Arial"/>
                      <w:sz w:val="20"/>
                    </w:rPr>
                    <w:t>August</w:t>
                  </w:r>
                  <w:r>
                    <w:rPr>
                      <w:rFonts w:cs="Arial" w:ascii="Arial" w:hAnsi="Arial"/>
                      <w:sz w:val="20"/>
                      <w:lang w:val="en-CA" w:eastAsia="en-CA"/>
                    </w:rPr>
                    <w:t xml:space="preserve"> 7, 2001</w:t>
                  </w:r>
                  <w:r/>
                  <w:r>
                    <w:rPr>
                      <w:sz w:val="20"/>
                      <w:rFonts w:cs="Arial" w:ascii="Arial" w:hAnsi="Arial"/>
                      <w:lang w:val="en-CA" w:eastAsia="en-CA"/>
                    </w:rPr>
                    <w:fldChar w:fldCharType="end"/>
                  </w:r>
                  <w:r>
                    <w:rPr>
                      <w:rFonts w:cs="Arial" w:ascii="Arial" w:hAnsi="Arial"/>
                      <w:sz w:val="20"/>
                      <w:lang w:val="en-CA" w:eastAsia="en-CA"/>
                    </w:rPr>
                  </w:r>
                </w:p>
              </w:tc>
            </w:tr>
            <w:tr>
              <w:trPr/>
              <w:tc>
                <w:tcPr>
                  <w:tcW w:w="2127" w:type="dxa"/>
                  <w:tcBorders/>
                </w:tcPr>
                <w:p>
                  <w:pPr>
                    <w:pStyle w:val="Normal"/>
                    <w:ind w:end="-738"/>
                    <w:rPr>
                      <w:rFonts w:ascii="Arial" w:hAnsi="Arial" w:cs="Arial"/>
                      <w:color w:val="0000FF"/>
                      <w:sz w:val="20"/>
                    </w:rPr>
                  </w:pPr>
                  <w:r>
                    <w:rPr>
                      <w:rFonts w:cs="Arial" w:ascii="Arial" w:hAnsi="Arial"/>
                      <w:color w:val="0000FF"/>
                      <w:sz w:val="20"/>
                    </w:rPr>
                    <w:t>RAC Underwriter:</w:t>
                  </w:r>
                </w:p>
              </w:tc>
              <w:tc>
                <w:tcPr>
                  <w:tcW w:w="2795" w:type="dxa"/>
                  <w:tcBorders/>
                </w:tcPr>
                <w:p>
                  <w:pPr>
                    <w:pStyle w:val="Normal"/>
                    <w:ind w:end="-738"/>
                    <w:rPr>
                      <w:rFonts w:ascii="Arial" w:hAnsi="Arial" w:cs="Arial"/>
                      <w:sz w:val="20"/>
                    </w:rPr>
                  </w:pPr>
                  <w:r>
                    <w:fldChar w:fldCharType="begin">
                      <w:ffData>
                        <w:name w:val="Dropdown7"/>
                        <w:enabled/>
                        <w:ddList>
                          <w:result w:val="2"/>
                          <w:listEntry w:val="SELECT UNDERWRITER"/>
                          <w:listEntry w:val="Dave Gorte"/>
                          <w:listEntry w:val="Brad Larson"/>
                          <w:listEntry w:val="Randy Petersen"/>
                          <w:listEntry w:val="Chip Schneider"/>
                          <w:listEntry w:val="Michael Tribolet"/>
                          <w:listEntry w:val="Karen Barbour"/>
                          <w:listEntry w:val="David Crews"/>
                          <w:listEntry w:val="Jay Hachen"/>
                        </w:ddList>
                      </w:ffData>
                    </w:fldChar>
                  </w:r>
                  <w:r>
                    <w:rPr>
                      <w:sz w:val="20"/>
                      <w:rFonts w:cs="Arial" w:ascii="Arial" w:hAnsi="Arial"/>
                    </w:rPr>
                    <w:instrText xml:space="preserve"> FORMDROPDOWN </w:instrText>
                  </w:r>
                  <w:r>
                    <w:rPr>
                      <w:sz w:val="20"/>
                      <w:rFonts w:cs="Arial" w:ascii="Arial" w:hAnsi="Arial"/>
                    </w:rPr>
                    <w:fldChar w:fldCharType="separate"/>
                  </w:r>
                  <w:bookmarkStart w:id="10" w:name="Dropdown7"/>
                  <w:bookmarkStart w:id="11" w:name="Dropdown7"/>
                  <w:bookmarkEnd w:id="11"/>
                  <w:r/>
                  <w:r>
                    <w:rPr>
                      <w:sz w:val="20"/>
                      <w:rFonts w:cs="Arial" w:ascii="Arial" w:hAnsi="Arial"/>
                    </w:rPr>
                    <w:fldChar w:fldCharType="end"/>
                  </w:r>
                  <w:r>
                    <w:rPr>
                      <w:rFonts w:cs="Arial" w:ascii="Arial" w:hAnsi="Arial"/>
                      <w:sz w:val="20"/>
                    </w:rPr>
                  </w:r>
                </w:p>
              </w:tc>
            </w:tr>
            <w:tr>
              <w:trPr/>
              <w:tc>
                <w:tcPr>
                  <w:tcW w:w="2127" w:type="dxa"/>
                  <w:tcBorders/>
                </w:tcPr>
                <w:p>
                  <w:pPr>
                    <w:pStyle w:val="Normal"/>
                    <w:ind w:end="-738"/>
                    <w:rPr>
                      <w:rFonts w:ascii="Arial" w:hAnsi="Arial" w:cs="Arial"/>
                      <w:sz w:val="20"/>
                    </w:rPr>
                  </w:pPr>
                  <w:r>
                    <w:rPr>
                      <w:rFonts w:cs="Arial" w:ascii="Arial" w:hAnsi="Arial"/>
                      <w:sz w:val="20"/>
                    </w:rPr>
                    <w:t>RAC Analyst:</w:t>
                  </w:r>
                </w:p>
              </w:tc>
              <w:tc>
                <w:tcPr>
                  <w:tcW w:w="2795" w:type="dxa"/>
                  <w:tcBorders/>
                </w:tcPr>
                <w:p>
                  <w:pPr>
                    <w:pStyle w:val="Normal"/>
                    <w:ind w:end="-738"/>
                    <w:rPr>
                      <w:rFonts w:ascii="Arial" w:hAnsi="Arial" w:cs="Arial"/>
                      <w:sz w:val="20"/>
                    </w:rPr>
                  </w:pPr>
                  <w:r>
                    <w:fldChar w:fldCharType="begin">
                      <w:ffData>
                        <w:name w:val="Text4"/>
                        <w:enabled/>
                        <w:calcOnExit w:val="0"/>
                        <w:textInput/>
                      </w:ffData>
                    </w:fldChar>
                  </w:r>
                  <w:r>
                    <w:rPr>
                      <w:sz w:val="20"/>
                      <w:rFonts w:cs="Arial" w:ascii="Arial" w:hAnsi="Arial"/>
                      <w:lang w:val="en-CA" w:eastAsia="en-CA"/>
                    </w:rPr>
                    <w:instrText xml:space="preserve"> FORMTEXT </w:instrText>
                  </w:r>
                  <w:r>
                    <w:rPr>
                      <w:rFonts w:cs="Arial" w:ascii="Arial" w:hAnsi="Arial"/>
                      <w:sz w:val="20"/>
                      <w:lang w:val="en-CA" w:eastAsia="en-CA"/>
                    </w:rPr>
                  </w:r>
                  <w:r>
                    <w:rPr>
                      <w:sz w:val="20"/>
                      <w:rFonts w:cs="Arial" w:ascii="Arial" w:hAnsi="Arial"/>
                      <w:lang w:val="en-CA" w:eastAsia="en-CA"/>
                    </w:rPr>
                    <w:fldChar w:fldCharType="separate"/>
                  </w:r>
                  <w:r>
                    <w:rPr>
                      <w:rFonts w:cs="Arial" w:ascii="Arial" w:hAnsi="Arial"/>
                      <w:sz w:val="20"/>
                      <w:lang w:val="en-CA" w:eastAsia="en-CA"/>
                    </w:rPr>
                    <w:t>N/A</w:t>
                  </w:r>
                  <w:r/>
                  <w:r>
                    <w:rPr>
                      <w:sz w:val="20"/>
                      <w:rFonts w:cs="Arial" w:ascii="Arial" w:hAnsi="Arial"/>
                      <w:lang w:val="en-CA" w:eastAsia="en-CA"/>
                    </w:rPr>
                    <w:fldChar w:fldCharType="end"/>
                  </w:r>
                  <w:r>
                    <w:rPr>
                      <w:rFonts w:cs="Arial" w:ascii="Arial" w:hAnsi="Arial"/>
                      <w:sz w:val="20"/>
                      <w:lang w:val="en-CA" w:eastAsia="en-CA"/>
                    </w:rPr>
                  </w:r>
                </w:p>
              </w:tc>
            </w:tr>
            <w:tr>
              <w:trPr/>
              <w:tc>
                <w:tcPr>
                  <w:tcW w:w="2127" w:type="dxa"/>
                  <w:tcBorders/>
                </w:tcPr>
                <w:p>
                  <w:pPr>
                    <w:pStyle w:val="Normal"/>
                    <w:ind w:end="-738"/>
                    <w:rPr>
                      <w:rFonts w:ascii="Arial" w:hAnsi="Arial" w:cs="Arial"/>
                      <w:color w:val="0000FF"/>
                      <w:sz w:val="20"/>
                    </w:rPr>
                  </w:pPr>
                  <w:r>
                    <w:rPr>
                      <w:rFonts w:cs="Arial" w:ascii="Arial" w:hAnsi="Arial"/>
                      <w:color w:val="0000FF"/>
                      <w:sz w:val="20"/>
                    </w:rPr>
                    <w:t>Transaction Type:</w:t>
                  </w:r>
                </w:p>
              </w:tc>
              <w:tc>
                <w:tcPr>
                  <w:tcW w:w="2795" w:type="dxa"/>
                  <w:tcBorders/>
                </w:tcPr>
                <w:p>
                  <w:pPr>
                    <w:pStyle w:val="Normal"/>
                    <w:ind w:end="-738"/>
                    <w:rPr>
                      <w:rFonts w:ascii="Arial" w:hAnsi="Arial" w:cs="Arial"/>
                      <w:color w:val="0000FF"/>
                      <w:sz w:val="20"/>
                    </w:rPr>
                  </w:pPr>
                  <w:r>
                    <w:fldChar w:fldCharType="begin">
                      <w:ffData>
                        <w:name w:val="Dropdown3"/>
                        <w:enabled/>
                        <w:ddList>
                          <w:result w:val="6"/>
                          <w:listEntry w:val="SELECT TRANSACTION TYPE"/>
                          <w:listEntry w:val="Debt - Senior Secured"/>
                          <w:listEntry w:val="Debt - Senior Unsecured"/>
                          <w:listEntry w:val="Debt - Subordinated"/>
                          <w:listEntry w:val="Debt - Leasing"/>
                          <w:listEntry w:val="Equity - Public"/>
                          <w:listEntry w:val="Equity - Private"/>
                          <w:listEntry w:val="Equity - Leasing"/>
                          <w:listEntry w:val="Equity - Real Property"/>
                          <w:listEntry w:val="Commodity"/>
                          <w:listEntry w:val="Commodity (w/financing)"/>
                          <w:listEntry w:val="Bundled Energy Outsource"/>
                          <w:listEntry w:val="Services - Energy Outsource"/>
                          <w:listEntry w:val="Services - Eng and Const"/>
                          <w:listEntry w:val="Services - Other"/>
                          <w:listEntry w:val="Derivative"/>
                        </w:ddList>
                      </w:ffData>
                    </w:fldChar>
                  </w:r>
                  <w:r>
                    <w:rPr>
                      <w:sz w:val="20"/>
                      <w:rFonts w:cs="Arial" w:ascii="Arial" w:hAnsi="Arial"/>
                    </w:rPr>
                    <w:instrText xml:space="preserve"> FORMDROPDOWN </w:instrText>
                  </w:r>
                  <w:r>
                    <w:rPr>
                      <w:sz w:val="20"/>
                      <w:rFonts w:cs="Arial" w:ascii="Arial" w:hAnsi="Arial"/>
                    </w:rPr>
                    <w:fldChar w:fldCharType="separate"/>
                  </w:r>
                  <w:bookmarkStart w:id="12" w:name="Dropdown3"/>
                  <w:bookmarkStart w:id="13" w:name="Dropdown3"/>
                  <w:bookmarkEnd w:id="13"/>
                  <w:r/>
                  <w:r>
                    <w:rPr>
                      <w:sz w:val="20"/>
                      <w:rFonts w:cs="Arial" w:ascii="Arial" w:hAnsi="Arial"/>
                    </w:rPr>
                    <w:fldChar w:fldCharType="end"/>
                  </w:r>
                  <w:r>
                    <w:rPr>
                      <w:rFonts w:cs="Arial" w:ascii="Arial" w:hAnsi="Arial"/>
                      <w:sz w:val="20"/>
                    </w:rPr>
                  </w:r>
                </w:p>
              </w:tc>
            </w:tr>
            <w:tr>
              <w:trPr/>
              <w:tc>
                <w:tcPr>
                  <w:tcW w:w="2127" w:type="dxa"/>
                  <w:tcBorders/>
                </w:tcPr>
                <w:p>
                  <w:pPr>
                    <w:pStyle w:val="Normal"/>
                    <w:ind w:end="-738"/>
                    <w:rPr>
                      <w:rFonts w:ascii="Arial" w:hAnsi="Arial" w:cs="Arial"/>
                      <w:color w:val="0000FF"/>
                      <w:sz w:val="20"/>
                    </w:rPr>
                  </w:pPr>
                  <w:r>
                    <w:rPr>
                      <w:rFonts w:cs="Arial" w:ascii="Arial" w:hAnsi="Arial"/>
                      <w:color w:val="0000FF"/>
                      <w:sz w:val="20"/>
                    </w:rPr>
                    <w:t>Capital Funding Source:</w:t>
                  </w:r>
                </w:p>
              </w:tc>
              <w:tc>
                <w:tcPr>
                  <w:tcW w:w="2795" w:type="dxa"/>
                  <w:tcBorders/>
                </w:tcPr>
                <w:p>
                  <w:pPr>
                    <w:pStyle w:val="Normal"/>
                    <w:ind w:end="-738"/>
                    <w:rPr>
                      <w:rFonts w:ascii="Arial" w:hAnsi="Arial" w:cs="Arial"/>
                      <w:color w:val="0000FF"/>
                      <w:sz w:val="20"/>
                    </w:rPr>
                  </w:pPr>
                  <w:r>
                    <w:fldChar w:fldCharType="begin">
                      <w:ffData>
                        <w:name w:val="Dropdown2"/>
                        <w:enabled/>
                        <w:ddList>
                          <w:result w:val="1"/>
                          <w:listEntry w:val="SELECT FUNDING SOURCE"/>
                          <w:listEntry w:val="On Balance Sheet-On Credit"/>
                          <w:listEntry w:val="On Balance Sheet-Off Credit"/>
                          <w:listEntry w:val="Off Balance Sheet-Off Credit"/>
                          <w:listEntry w:val="Off Balance Sheet-On Credit"/>
                          <w:listEntry w:val="JEDI II/On Balance Sheet"/>
                          <w:listEntry w:val="Brazos/On Balance Sheet"/>
                        </w:ddList>
                      </w:ffData>
                    </w:fldChar>
                  </w:r>
                  <w:r>
                    <w:rPr>
                      <w:sz w:val="20"/>
                      <w:rFonts w:cs="Arial" w:ascii="Arial" w:hAnsi="Arial"/>
                    </w:rPr>
                    <w:instrText xml:space="preserve"> FORMDROPDOWN </w:instrText>
                  </w:r>
                  <w:r>
                    <w:rPr>
                      <w:sz w:val="20"/>
                      <w:rFonts w:cs="Arial" w:ascii="Arial" w:hAnsi="Arial"/>
                    </w:rPr>
                    <w:fldChar w:fldCharType="separate"/>
                  </w:r>
                  <w:bookmarkStart w:id="14" w:name="Dropdown2"/>
                  <w:bookmarkStart w:id="15" w:name="Dropdown2"/>
                  <w:bookmarkEnd w:id="15"/>
                  <w:r/>
                  <w:r>
                    <w:rPr>
                      <w:sz w:val="20"/>
                      <w:rFonts w:cs="Arial" w:ascii="Arial" w:hAnsi="Arial"/>
                    </w:rPr>
                    <w:fldChar w:fldCharType="end"/>
                  </w:r>
                  <w:r>
                    <w:rPr>
                      <w:rFonts w:cs="Arial" w:ascii="Arial" w:hAnsi="Arial"/>
                      <w:sz w:val="20"/>
                    </w:rPr>
                  </w:r>
                </w:p>
              </w:tc>
            </w:tr>
            <w:tr>
              <w:trPr/>
              <w:tc>
                <w:tcPr>
                  <w:tcW w:w="2127" w:type="dxa"/>
                  <w:tcBorders/>
                </w:tcPr>
                <w:p>
                  <w:pPr>
                    <w:pStyle w:val="Normal"/>
                    <w:ind w:end="-738"/>
                    <w:rPr>
                      <w:rFonts w:ascii="Arial" w:hAnsi="Arial" w:cs="Arial"/>
                      <w:color w:val="0000FF"/>
                      <w:sz w:val="20"/>
                    </w:rPr>
                  </w:pPr>
                  <w:r>
                    <w:rPr>
                      <w:rFonts w:cs="Arial" w:ascii="Arial" w:hAnsi="Arial"/>
                      <w:color w:val="0000FF"/>
                      <w:sz w:val="20"/>
                    </w:rPr>
                    <w:t>Country:</w:t>
                  </w:r>
                </w:p>
              </w:tc>
              <w:tc>
                <w:tcPr>
                  <w:tcW w:w="2795" w:type="dxa"/>
                  <w:tcBorders/>
                </w:tcPr>
                <w:p>
                  <w:pPr>
                    <w:pStyle w:val="Normal"/>
                    <w:ind w:end="-738"/>
                    <w:rPr>
                      <w:rFonts w:ascii="Arial" w:hAnsi="Arial" w:cs="Arial"/>
                      <w:sz w:val="20"/>
                    </w:rPr>
                  </w:pPr>
                  <w:r>
                    <w:fldChar w:fldCharType="begin">
                      <w:ffData>
                        <w:name w:val="UserForm"/>
                        <w:enabled/>
                        <w:calcOnExit w:val="0"/>
                        <w:textInput/>
                      </w:ffData>
                    </w:fldChar>
                  </w:r>
                  <w:r>
                    <w:rPr>
                      <w:sz w:val="20"/>
                      <w:rFonts w:cs="Arial" w:ascii="Arial" w:hAnsi="Arial"/>
                    </w:rPr>
                    <w:instrText xml:space="preserve"> FORMTEXT </w:instrText>
                  </w:r>
                  <w:r>
                    <w:rPr>
                      <w:rFonts w:cs="Arial" w:ascii="Arial" w:hAnsi="Arial"/>
                      <w:sz w:val="20"/>
                    </w:rPr>
                  </w:r>
                  <w:r>
                    <w:rPr>
                      <w:sz w:val="20"/>
                      <w:rFonts w:cs="Arial" w:ascii="Arial" w:hAnsi="Arial"/>
                    </w:rPr>
                    <w:fldChar w:fldCharType="separate"/>
                  </w:r>
                  <w:r>
                    <w:rPr>
                      <w:rFonts w:cs="Arial" w:ascii="Arial" w:hAnsi="Arial"/>
                      <w:sz w:val="20"/>
                    </w:rPr>
                    <w:t>India</w:t>
                  </w:r>
                  <w:r/>
                  <w:r>
                    <w:rPr>
                      <w:sz w:val="20"/>
                      <w:rFonts w:cs="Arial" w:ascii="Arial" w:hAnsi="Arial"/>
                    </w:rPr>
                    <w:fldChar w:fldCharType="end"/>
                  </w:r>
                  <w:r>
                    <w:rPr>
                      <w:rFonts w:cs="Arial" w:ascii="Arial" w:hAnsi="Arial"/>
                      <w:sz w:val="20"/>
                    </w:rPr>
                  </w:r>
                </w:p>
              </w:tc>
            </w:tr>
            <w:tr>
              <w:trPr/>
              <w:tc>
                <w:tcPr>
                  <w:tcW w:w="2127" w:type="dxa"/>
                  <w:tcBorders/>
                </w:tcPr>
                <w:p>
                  <w:pPr>
                    <w:pStyle w:val="Normal"/>
                    <w:ind w:end="-738"/>
                    <w:rPr>
                      <w:rFonts w:ascii="Arial" w:hAnsi="Arial" w:cs="Arial"/>
                      <w:sz w:val="20"/>
                    </w:rPr>
                  </w:pPr>
                  <w:r>
                    <w:rPr>
                      <w:rFonts w:cs="Arial" w:ascii="Arial" w:hAnsi="Arial"/>
                      <w:sz w:val="20"/>
                    </w:rPr>
                    <w:t>Expected Closing Date:</w:t>
                  </w:r>
                </w:p>
              </w:tc>
              <w:tc>
                <w:tcPr>
                  <w:tcW w:w="2795" w:type="dxa"/>
                  <w:tcBorders/>
                </w:tcPr>
                <w:p>
                  <w:pPr>
                    <w:pStyle w:val="Normal"/>
                    <w:ind w:end="-738"/>
                    <w:rPr>
                      <w:rFonts w:ascii="Arial" w:hAnsi="Arial" w:cs="Arial"/>
                      <w:sz w:val="20"/>
                    </w:rPr>
                  </w:pPr>
                  <w:r>
                    <w:fldChar w:fldCharType="begin">
                      <w:ffData>
                        <w:name w:val="Text6"/>
                        <w:enabled/>
                        <w:calcOnExit w:val="0"/>
                        <w:textInput>
                          <w:type w:val="date"/>
                        </w:textInput>
                      </w:ffData>
                    </w:fldChar>
                  </w:r>
                  <w:r>
                    <w:rPr>
                      <w:sz w:val="20"/>
                      <w:rFonts w:cs="Arial" w:ascii="Arial" w:hAnsi="Arial"/>
                    </w:rPr>
                    <w:instrText xml:space="preserve"> FORMTEXT </w:instrText>
                  </w:r>
                  <w:r>
                    <w:rPr>
                      <w:rFonts w:cs="Arial" w:ascii="Arial" w:hAnsi="Arial"/>
                      <w:sz w:val="20"/>
                    </w:rPr>
                  </w:r>
                  <w:r>
                    <w:rPr>
                      <w:sz w:val="20"/>
                      <w:rFonts w:cs="Arial" w:ascii="Arial" w:hAnsi="Arial"/>
                    </w:rPr>
                    <w:fldChar w:fldCharType="separate"/>
                  </w:r>
                  <w:r>
                    <w:rPr>
                      <w:rFonts w:cs="Arial" w:ascii="Arial" w:hAnsi="Arial"/>
                      <w:sz w:val="20"/>
                    </w:rPr>
                    <w:t xml:space="preserve">August </w:t>
                  </w:r>
                  <w:r>
                    <w:rPr>
                      <w:rFonts w:cs="Arial" w:ascii="Arial" w:hAnsi="Arial"/>
                      <w:sz w:val="20"/>
                      <w:lang w:val="en-CA" w:eastAsia="en-CA"/>
                    </w:rPr>
                    <w:t>31, 2001</w:t>
                  </w:r>
                  <w:r/>
                  <w:r>
                    <w:rPr>
                      <w:sz w:val="20"/>
                      <w:rFonts w:cs="Arial" w:ascii="Arial" w:hAnsi="Arial"/>
                      <w:lang w:val="en-CA" w:eastAsia="en-CA"/>
                    </w:rPr>
                    <w:fldChar w:fldCharType="end"/>
                  </w:r>
                  <w:r>
                    <w:rPr>
                      <w:rFonts w:cs="Arial" w:ascii="Arial" w:hAnsi="Arial"/>
                      <w:sz w:val="20"/>
                      <w:lang w:val="en-CA" w:eastAsia="en-CA"/>
                    </w:rPr>
                  </w:r>
                </w:p>
              </w:tc>
            </w:tr>
            <w:tr>
              <w:trPr/>
              <w:tc>
                <w:tcPr>
                  <w:tcW w:w="2127" w:type="dxa"/>
                  <w:tcBorders/>
                </w:tcPr>
                <w:p>
                  <w:pPr>
                    <w:pStyle w:val="Normal"/>
                    <w:ind w:end="-738"/>
                    <w:rPr>
                      <w:rFonts w:ascii="Arial" w:hAnsi="Arial" w:cs="Arial"/>
                      <w:sz w:val="20"/>
                    </w:rPr>
                  </w:pPr>
                  <w:r>
                    <w:rPr>
                      <w:rFonts w:cs="Arial" w:ascii="Arial" w:hAnsi="Arial"/>
                      <w:sz w:val="20"/>
                    </w:rPr>
                    <w:t>Expected Funding Date:</w:t>
                  </w:r>
                </w:p>
              </w:tc>
              <w:tc>
                <w:tcPr>
                  <w:tcW w:w="2795" w:type="dxa"/>
                  <w:tcBorders/>
                </w:tcPr>
                <w:p>
                  <w:pPr>
                    <w:pStyle w:val="Normal"/>
                    <w:ind w:end="-738"/>
                    <w:rPr>
                      <w:rFonts w:ascii="Arial" w:hAnsi="Arial" w:cs="Arial"/>
                      <w:sz w:val="20"/>
                    </w:rPr>
                  </w:pPr>
                  <w:r>
                    <w:fldChar w:fldCharType="begin">
                      <w:ffData>
                        <w:name w:val="Text7"/>
                        <w:enabled/>
                        <w:calcOnExit w:val="0"/>
                        <w:textInput>
                          <w:type w:val="date"/>
                        </w:textInput>
                      </w:ffData>
                    </w:fldChar>
                  </w:r>
                  <w:r>
                    <w:rPr>
                      <w:sz w:val="20"/>
                      <w:rFonts w:cs="Arial" w:ascii="Arial" w:hAnsi="Arial"/>
                      <w:lang w:val="en-CA" w:eastAsia="en-CA"/>
                    </w:rPr>
                    <w:instrText xml:space="preserve"> FORMTEXT </w:instrText>
                  </w:r>
                  <w:r>
                    <w:rPr>
                      <w:rFonts w:cs="Arial" w:ascii="Arial" w:hAnsi="Arial"/>
                      <w:sz w:val="20"/>
                      <w:lang w:val="en-CA" w:eastAsia="en-CA"/>
                    </w:rPr>
                  </w:r>
                  <w:r>
                    <w:rPr>
                      <w:sz w:val="20"/>
                      <w:rFonts w:cs="Arial" w:ascii="Arial" w:hAnsi="Arial"/>
                      <w:lang w:val="en-CA" w:eastAsia="en-CA"/>
                    </w:rPr>
                    <w:fldChar w:fldCharType="separate"/>
                  </w:r>
                  <w:r>
                    <w:rPr>
                      <w:rFonts w:cs="Arial" w:ascii="Arial" w:hAnsi="Arial"/>
                      <w:sz w:val="20"/>
                      <w:lang w:val="en-CA" w:eastAsia="en-CA"/>
                    </w:rPr>
                    <w:t>N/A</w:t>
                  </w:r>
                  <w:r/>
                  <w:r>
                    <w:rPr>
                      <w:sz w:val="20"/>
                      <w:rFonts w:cs="Arial" w:ascii="Arial" w:hAnsi="Arial"/>
                      <w:lang w:val="en-CA" w:eastAsia="en-CA"/>
                    </w:rPr>
                    <w:fldChar w:fldCharType="end"/>
                  </w:r>
                  <w:r>
                    <w:rPr>
                      <w:rFonts w:cs="Arial" w:ascii="Arial" w:hAnsi="Arial"/>
                      <w:sz w:val="20"/>
                      <w:lang w:val="en-CA" w:eastAsia="en-CA"/>
                    </w:rPr>
                  </w:r>
                </w:p>
              </w:tc>
            </w:tr>
          </w:tbl>
          <w:p>
            <w:pPr>
              <w:pStyle w:val="Normal"/>
              <w:rPr>
                <w:rFonts w:ascii="Arial" w:hAnsi="Arial" w:cs="Arial"/>
                <w:sz w:val="20"/>
              </w:rPr>
            </w:pPr>
            <w:r>
              <w:rPr>
                <w:rFonts w:cs="Arial" w:ascii="Arial" w:hAnsi="Arial"/>
                <w:sz w:val="20"/>
              </w:rPr>
            </w:r>
          </w:p>
        </w:tc>
      </w:tr>
      <w:tr>
        <w:trPr>
          <w:trHeight w:val="485" w:hRule="atLeast"/>
        </w:trPr>
        <w:tc>
          <w:tcPr>
            <w:tcW w:w="2250" w:type="dxa"/>
            <w:tcBorders>
              <w:top w:val="single" w:sz="8" w:space="0" w:color="000000"/>
            </w:tcBorders>
          </w:tcPr>
          <w:p>
            <w:pPr>
              <w:pStyle w:val="Normal"/>
              <w:ind w:end="-738"/>
              <w:rPr>
                <w:rFonts w:ascii="Arial" w:hAnsi="Arial" w:cs="Arial"/>
                <w:sz w:val="20"/>
              </w:rPr>
            </w:pPr>
            <w:r>
              <w:rPr>
                <w:rFonts w:cs="Arial" w:ascii="Arial" w:hAnsi="Arial"/>
                <w:sz w:val="20"/>
              </w:rPr>
              <w:t>RAC Recommendation:</w:t>
            </w:r>
          </w:p>
        </w:tc>
        <w:tc>
          <w:tcPr>
            <w:tcW w:w="3060" w:type="dxa"/>
            <w:tcBorders>
              <w:top w:val="single" w:sz="8" w:space="0" w:color="000000"/>
            </w:tcBorders>
          </w:tcPr>
          <w:p>
            <w:pPr>
              <w:pStyle w:val="Normal"/>
              <w:ind w:end="-738"/>
              <w:rPr/>
            </w:pPr>
            <w:r>
              <w:fldChar w:fldCharType="begin">
                <w:ffData>
                  <w:name w:val="Check1"/>
                  <w:enabled/>
                  <w:calcOnExit w:val="0"/>
                  <w:checkBox>
                    <w:sizeAuto/>
                    <w:checked/>
                  </w:checkBox>
                </w:ffData>
              </w:fldChar>
            </w:r>
            <w:r>
              <w:rPr>
                <w:sz w:val="18"/>
                <w:rFonts w:cs="Arial" w:ascii="Arial" w:hAnsi="Arial"/>
              </w:rPr>
              <w:instrText xml:space="preserve"> FORMCHECKBOX </w:instrText>
            </w:r>
            <w:r>
              <w:rPr>
                <w:sz w:val="18"/>
                <w:rFonts w:cs="Arial" w:ascii="Arial" w:hAnsi="Arial"/>
              </w:rPr>
              <w:fldChar w:fldCharType="separate"/>
            </w:r>
            <w:bookmarkStart w:id="16" w:name="Check1"/>
            <w:bookmarkStart w:id="17" w:name="Check1"/>
            <w:bookmarkEnd w:id="17"/>
            <w:r>
              <w:rPr>
                <w:rFonts w:cs="Arial" w:ascii="Arial" w:hAnsi="Arial"/>
                <w:sz w:val="18"/>
              </w:rPr>
            </w:r>
            <w:r>
              <w:rPr>
                <w:sz w:val="18"/>
                <w:rFonts w:cs="Arial" w:ascii="Arial" w:hAnsi="Arial"/>
              </w:rPr>
              <w:fldChar w:fldCharType="end"/>
            </w:r>
            <w:r>
              <w:rPr>
                <w:rFonts w:cs="Arial" w:ascii="Arial" w:hAnsi="Arial"/>
                <w:sz w:val="20"/>
              </w:rPr>
              <w:t xml:space="preserve"> Proceed with Transaction </w:t>
            </w:r>
          </w:p>
          <w:p>
            <w:pPr>
              <w:pStyle w:val="Normal"/>
              <w:ind w:end="-738"/>
              <w:rPr/>
            </w:pPr>
            <w:r>
              <w:fldChar w:fldCharType="begin">
                <w:ffData>
                  <w:name w:val="Check3"/>
                  <w:enabled/>
                  <w:calcOnExit w:val="0"/>
                  <w:checkBox>
                    <w:sizeAuto/>
                  </w:checkBox>
                </w:ffData>
              </w:fldChar>
            </w:r>
            <w:r>
              <w:rPr>
                <w:sz w:val="18"/>
                <w:rFonts w:cs="Arial" w:ascii="Arial" w:hAnsi="Arial"/>
              </w:rPr>
              <w:instrText xml:space="preserve"> FORMCHECKBOX </w:instrText>
            </w:r>
            <w:r>
              <w:rPr>
                <w:sz w:val="18"/>
                <w:rFonts w:cs="Arial" w:ascii="Arial" w:hAnsi="Arial"/>
              </w:rPr>
              <w:fldChar w:fldCharType="separate"/>
            </w:r>
            <w:bookmarkStart w:id="18" w:name="Check3"/>
            <w:bookmarkStart w:id="19" w:name="Check3"/>
            <w:bookmarkEnd w:id="19"/>
            <w:r>
              <w:rPr>
                <w:rFonts w:cs="Arial" w:ascii="Arial" w:hAnsi="Arial"/>
                <w:sz w:val="18"/>
              </w:rPr>
            </w:r>
            <w:r>
              <w:rPr>
                <w:sz w:val="18"/>
                <w:rFonts w:cs="Arial" w:ascii="Arial" w:hAnsi="Arial"/>
              </w:rPr>
              <w:fldChar w:fldCharType="end"/>
            </w:r>
            <w:r>
              <w:rPr>
                <w:rFonts w:cs="Arial" w:ascii="Arial" w:hAnsi="Arial"/>
                <w:sz w:val="20"/>
              </w:rPr>
              <w:t xml:space="preserve"> Do not Proceed </w:t>
            </w:r>
          </w:p>
        </w:tc>
        <w:tc>
          <w:tcPr>
            <w:tcW w:w="5112" w:type="dxa"/>
            <w:gridSpan w:val="2"/>
            <w:tcBorders>
              <w:top w:val="single" w:sz="8" w:space="0" w:color="000000"/>
            </w:tcBorders>
          </w:tcPr>
          <w:p>
            <w:pPr>
              <w:pStyle w:val="Normal"/>
              <w:ind w:end="-738"/>
              <w:rPr/>
            </w:pPr>
            <w:r>
              <w:fldChar w:fldCharType="begin">
                <w:ffData>
                  <w:name w:val="Check2"/>
                  <w:enabled/>
                  <w:calcOnExit w:val="0"/>
                  <w:checkBox>
                    <w:sizeAuto/>
                  </w:checkBox>
                </w:ffData>
              </w:fldChar>
            </w:r>
            <w:r>
              <w:rPr>
                <w:sz w:val="18"/>
                <w:rFonts w:cs="Arial" w:ascii="Arial" w:hAnsi="Arial"/>
              </w:rPr>
              <w:instrText xml:space="preserve"> FORMCHECKBOX </w:instrText>
            </w:r>
            <w:r>
              <w:rPr>
                <w:sz w:val="18"/>
                <w:rFonts w:cs="Arial" w:ascii="Arial" w:hAnsi="Arial"/>
              </w:rPr>
              <w:fldChar w:fldCharType="separate"/>
            </w:r>
            <w:bookmarkStart w:id="20" w:name="Check2"/>
            <w:bookmarkStart w:id="21" w:name="Check2"/>
            <w:bookmarkEnd w:id="21"/>
            <w:r>
              <w:rPr>
                <w:rFonts w:cs="Arial" w:ascii="Arial" w:hAnsi="Arial"/>
                <w:sz w:val="18"/>
              </w:rPr>
            </w:r>
            <w:r>
              <w:rPr>
                <w:sz w:val="18"/>
                <w:rFonts w:cs="Arial" w:ascii="Arial" w:hAnsi="Arial"/>
              </w:rPr>
              <w:fldChar w:fldCharType="end"/>
            </w:r>
            <w:r>
              <w:rPr>
                <w:rFonts w:cs="Arial" w:ascii="Arial" w:hAnsi="Arial"/>
                <w:sz w:val="20"/>
              </w:rPr>
              <w:t xml:space="preserve"> Returns below Capital Price </w:t>
            </w:r>
          </w:p>
          <w:p>
            <w:pPr>
              <w:pStyle w:val="Normal"/>
              <w:ind w:end="-738"/>
              <w:rPr>
                <w:rFonts w:ascii="Arial" w:hAnsi="Arial" w:cs="Arial"/>
                <w:sz w:val="20"/>
              </w:rPr>
            </w:pPr>
            <w:r>
              <w:fldChar w:fldCharType="begin">
                <w:ffData>
                  <w:name w:val="Check10"/>
                  <w:enabled/>
                  <w:calcOnExit w:val="0"/>
                  <w:checkBox>
                    <w:sizeAuto/>
                  </w:checkBox>
                </w:ffData>
              </w:fldChar>
            </w:r>
            <w:r>
              <w:rPr>
                <w:sz w:val="18"/>
                <w:rFonts w:cs="Arial" w:ascii="Arial" w:hAnsi="Arial"/>
              </w:rPr>
              <w:instrText xml:space="preserve"> FORMCHECKBOX </w:instrText>
            </w:r>
            <w:r>
              <w:rPr>
                <w:sz w:val="18"/>
                <w:rFonts w:cs="Arial" w:ascii="Arial" w:hAnsi="Arial"/>
              </w:rPr>
              <w:fldChar w:fldCharType="separate"/>
            </w:r>
            <w:bookmarkStart w:id="22" w:name="Check10"/>
            <w:bookmarkStart w:id="23" w:name="Check10"/>
            <w:bookmarkEnd w:id="23"/>
            <w:r>
              <w:rPr>
                <w:rFonts w:cs="Arial" w:ascii="Arial" w:hAnsi="Arial"/>
                <w:sz w:val="18"/>
              </w:rPr>
            </w:r>
            <w:r>
              <w:rPr>
                <w:sz w:val="18"/>
                <w:rFonts w:cs="Arial" w:ascii="Arial" w:hAnsi="Arial"/>
              </w:rPr>
              <w:fldChar w:fldCharType="end"/>
            </w:r>
            <w:r>
              <w:rPr>
                <w:rFonts w:cs="Arial" w:ascii="Arial" w:hAnsi="Arial"/>
                <w:sz w:val="18"/>
              </w:rPr>
              <w:t xml:space="preserve"> See Other RAC Comments</w:t>
            </w:r>
          </w:p>
        </w:tc>
      </w:tr>
      <w:tr>
        <w:trPr>
          <w:trHeight w:val="232" w:hRule="atLeast"/>
        </w:trPr>
        <w:tc>
          <w:tcPr>
            <w:tcW w:w="2250" w:type="dxa"/>
            <w:tcBorders/>
          </w:tcPr>
          <w:p>
            <w:pPr>
              <w:pStyle w:val="Normal"/>
              <w:ind w:end="-738"/>
              <w:rPr>
                <w:rFonts w:ascii="Arial" w:hAnsi="Arial" w:cs="Arial"/>
                <w:color w:val="0000FF"/>
                <w:sz w:val="20"/>
              </w:rPr>
            </w:pPr>
            <w:r>
              <w:rPr>
                <w:rFonts w:cs="Arial" w:ascii="Arial" w:hAnsi="Arial"/>
                <w:color w:val="0000FF"/>
                <w:sz w:val="20"/>
              </w:rPr>
              <w:t>Board Approval:</w:t>
            </w:r>
          </w:p>
        </w:tc>
        <w:tc>
          <w:tcPr>
            <w:tcW w:w="8172" w:type="dxa"/>
            <w:gridSpan w:val="3"/>
            <w:tcBorders/>
          </w:tcPr>
          <w:p>
            <w:pPr>
              <w:pStyle w:val="Normal"/>
              <w:ind w:end="-738"/>
              <w:rPr>
                <w:rFonts w:ascii="Arial" w:hAnsi="Arial" w:cs="Arial"/>
                <w:sz w:val="20"/>
              </w:rPr>
            </w:pPr>
            <w:r>
              <w:fldChar w:fldCharType="begin">
                <w:ffData>
                  <w:name w:val="Dropdown1"/>
                  <w:enabled/>
                  <w:ddList>
                    <w:result w:val="4"/>
                    <w:listEntry w:val="SELECT BOARD APPROVAL STATUS"/>
                    <w:listEntry w:val="Pending     "/>
                    <w:listEntry w:val="Received     "/>
                    <w:listEntry w:val="Denied     "/>
                    <w:listEntry w:val="N/A          "/>
                  </w:ddList>
                </w:ffData>
              </w:fldChar>
            </w:r>
            <w:r>
              <w:rPr>
                <w:sz w:val="20"/>
                <w:rFonts w:cs="Arial" w:ascii="Arial" w:hAnsi="Arial"/>
              </w:rPr>
              <w:instrText xml:space="preserve"> FORMDROPDOWN </w:instrText>
            </w:r>
            <w:r>
              <w:rPr>
                <w:sz w:val="20"/>
                <w:rFonts w:cs="Arial" w:ascii="Arial" w:hAnsi="Arial"/>
              </w:rPr>
              <w:fldChar w:fldCharType="separate"/>
            </w:r>
            <w:bookmarkStart w:id="24" w:name="Dropdown1"/>
            <w:bookmarkStart w:id="25" w:name="Dropdown1"/>
            <w:bookmarkEnd w:id="25"/>
            <w:r/>
            <w:r>
              <w:rPr>
                <w:sz w:val="20"/>
                <w:rFonts w:cs="Arial" w:ascii="Arial" w:hAnsi="Arial"/>
              </w:rPr>
              <w:fldChar w:fldCharType="end"/>
            </w:r>
            <w:r>
              <w:rPr>
                <w:rFonts w:cs="Arial" w:ascii="Arial" w:hAnsi="Arial"/>
                <w:sz w:val="20"/>
              </w:rPr>
            </w:r>
          </w:p>
        </w:tc>
      </w:tr>
    </w:tbl>
    <w:p>
      <w:pPr>
        <w:sectPr>
          <w:headerReference w:type="default" r:id="rId2"/>
          <w:headerReference w:type="first" r:id="rId3"/>
          <w:footerReference w:type="default" r:id="rId4"/>
          <w:footerReference w:type="first" r:id="rId5"/>
          <w:type w:val="continuous"/>
          <w:pgSz w:w="12240" w:h="15840"/>
          <w:pgMar w:left="1008" w:right="1008" w:gutter="0" w:header="720" w:top="776" w:footer="720" w:bottom="776"/>
          <w:formProt w:val="true"/>
          <w:titlePg/>
          <w:textDirection w:val="lrTb"/>
          <w:docGrid w:type="default" w:linePitch="360" w:charSpace="0"/>
        </w:sectPr>
      </w:pPr>
    </w:p>
    <w:p>
      <w:pPr>
        <w:pStyle w:val="Heading4"/>
        <w:pBdr>
          <w:top w:val="single" w:sz="8" w:space="1" w:color="000000"/>
        </w:pBdr>
        <w:tabs>
          <w:tab w:val="clear" w:pos="9990"/>
          <w:tab w:val="left" w:pos="10260" w:leader="none"/>
        </w:tabs>
        <w:rPr/>
      </w:pPr>
      <w:r>
        <w:rPr/>
        <w:t>APPROVAL AMOUNT REQUESTED ($MM):</w:t>
      </w:r>
    </w:p>
    <w:tbl>
      <w:tblPr>
        <w:tblW w:w="5760" w:type="dxa"/>
        <w:jc w:val="start"/>
        <w:tblInd w:w="360" w:type="dxa"/>
        <w:tblLayout w:type="fixed"/>
        <w:tblCellMar>
          <w:top w:w="0" w:type="dxa"/>
          <w:start w:w="108" w:type="dxa"/>
          <w:bottom w:w="0" w:type="dxa"/>
          <w:end w:w="108" w:type="dxa"/>
        </w:tblCellMar>
      </w:tblPr>
      <w:tblGrid>
        <w:gridCol w:w="4428"/>
        <w:gridCol w:w="1332"/>
      </w:tblGrid>
      <w:tr>
        <w:trPr/>
        <w:tc>
          <w:tcPr>
            <w:tcW w:w="4428" w:type="dxa"/>
            <w:tcBorders/>
          </w:tcPr>
          <w:p>
            <w:pPr>
              <w:pStyle w:val="Normal"/>
              <w:ind w:end="-36"/>
              <w:rPr>
                <w:rFonts w:ascii="Arial" w:hAnsi="Arial" w:cs="Arial"/>
                <w:sz w:val="20"/>
              </w:rPr>
            </w:pPr>
            <w:r>
              <w:rPr>
                <w:rFonts w:cs="Arial" w:ascii="Arial" w:hAnsi="Arial"/>
                <w:sz w:val="20"/>
              </w:rPr>
              <w:t xml:space="preserve">Equity Divestiture – </w:t>
            </w:r>
          </w:p>
        </w:tc>
        <w:tc>
          <w:tcPr>
            <w:tcW w:w="1332" w:type="dxa"/>
            <w:tcBorders/>
          </w:tcPr>
          <w:p>
            <w:pPr>
              <w:pStyle w:val="Normal"/>
              <w:snapToGrid w:val="false"/>
              <w:ind w:end="-36"/>
              <w:jc w:val="end"/>
              <w:rPr>
                <w:rFonts w:ascii="Arial" w:hAnsi="Arial" w:cs="Arial"/>
                <w:sz w:val="20"/>
              </w:rPr>
            </w:pPr>
            <w:r>
              <w:rPr>
                <w:rFonts w:cs="Arial" w:ascii="Arial" w:hAnsi="Arial"/>
                <w:sz w:val="20"/>
              </w:rPr>
            </w:r>
          </w:p>
        </w:tc>
      </w:tr>
      <w:tr>
        <w:trPr/>
        <w:tc>
          <w:tcPr>
            <w:tcW w:w="4428" w:type="dxa"/>
            <w:tcBorders/>
          </w:tcPr>
          <w:p>
            <w:pPr>
              <w:pStyle w:val="Normal"/>
              <w:ind w:end="-36"/>
              <w:rPr>
                <w:rFonts w:ascii="Arial" w:hAnsi="Arial" w:cs="Arial"/>
                <w:sz w:val="20"/>
              </w:rPr>
            </w:pPr>
            <w:r>
              <w:rPr>
                <w:rFonts w:eastAsia="Arial" w:cs="Arial" w:ascii="Arial" w:hAnsi="Arial"/>
                <w:sz w:val="20"/>
              </w:rPr>
              <w:t xml:space="preserve">     </w:t>
            </w:r>
            <w:r>
              <w:rPr>
                <w:rFonts w:cs="Arial" w:ascii="Arial" w:hAnsi="Arial"/>
                <w:sz w:val="20"/>
              </w:rPr>
              <w:t>Purchase price</w:t>
            </w:r>
          </w:p>
        </w:tc>
        <w:tc>
          <w:tcPr>
            <w:tcW w:w="1332" w:type="dxa"/>
            <w:tcBorders/>
          </w:tcPr>
          <w:p>
            <w:pPr>
              <w:pStyle w:val="Normal"/>
              <w:ind w:end="-36"/>
              <w:jc w:val="end"/>
              <w:rPr>
                <w:rFonts w:ascii="Arial" w:hAnsi="Arial" w:cs="Arial"/>
                <w:sz w:val="20"/>
              </w:rPr>
            </w:pPr>
            <w:r>
              <w:rPr>
                <w:rFonts w:cs="Arial" w:ascii="Arial" w:hAnsi="Arial"/>
                <w:sz w:val="20"/>
              </w:rPr>
              <w:t>400.0</w:t>
            </w:r>
          </w:p>
        </w:tc>
      </w:tr>
      <w:tr>
        <w:trPr/>
        <w:tc>
          <w:tcPr>
            <w:tcW w:w="4428" w:type="dxa"/>
            <w:tcBorders/>
          </w:tcPr>
          <w:p>
            <w:pPr>
              <w:pStyle w:val="Normal"/>
              <w:ind w:end="-36"/>
              <w:rPr>
                <w:rFonts w:ascii="Arial" w:hAnsi="Arial" w:cs="Arial"/>
                <w:sz w:val="20"/>
              </w:rPr>
            </w:pPr>
            <w:r>
              <w:rPr>
                <w:rFonts w:eastAsia="Arial" w:cs="Arial" w:ascii="Arial" w:hAnsi="Arial"/>
                <w:sz w:val="20"/>
              </w:rPr>
              <w:t xml:space="preserve">     </w:t>
            </w:r>
            <w:r>
              <w:rPr>
                <w:rFonts w:cs="Arial" w:ascii="Arial" w:hAnsi="Arial"/>
                <w:sz w:val="20"/>
              </w:rPr>
              <w:t>Retained tax receivable</w:t>
            </w:r>
          </w:p>
        </w:tc>
        <w:tc>
          <w:tcPr>
            <w:tcW w:w="1332" w:type="dxa"/>
            <w:tcBorders/>
          </w:tcPr>
          <w:p>
            <w:pPr>
              <w:pStyle w:val="Normal"/>
              <w:ind w:end="-36"/>
              <w:jc w:val="end"/>
              <w:rPr>
                <w:rFonts w:ascii="Arial" w:hAnsi="Arial" w:cs="Arial"/>
                <w:sz w:val="20"/>
              </w:rPr>
            </w:pPr>
            <w:r>
              <w:rPr>
                <w:rFonts w:cs="Arial" w:ascii="Arial" w:hAnsi="Arial"/>
                <w:sz w:val="20"/>
              </w:rPr>
              <w:t>-12.0</w:t>
            </w:r>
          </w:p>
        </w:tc>
      </w:tr>
      <w:tr>
        <w:trPr/>
        <w:tc>
          <w:tcPr>
            <w:tcW w:w="4428" w:type="dxa"/>
            <w:tcBorders/>
          </w:tcPr>
          <w:p>
            <w:pPr>
              <w:pStyle w:val="Normal"/>
              <w:ind w:end="-36"/>
              <w:rPr>
                <w:rFonts w:ascii="Arial" w:hAnsi="Arial" w:cs="Arial"/>
                <w:sz w:val="20"/>
              </w:rPr>
            </w:pPr>
            <w:r>
              <w:rPr>
                <w:rFonts w:eastAsia="Arial" w:cs="Arial" w:ascii="Arial" w:hAnsi="Arial"/>
                <w:sz w:val="20"/>
              </w:rPr>
              <w:t xml:space="preserve">     </w:t>
            </w:r>
            <w:r>
              <w:rPr>
                <w:rFonts w:cs="Arial" w:ascii="Arial" w:hAnsi="Arial"/>
                <w:sz w:val="20"/>
              </w:rPr>
              <w:t>Repayment of EDF Note</w:t>
            </w:r>
          </w:p>
        </w:tc>
        <w:tc>
          <w:tcPr>
            <w:tcW w:w="1332" w:type="dxa"/>
            <w:tcBorders>
              <w:bottom w:val="single" w:sz="4" w:space="0" w:color="000000"/>
            </w:tcBorders>
          </w:tcPr>
          <w:p>
            <w:pPr>
              <w:pStyle w:val="Normal"/>
              <w:ind w:end="-36"/>
              <w:jc w:val="end"/>
              <w:rPr>
                <w:rFonts w:ascii="Arial" w:hAnsi="Arial" w:cs="Arial"/>
                <w:sz w:val="20"/>
              </w:rPr>
            </w:pPr>
            <w:r>
              <w:rPr>
                <w:rFonts w:cs="Arial" w:ascii="Arial" w:hAnsi="Arial"/>
                <w:sz w:val="20"/>
              </w:rPr>
              <w:t>-41.6</w:t>
            </w:r>
          </w:p>
        </w:tc>
      </w:tr>
      <w:tr>
        <w:trPr/>
        <w:tc>
          <w:tcPr>
            <w:tcW w:w="4428" w:type="dxa"/>
            <w:tcBorders/>
          </w:tcPr>
          <w:p>
            <w:pPr>
              <w:pStyle w:val="Normal"/>
              <w:ind w:end="-36"/>
              <w:rPr>
                <w:rFonts w:ascii="Arial" w:hAnsi="Arial" w:cs="Arial"/>
                <w:sz w:val="20"/>
              </w:rPr>
            </w:pPr>
            <w:r>
              <w:rPr>
                <w:rFonts w:cs="Arial" w:ascii="Arial" w:hAnsi="Arial"/>
                <w:sz w:val="20"/>
              </w:rPr>
              <w:t>Total Due at Close</w:t>
            </w:r>
          </w:p>
        </w:tc>
        <w:tc>
          <w:tcPr>
            <w:tcW w:w="1332" w:type="dxa"/>
            <w:tcBorders>
              <w:top w:val="single" w:sz="4" w:space="0" w:color="000000"/>
            </w:tcBorders>
          </w:tcPr>
          <w:p>
            <w:pPr>
              <w:pStyle w:val="Normal"/>
              <w:ind w:end="-36"/>
              <w:jc w:val="end"/>
              <w:rPr>
                <w:rFonts w:ascii="Arial" w:hAnsi="Arial" w:cs="Arial"/>
                <w:sz w:val="20"/>
              </w:rPr>
            </w:pPr>
            <w:r>
              <w:rPr>
                <w:rFonts w:cs="Arial" w:ascii="Arial" w:hAnsi="Arial"/>
                <w:sz w:val="20"/>
              </w:rPr>
              <w:t>346.4</w:t>
            </w:r>
          </w:p>
        </w:tc>
      </w:tr>
      <w:tr>
        <w:trPr/>
        <w:tc>
          <w:tcPr>
            <w:tcW w:w="4428" w:type="dxa"/>
            <w:tcBorders/>
          </w:tcPr>
          <w:p>
            <w:pPr>
              <w:pStyle w:val="Normal"/>
              <w:ind w:end="-36"/>
              <w:rPr>
                <w:rFonts w:ascii="Arial" w:hAnsi="Arial" w:cs="Arial"/>
                <w:sz w:val="20"/>
              </w:rPr>
            </w:pPr>
            <w:r>
              <w:rPr>
                <w:rFonts w:eastAsia="Arial" w:cs="Arial" w:ascii="Arial" w:hAnsi="Arial"/>
                <w:sz w:val="20"/>
              </w:rPr>
              <w:t xml:space="preserve">     </w:t>
            </w:r>
            <w:r>
              <w:rPr>
                <w:rFonts w:cs="Arial" w:ascii="Arial" w:hAnsi="Arial"/>
                <w:sz w:val="20"/>
              </w:rPr>
              <w:t>Collection of retained tax receivable</w:t>
            </w:r>
          </w:p>
        </w:tc>
        <w:tc>
          <w:tcPr>
            <w:tcW w:w="1332" w:type="dxa"/>
            <w:tcBorders>
              <w:bottom w:val="single" w:sz="4" w:space="0" w:color="000000"/>
            </w:tcBorders>
          </w:tcPr>
          <w:p>
            <w:pPr>
              <w:pStyle w:val="Normal"/>
              <w:ind w:end="-36"/>
              <w:jc w:val="end"/>
              <w:rPr>
                <w:rFonts w:ascii="Arial" w:hAnsi="Arial" w:cs="Arial"/>
                <w:sz w:val="20"/>
              </w:rPr>
            </w:pPr>
            <w:r>
              <w:rPr>
                <w:rFonts w:cs="Arial" w:ascii="Arial" w:hAnsi="Arial"/>
                <w:sz w:val="20"/>
              </w:rPr>
              <w:t>12.0</w:t>
            </w:r>
          </w:p>
        </w:tc>
      </w:tr>
      <w:tr>
        <w:trPr/>
        <w:tc>
          <w:tcPr>
            <w:tcW w:w="4428" w:type="dxa"/>
            <w:tcBorders/>
          </w:tcPr>
          <w:p>
            <w:pPr>
              <w:pStyle w:val="Normal"/>
              <w:ind w:end="-36"/>
              <w:rPr>
                <w:rFonts w:ascii="Arial" w:hAnsi="Arial" w:cs="Arial"/>
                <w:sz w:val="20"/>
              </w:rPr>
            </w:pPr>
            <w:r>
              <w:rPr>
                <w:rFonts w:cs="Arial" w:ascii="Arial" w:hAnsi="Arial"/>
                <w:sz w:val="20"/>
              </w:rPr>
              <w:t>Total Proceeds</w:t>
            </w:r>
          </w:p>
        </w:tc>
        <w:tc>
          <w:tcPr>
            <w:tcW w:w="1332" w:type="dxa"/>
            <w:tcBorders>
              <w:top w:val="single" w:sz="4" w:space="0" w:color="000000"/>
            </w:tcBorders>
          </w:tcPr>
          <w:p>
            <w:pPr>
              <w:pStyle w:val="Normal"/>
              <w:ind w:end="-36"/>
              <w:jc w:val="end"/>
              <w:rPr>
                <w:rFonts w:ascii="Arial" w:hAnsi="Arial" w:cs="Arial"/>
                <w:sz w:val="20"/>
              </w:rPr>
            </w:pPr>
            <w:r>
              <w:rPr>
                <w:rFonts w:cs="Arial" w:ascii="Arial" w:hAnsi="Arial"/>
                <w:sz w:val="20"/>
              </w:rPr>
              <w:t>358.4</w:t>
            </w:r>
          </w:p>
        </w:tc>
      </w:tr>
    </w:tbl>
    <w:p>
      <w:pPr>
        <w:pStyle w:val="Normal"/>
        <w:ind w:end="-36"/>
        <w:rPr>
          <w:rFonts w:ascii="Arial" w:hAnsi="Arial" w:cs="Arial"/>
          <w:sz w:val="20"/>
        </w:rPr>
      </w:pPr>
      <w:r>
        <w:rPr>
          <w:rFonts w:cs="Arial" w:ascii="Arial" w:hAnsi="Arial"/>
          <w:sz w:val="20"/>
        </w:rPr>
      </w:r>
    </w:p>
    <w:p>
      <w:pPr>
        <w:pStyle w:val="Heading2"/>
        <w:widowControl/>
        <w:pBdr>
          <w:top w:val="single" w:sz="8" w:space="1" w:color="000000"/>
        </w:pBdr>
        <w:ind w:hanging="0" w:start="0" w:end="-36"/>
        <w:rPr>
          <w:rFonts w:ascii="Arial" w:hAnsi="Arial" w:cs="Arial"/>
          <w:i w:val="false"/>
          <w:i w:val="false"/>
        </w:rPr>
      </w:pPr>
      <w:r>
        <w:rPr>
          <w:rFonts w:cs="Arial" w:ascii="Arial" w:hAnsi="Arial"/>
          <w:i w:val="false"/>
        </w:rPr>
        <w:t>DEAL DESCRIPTION</w:t>
      </w:r>
    </w:p>
    <w:p>
      <w:pPr>
        <w:pStyle w:val="Normal"/>
        <w:jc w:val="both"/>
        <w:rPr>
          <w:rFonts w:ascii="Arial" w:hAnsi="Arial" w:cs="Arial"/>
          <w:sz w:val="20"/>
        </w:rPr>
      </w:pPr>
      <w:r>
        <w:rPr>
          <w:rFonts w:cs="Arial" w:ascii="Arial" w:hAnsi="Arial"/>
          <w:sz w:val="20"/>
        </w:rPr>
        <w:t xml:space="preserve">Enron Corp. (“ENE”) proposes to sell its 100% equity interest in Enron Oil &amp; Gas India Ltd. (“EOGIL”) to BG Energy Holdings Limited (“BG”) for $400MM less a retained tax receivable of $12MM.  Specific indemnities have been provided for potential tax and customs duty exposures (see Risk Matrix on page 2).  Additionally, prior to August 31, BG, as a result of ongoing discussions with consortium partners Reliance and ONGC, must obtain assurances or otherwise be satisfied that EOGIL will remain as operator of the Tapti and Panna/Mukta blocks.  </w:t>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rPr>
      </w:pPr>
      <w:r>
        <w:rPr>
          <w:rFonts w:cs="Arial" w:ascii="Arial" w:hAnsi="Arial"/>
          <w:sz w:val="20"/>
        </w:rPr>
        <w:t xml:space="preserve">The transaction will result in net pretax cash proceeds of $358MM and a pretax gain on sale of $33MM.  A simultaneous signing of the purchase and sale agreement and closing is scheduled for Friday August 31, 2001.   </w:t>
      </w:r>
    </w:p>
    <w:p>
      <w:pPr>
        <w:pStyle w:val="Normal"/>
        <w:jc w:val="both"/>
        <w:rPr>
          <w:rFonts w:ascii="Arial" w:hAnsi="Arial" w:eastAsia="Arial" w:cs="Arial"/>
          <w:sz w:val="20"/>
        </w:rPr>
      </w:pPr>
      <w:r>
        <w:rPr>
          <w:rFonts w:eastAsia="Arial" w:cs="Arial" w:ascii="Arial" w:hAnsi="Arial"/>
          <w:sz w:val="20"/>
        </w:rPr>
        <w:t xml:space="preserve">  </w:t>
      </w:r>
    </w:p>
    <w:p>
      <w:pPr>
        <w:pStyle w:val="Heading2"/>
        <w:widowControl/>
        <w:ind w:hanging="0" w:start="0"/>
        <w:rPr>
          <w:rFonts w:ascii="Arial" w:hAnsi="Arial" w:cs="Arial"/>
          <w:i w:val="false"/>
          <w:i w:val="false"/>
          <w:iCs/>
        </w:rPr>
      </w:pPr>
      <w:r>
        <w:rPr>
          <w:rFonts w:cs="Arial" w:ascii="Arial" w:hAnsi="Arial"/>
          <w:i w:val="false"/>
          <w:iCs/>
        </w:rPr>
        <w:t>DEAL HISTORY</w:t>
      </w:r>
    </w:p>
    <w:p>
      <w:pPr>
        <w:pStyle w:val="BodyText"/>
        <w:rPr/>
      </w:pPr>
      <w:r>
        <w:rPr/>
        <w:t xml:space="preserve">EOGIL, then a subsidiary of Enron Oil &amp; Gas Company (“EOG”), signed a Petroleum Contract with the Government of India in December 1994 for the development of the Panna/Mukta and Tapti blocks, offshore India.  In August 1999, EOG’s ownership of EOGIL was transferred to Enron Corp. as part of the EOG share exchange transaction.  </w:t>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rPr>
      </w:pPr>
      <w:r>
        <w:rPr>
          <w:rFonts w:cs="Arial" w:ascii="Arial" w:hAnsi="Arial"/>
          <w:sz w:val="20"/>
        </w:rPr>
        <w:t xml:space="preserve">In November 2000 ENE began marketing its interest in EOGIL as part of an overall divestiture of international infrastructure assets.  Approximately 77 companies were solicited from a worldwide group of majors and strong independents.  From this group, 12 companies elected to examine detailed technical and commercial information and formal bids were received from six of them.  </w:t>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rPr>
      </w:pPr>
      <w:r>
        <w:rPr>
          <w:rFonts w:cs="Arial" w:ascii="Arial" w:hAnsi="Arial"/>
          <w:sz w:val="20"/>
        </w:rPr>
        <w:t>Due diligence efforts and contract negotiations have been underway with BG since May 2001.  BG is a global natural gas major with a current market capitalization of approximately $12 billion.  It has extensive upstream and downstream holdings worldwide including current operations in India.</w:t>
      </w:r>
    </w:p>
    <w:p>
      <w:pPr>
        <w:pStyle w:val="Heading2"/>
        <w:widowControl/>
        <w:tabs>
          <w:tab w:val="clear" w:pos="720"/>
          <w:tab w:val="left" w:pos="1710" w:leader="none"/>
        </w:tabs>
        <w:ind w:hanging="0" w:start="0"/>
        <w:rPr>
          <w:rFonts w:ascii="Arial" w:hAnsi="Arial" w:cs="Arial"/>
          <w:b w:val="false"/>
          <w:i w:val="false"/>
          <w:i w:val="false"/>
          <w:sz w:val="20"/>
        </w:rPr>
      </w:pPr>
      <w:r>
        <w:rPr>
          <w:rFonts w:cs="Arial" w:ascii="Arial" w:hAnsi="Arial"/>
          <w:b w:val="false"/>
          <w:i w:val="false"/>
          <w:sz w:val="20"/>
        </w:rPr>
      </w:r>
    </w:p>
    <w:p>
      <w:pPr>
        <w:pStyle w:val="Heading2"/>
        <w:widowControl/>
        <w:pBdr>
          <w:top w:val="single" w:sz="8" w:space="1" w:color="000000"/>
        </w:pBdr>
        <w:ind w:hanging="0" w:start="0" w:end="-36"/>
        <w:rPr>
          <w:rFonts w:ascii="Arial" w:hAnsi="Arial" w:cs="Arial"/>
          <w:bCs/>
          <w:i w:val="false"/>
          <w:i w:val="false"/>
        </w:rPr>
      </w:pPr>
      <w:r>
        <w:rPr>
          <w:rFonts w:cs="Arial" w:ascii="Arial" w:hAnsi="Arial"/>
          <w:bCs/>
          <w:i w:val="false"/>
        </w:rPr>
        <w:t>IMPACT of SALE ($MM):</w:t>
        <w:tab/>
        <w:tab/>
      </w:r>
    </w:p>
    <w:p>
      <w:pPr>
        <w:pStyle w:val="Normal"/>
        <w:tabs>
          <w:tab w:val="clear" w:pos="720"/>
          <w:tab w:val="left" w:pos="1710" w:leader="none"/>
        </w:tabs>
        <w:rPr>
          <w:rFonts w:ascii="Arial" w:hAnsi="Arial" w:cs="Arial"/>
          <w:bCs/>
          <w:i/>
          <w:i/>
          <w:sz w:val="20"/>
        </w:rPr>
      </w:pPr>
      <w:r>
        <w:rPr>
          <w:rFonts w:cs="Arial" w:ascii="Arial" w:hAnsi="Arial"/>
          <w:bCs/>
          <w:i/>
          <w:sz w:val="20"/>
        </w:rPr>
      </w:r>
    </w:p>
    <w:p>
      <w:pPr>
        <w:pStyle w:val="Normal"/>
        <w:tabs>
          <w:tab w:val="clear" w:pos="720"/>
          <w:tab w:val="left" w:pos="1710" w:leader="none"/>
        </w:tabs>
        <w:rPr/>
      </w:pPr>
      <w:r>
        <w:rPr/>
        <w:t>Cash Proceeds ($MM):</w:t>
      </w:r>
    </w:p>
    <w:tbl>
      <w:tblPr>
        <w:tblW w:w="10260" w:type="dxa"/>
        <w:jc w:val="start"/>
        <w:tblInd w:w="0" w:type="dxa"/>
        <w:tblLayout w:type="fixed"/>
        <w:tblCellMar>
          <w:top w:w="0" w:type="dxa"/>
          <w:start w:w="108" w:type="dxa"/>
          <w:bottom w:w="0" w:type="dxa"/>
          <w:end w:w="108" w:type="dxa"/>
        </w:tblCellMar>
      </w:tblPr>
      <w:tblGrid>
        <w:gridCol w:w="5220"/>
        <w:gridCol w:w="1440"/>
        <w:gridCol w:w="3600"/>
      </w:tblGrid>
      <w:tr>
        <w:trPr/>
        <w:tc>
          <w:tcPr>
            <w:tcW w:w="522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0"/>
              </w:rPr>
            </w:pPr>
            <w:r>
              <w:rPr>
                <w:rFonts w:cs="Arial" w:ascii="Arial" w:hAnsi="Arial"/>
                <w:sz w:val="20"/>
              </w:rPr>
              <w:t>Purchase Price + Collection of tax receivable</w:t>
            </w:r>
          </w:p>
        </w:tc>
        <w:tc>
          <w:tcPr>
            <w:tcW w:w="1440" w:type="dxa"/>
            <w:tcBorders>
              <w:top w:val="single" w:sz="4" w:space="0" w:color="000000"/>
              <w:start w:val="single" w:sz="4" w:space="0" w:color="000000"/>
              <w:bottom w:val="single" w:sz="4" w:space="0" w:color="000000"/>
              <w:end w:val="single" w:sz="4" w:space="0" w:color="000000"/>
            </w:tcBorders>
          </w:tcPr>
          <w:p>
            <w:pPr>
              <w:pStyle w:val="Normal"/>
              <w:jc w:val="end"/>
              <w:rPr>
                <w:rFonts w:ascii="Arial" w:hAnsi="Arial" w:cs="Arial"/>
                <w:sz w:val="20"/>
              </w:rPr>
            </w:pPr>
            <w:r>
              <w:rPr>
                <w:rFonts w:cs="Arial" w:ascii="Arial" w:hAnsi="Arial"/>
                <w:sz w:val="20"/>
              </w:rPr>
              <w:t>400.0</w:t>
            </w:r>
          </w:p>
        </w:tc>
        <w:tc>
          <w:tcPr>
            <w:tcW w:w="360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sz w:val="20"/>
              </w:rPr>
            </w:pPr>
            <w:r>
              <w:rPr>
                <w:rFonts w:cs="Arial" w:ascii="Arial" w:hAnsi="Arial"/>
                <w:sz w:val="20"/>
              </w:rPr>
            </w:r>
          </w:p>
        </w:tc>
      </w:tr>
      <w:tr>
        <w:trPr/>
        <w:tc>
          <w:tcPr>
            <w:tcW w:w="522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0"/>
              </w:rPr>
            </w:pPr>
            <w:r>
              <w:rPr>
                <w:rFonts w:cs="Arial" w:ascii="Arial" w:hAnsi="Arial"/>
                <w:sz w:val="20"/>
              </w:rPr>
              <w:t>Repayment of EDF Note</w:t>
            </w:r>
          </w:p>
        </w:tc>
        <w:tc>
          <w:tcPr>
            <w:tcW w:w="1440" w:type="dxa"/>
            <w:tcBorders>
              <w:top w:val="single" w:sz="4" w:space="0" w:color="000000"/>
              <w:start w:val="single" w:sz="4" w:space="0" w:color="000000"/>
              <w:bottom w:val="single" w:sz="4" w:space="0" w:color="000000"/>
              <w:end w:val="single" w:sz="4" w:space="0" w:color="000000"/>
            </w:tcBorders>
          </w:tcPr>
          <w:p>
            <w:pPr>
              <w:pStyle w:val="Normal"/>
              <w:jc w:val="end"/>
              <w:rPr>
                <w:rFonts w:ascii="Arial" w:hAnsi="Arial" w:cs="Arial"/>
                <w:sz w:val="20"/>
              </w:rPr>
            </w:pPr>
            <w:r>
              <w:rPr>
                <w:rFonts w:cs="Arial" w:ascii="Arial" w:hAnsi="Arial"/>
                <w:sz w:val="20"/>
              </w:rPr>
              <w:t>-41.6</w:t>
            </w:r>
          </w:p>
        </w:tc>
        <w:tc>
          <w:tcPr>
            <w:tcW w:w="360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0"/>
              </w:rPr>
            </w:pPr>
            <w:r>
              <w:rPr>
                <w:rFonts w:cs="Arial" w:ascii="Arial" w:hAnsi="Arial"/>
                <w:sz w:val="20"/>
              </w:rPr>
              <w:t>See funding note – page 2</w:t>
            </w:r>
          </w:p>
        </w:tc>
      </w:tr>
      <w:tr>
        <w:trPr/>
        <w:tc>
          <w:tcPr>
            <w:tcW w:w="5220" w:type="dxa"/>
            <w:tcBorders>
              <w:top w:val="single" w:sz="4" w:space="0" w:color="000000"/>
              <w:start w:val="single" w:sz="4" w:space="0" w:color="000000"/>
              <w:bottom w:val="single" w:sz="4" w:space="0" w:color="000000"/>
              <w:end w:val="single" w:sz="4" w:space="0" w:color="000000"/>
            </w:tcBorders>
          </w:tcPr>
          <w:p>
            <w:pPr>
              <w:pStyle w:val="Heading1"/>
              <w:ind w:hanging="0" w:start="0"/>
              <w:rPr>
                <w:rFonts w:ascii="Arial" w:hAnsi="Arial" w:cs="Arial"/>
                <w:bCs/>
                <w:szCs w:val="24"/>
              </w:rPr>
            </w:pPr>
            <w:r>
              <w:rPr>
                <w:rFonts w:cs="Arial" w:ascii="Arial" w:hAnsi="Arial"/>
                <w:bCs/>
                <w:szCs w:val="24"/>
              </w:rPr>
              <w:t>Pretax Proceeds</w:t>
            </w:r>
          </w:p>
        </w:tc>
        <w:tc>
          <w:tcPr>
            <w:tcW w:w="1440" w:type="dxa"/>
            <w:tcBorders>
              <w:top w:val="single" w:sz="4" w:space="0" w:color="000000"/>
              <w:start w:val="single" w:sz="4" w:space="0" w:color="000000"/>
              <w:bottom w:val="single" w:sz="4" w:space="0" w:color="000000"/>
              <w:end w:val="single" w:sz="4" w:space="0" w:color="000000"/>
            </w:tcBorders>
          </w:tcPr>
          <w:p>
            <w:pPr>
              <w:pStyle w:val="Normal"/>
              <w:jc w:val="end"/>
              <w:rPr>
                <w:rFonts w:ascii="Arial" w:hAnsi="Arial" w:cs="Arial"/>
                <w:b/>
                <w:bCs/>
                <w:sz w:val="20"/>
              </w:rPr>
            </w:pPr>
            <w:r>
              <w:rPr>
                <w:rFonts w:cs="Arial" w:ascii="Arial" w:hAnsi="Arial"/>
                <w:b/>
                <w:bCs/>
                <w:sz w:val="20"/>
              </w:rPr>
              <w:t>358.4</w:t>
            </w:r>
          </w:p>
        </w:tc>
        <w:tc>
          <w:tcPr>
            <w:tcW w:w="360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b/>
                <w:bCs/>
                <w:sz w:val="20"/>
              </w:rPr>
            </w:pPr>
            <w:r>
              <w:rPr>
                <w:rFonts w:cs="Arial" w:ascii="Arial" w:hAnsi="Arial"/>
                <w:b/>
                <w:bCs/>
                <w:sz w:val="20"/>
              </w:rPr>
            </w:r>
          </w:p>
        </w:tc>
      </w:tr>
      <w:tr>
        <w:trPr/>
        <w:tc>
          <w:tcPr>
            <w:tcW w:w="522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0"/>
              </w:rPr>
            </w:pPr>
            <w:r>
              <w:rPr>
                <w:rFonts w:cs="Arial" w:ascii="Arial" w:hAnsi="Arial"/>
                <w:sz w:val="20"/>
              </w:rPr>
              <w:t>Tax @ 35%</w:t>
            </w:r>
          </w:p>
        </w:tc>
        <w:tc>
          <w:tcPr>
            <w:tcW w:w="1440" w:type="dxa"/>
            <w:tcBorders>
              <w:top w:val="single" w:sz="4" w:space="0" w:color="000000"/>
              <w:start w:val="single" w:sz="4" w:space="0" w:color="000000"/>
              <w:bottom w:val="single" w:sz="4" w:space="0" w:color="000000"/>
              <w:end w:val="single" w:sz="4" w:space="0" w:color="000000"/>
            </w:tcBorders>
          </w:tcPr>
          <w:p>
            <w:pPr>
              <w:pStyle w:val="Normal"/>
              <w:jc w:val="end"/>
              <w:rPr>
                <w:rFonts w:ascii="Arial" w:hAnsi="Arial" w:cs="Arial"/>
                <w:sz w:val="20"/>
              </w:rPr>
            </w:pPr>
            <w:r>
              <w:rPr>
                <w:rFonts w:cs="Arial" w:ascii="Arial" w:hAnsi="Arial"/>
                <w:sz w:val="20"/>
              </w:rPr>
              <w:t>-80.3</w:t>
            </w:r>
          </w:p>
        </w:tc>
        <w:tc>
          <w:tcPr>
            <w:tcW w:w="360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0"/>
              </w:rPr>
            </w:pPr>
            <w:r>
              <w:rPr>
                <w:rFonts w:cs="Arial" w:ascii="Arial" w:hAnsi="Arial"/>
                <w:sz w:val="20"/>
              </w:rPr>
              <w:t>Ignores impact of ENE NOL</w:t>
            </w:r>
          </w:p>
        </w:tc>
      </w:tr>
      <w:tr>
        <w:trPr/>
        <w:tc>
          <w:tcPr>
            <w:tcW w:w="5220" w:type="dxa"/>
            <w:tcBorders>
              <w:top w:val="single" w:sz="4" w:space="0" w:color="000000"/>
              <w:start w:val="single" w:sz="4" w:space="0" w:color="000000"/>
              <w:bottom w:val="single" w:sz="4" w:space="0" w:color="000000"/>
              <w:end w:val="single" w:sz="4" w:space="0" w:color="000000"/>
            </w:tcBorders>
          </w:tcPr>
          <w:p>
            <w:pPr>
              <w:pStyle w:val="Heading1"/>
              <w:ind w:hanging="0" w:start="0"/>
              <w:rPr>
                <w:rFonts w:ascii="Arial" w:hAnsi="Arial" w:cs="Arial"/>
                <w:bCs/>
                <w:szCs w:val="24"/>
              </w:rPr>
            </w:pPr>
            <w:r>
              <w:rPr>
                <w:rFonts w:cs="Arial" w:ascii="Arial" w:hAnsi="Arial"/>
                <w:bCs/>
                <w:szCs w:val="24"/>
              </w:rPr>
              <w:t>ATax Cash Proceeds</w:t>
            </w:r>
          </w:p>
        </w:tc>
        <w:tc>
          <w:tcPr>
            <w:tcW w:w="1440" w:type="dxa"/>
            <w:tcBorders>
              <w:top w:val="single" w:sz="4" w:space="0" w:color="000000"/>
              <w:start w:val="single" w:sz="4" w:space="0" w:color="000000"/>
              <w:bottom w:val="single" w:sz="4" w:space="0" w:color="000000"/>
              <w:end w:val="single" w:sz="4" w:space="0" w:color="000000"/>
            </w:tcBorders>
          </w:tcPr>
          <w:p>
            <w:pPr>
              <w:pStyle w:val="Normal"/>
              <w:jc w:val="end"/>
              <w:rPr>
                <w:rFonts w:ascii="Arial" w:hAnsi="Arial" w:cs="Arial"/>
                <w:b/>
                <w:bCs/>
                <w:sz w:val="20"/>
              </w:rPr>
            </w:pPr>
            <w:r>
              <w:rPr>
                <w:rFonts w:cs="Arial" w:ascii="Arial" w:hAnsi="Arial"/>
                <w:b/>
                <w:bCs/>
                <w:sz w:val="20"/>
              </w:rPr>
              <w:t>278.1</w:t>
            </w:r>
          </w:p>
        </w:tc>
        <w:tc>
          <w:tcPr>
            <w:tcW w:w="360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b/>
                <w:bCs/>
                <w:sz w:val="20"/>
              </w:rPr>
            </w:pPr>
            <w:r>
              <w:rPr>
                <w:rFonts w:cs="Arial" w:ascii="Arial" w:hAnsi="Arial"/>
                <w:b/>
                <w:bCs/>
                <w:sz w:val="20"/>
              </w:rPr>
            </w:r>
          </w:p>
        </w:tc>
      </w:tr>
    </w:tbl>
    <w:p>
      <w:pPr>
        <w:pStyle w:val="Normal"/>
        <w:rPr>
          <w:rFonts w:ascii="Arial" w:hAnsi="Arial" w:cs="Arial"/>
          <w:sz w:val="20"/>
        </w:rPr>
      </w:pPr>
      <w:r>
        <w:rPr>
          <w:rFonts w:cs="Arial" w:ascii="Arial" w:hAnsi="Arial"/>
          <w:sz w:val="20"/>
        </w:rPr>
      </w:r>
      <w:r>
        <w:br w:type="page"/>
      </w:r>
    </w:p>
    <w:p>
      <w:pPr>
        <w:pStyle w:val="BodyText2"/>
        <w:rPr/>
      </w:pPr>
      <w:r>
        <w:rPr/>
        <w:t>Earnings Impact ($MM):</w:t>
      </w:r>
    </w:p>
    <w:tbl>
      <w:tblPr>
        <w:tblW w:w="10260" w:type="dxa"/>
        <w:jc w:val="start"/>
        <w:tblInd w:w="0" w:type="dxa"/>
        <w:tblLayout w:type="fixed"/>
        <w:tblCellMar>
          <w:top w:w="0" w:type="dxa"/>
          <w:start w:w="108" w:type="dxa"/>
          <w:bottom w:w="0" w:type="dxa"/>
          <w:end w:w="108" w:type="dxa"/>
        </w:tblCellMar>
      </w:tblPr>
      <w:tblGrid>
        <w:gridCol w:w="5220"/>
        <w:gridCol w:w="1440"/>
        <w:gridCol w:w="3600"/>
      </w:tblGrid>
      <w:tr>
        <w:trPr/>
        <w:tc>
          <w:tcPr>
            <w:tcW w:w="522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0"/>
              </w:rPr>
            </w:pPr>
            <w:r>
              <w:rPr>
                <w:rFonts w:cs="Arial" w:ascii="Arial" w:hAnsi="Arial"/>
                <w:sz w:val="20"/>
              </w:rPr>
              <w:t>Purchase Price + Collection of tax receivable</w:t>
            </w:r>
          </w:p>
        </w:tc>
        <w:tc>
          <w:tcPr>
            <w:tcW w:w="1440" w:type="dxa"/>
            <w:tcBorders>
              <w:top w:val="single" w:sz="4" w:space="0" w:color="000000"/>
              <w:start w:val="single" w:sz="4" w:space="0" w:color="000000"/>
              <w:bottom w:val="single" w:sz="4" w:space="0" w:color="000000"/>
              <w:end w:val="single" w:sz="4" w:space="0" w:color="000000"/>
            </w:tcBorders>
          </w:tcPr>
          <w:p>
            <w:pPr>
              <w:pStyle w:val="Normal"/>
              <w:jc w:val="end"/>
              <w:rPr>
                <w:rFonts w:ascii="Arial" w:hAnsi="Arial" w:cs="Arial"/>
                <w:sz w:val="20"/>
              </w:rPr>
            </w:pPr>
            <w:r>
              <w:rPr>
                <w:rFonts w:cs="Arial" w:ascii="Arial" w:hAnsi="Arial"/>
                <w:sz w:val="20"/>
              </w:rPr>
              <w:t>400.0</w:t>
            </w:r>
          </w:p>
        </w:tc>
        <w:tc>
          <w:tcPr>
            <w:tcW w:w="360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sz w:val="20"/>
              </w:rPr>
            </w:pPr>
            <w:r>
              <w:rPr>
                <w:rFonts w:cs="Arial" w:ascii="Arial" w:hAnsi="Arial"/>
                <w:sz w:val="20"/>
              </w:rPr>
            </w:r>
          </w:p>
        </w:tc>
      </w:tr>
      <w:tr>
        <w:trPr/>
        <w:tc>
          <w:tcPr>
            <w:tcW w:w="522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0"/>
              </w:rPr>
            </w:pPr>
            <w:r>
              <w:rPr>
                <w:rFonts w:cs="Arial" w:ascii="Arial" w:hAnsi="Arial"/>
                <w:sz w:val="20"/>
              </w:rPr>
              <w:t xml:space="preserve">Book Basis </w:t>
            </w:r>
          </w:p>
        </w:tc>
        <w:tc>
          <w:tcPr>
            <w:tcW w:w="1440" w:type="dxa"/>
            <w:tcBorders>
              <w:top w:val="single" w:sz="4" w:space="0" w:color="000000"/>
              <w:start w:val="single" w:sz="4" w:space="0" w:color="000000"/>
              <w:bottom w:val="single" w:sz="4" w:space="0" w:color="000000"/>
              <w:end w:val="single" w:sz="4" w:space="0" w:color="000000"/>
            </w:tcBorders>
          </w:tcPr>
          <w:p>
            <w:pPr>
              <w:pStyle w:val="Normal"/>
              <w:jc w:val="end"/>
              <w:rPr>
                <w:rFonts w:ascii="Arial" w:hAnsi="Arial" w:cs="Arial"/>
                <w:sz w:val="20"/>
              </w:rPr>
            </w:pPr>
            <w:r>
              <w:rPr>
                <w:rFonts w:cs="Arial" w:ascii="Arial" w:hAnsi="Arial"/>
                <w:sz w:val="20"/>
              </w:rPr>
              <w:t>-377.3</w:t>
            </w:r>
          </w:p>
        </w:tc>
        <w:tc>
          <w:tcPr>
            <w:tcW w:w="360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sz w:val="20"/>
              </w:rPr>
            </w:pPr>
            <w:r>
              <w:rPr>
                <w:rFonts w:cs="Arial" w:ascii="Arial" w:hAnsi="Arial"/>
                <w:sz w:val="20"/>
              </w:rPr>
            </w:r>
          </w:p>
        </w:tc>
      </w:tr>
      <w:tr>
        <w:trPr/>
        <w:tc>
          <w:tcPr>
            <w:tcW w:w="522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0"/>
              </w:rPr>
            </w:pPr>
            <w:r>
              <w:rPr>
                <w:rFonts w:cs="Arial" w:ascii="Arial" w:hAnsi="Arial"/>
                <w:sz w:val="20"/>
              </w:rPr>
              <w:t>Reversal of EGEP Financial Reserves</w:t>
            </w:r>
          </w:p>
        </w:tc>
        <w:tc>
          <w:tcPr>
            <w:tcW w:w="1440" w:type="dxa"/>
            <w:tcBorders>
              <w:top w:val="single" w:sz="4" w:space="0" w:color="000000"/>
              <w:start w:val="single" w:sz="4" w:space="0" w:color="000000"/>
              <w:bottom w:val="single" w:sz="4" w:space="0" w:color="000000"/>
              <w:end w:val="single" w:sz="4" w:space="0" w:color="000000"/>
            </w:tcBorders>
          </w:tcPr>
          <w:p>
            <w:pPr>
              <w:pStyle w:val="Normal"/>
              <w:jc w:val="end"/>
              <w:rPr>
                <w:rFonts w:ascii="Arial" w:hAnsi="Arial" w:cs="Arial"/>
                <w:sz w:val="20"/>
              </w:rPr>
            </w:pPr>
            <w:r>
              <w:rPr>
                <w:rFonts w:cs="Arial" w:ascii="Arial" w:hAnsi="Arial"/>
                <w:sz w:val="20"/>
              </w:rPr>
              <w:t>10.6</w:t>
            </w:r>
          </w:p>
        </w:tc>
        <w:tc>
          <w:tcPr>
            <w:tcW w:w="360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0"/>
              </w:rPr>
            </w:pPr>
            <w:r>
              <w:rPr>
                <w:rFonts w:cs="Arial" w:ascii="Arial" w:hAnsi="Arial"/>
                <w:sz w:val="20"/>
              </w:rPr>
              <w:t>Carried at EGEP level</w:t>
            </w:r>
          </w:p>
        </w:tc>
      </w:tr>
      <w:tr>
        <w:trPr/>
        <w:tc>
          <w:tcPr>
            <w:tcW w:w="5220" w:type="dxa"/>
            <w:tcBorders>
              <w:top w:val="single" w:sz="4" w:space="0" w:color="000000"/>
              <w:start w:val="single" w:sz="4" w:space="0" w:color="000000"/>
              <w:bottom w:val="single" w:sz="4" w:space="0" w:color="000000"/>
              <w:end w:val="single" w:sz="4" w:space="0" w:color="000000"/>
            </w:tcBorders>
          </w:tcPr>
          <w:p>
            <w:pPr>
              <w:pStyle w:val="Heading1"/>
              <w:ind w:hanging="0" w:start="0"/>
              <w:rPr>
                <w:rFonts w:ascii="Arial" w:hAnsi="Arial" w:cs="Arial"/>
                <w:bCs/>
                <w:szCs w:val="24"/>
              </w:rPr>
            </w:pPr>
            <w:r>
              <w:rPr>
                <w:rFonts w:cs="Arial" w:ascii="Arial" w:hAnsi="Arial"/>
                <w:bCs/>
                <w:szCs w:val="24"/>
              </w:rPr>
              <w:t>Pretax Gain on Sale</w:t>
            </w:r>
          </w:p>
        </w:tc>
        <w:tc>
          <w:tcPr>
            <w:tcW w:w="1440" w:type="dxa"/>
            <w:tcBorders>
              <w:top w:val="single" w:sz="4" w:space="0" w:color="000000"/>
              <w:start w:val="single" w:sz="4" w:space="0" w:color="000000"/>
              <w:bottom w:val="single" w:sz="4" w:space="0" w:color="000000"/>
              <w:end w:val="single" w:sz="4" w:space="0" w:color="000000"/>
            </w:tcBorders>
          </w:tcPr>
          <w:p>
            <w:pPr>
              <w:pStyle w:val="Normal"/>
              <w:jc w:val="end"/>
              <w:rPr>
                <w:rFonts w:ascii="Arial" w:hAnsi="Arial" w:cs="Arial"/>
                <w:b/>
                <w:bCs/>
                <w:sz w:val="20"/>
              </w:rPr>
            </w:pPr>
            <w:r>
              <w:rPr>
                <w:rFonts w:cs="Arial" w:ascii="Arial" w:hAnsi="Arial"/>
                <w:b/>
                <w:bCs/>
                <w:sz w:val="20"/>
              </w:rPr>
              <w:t>33.3</w:t>
            </w:r>
          </w:p>
        </w:tc>
        <w:tc>
          <w:tcPr>
            <w:tcW w:w="360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b/>
                <w:bCs/>
                <w:sz w:val="20"/>
              </w:rPr>
            </w:pPr>
            <w:r>
              <w:rPr>
                <w:rFonts w:cs="Arial" w:ascii="Arial" w:hAnsi="Arial"/>
                <w:b/>
                <w:bCs/>
                <w:sz w:val="20"/>
              </w:rPr>
            </w:r>
          </w:p>
        </w:tc>
      </w:tr>
      <w:tr>
        <w:trPr/>
        <w:tc>
          <w:tcPr>
            <w:tcW w:w="522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0"/>
              </w:rPr>
            </w:pPr>
            <w:r>
              <w:rPr>
                <w:rFonts w:cs="Arial" w:ascii="Arial" w:hAnsi="Arial"/>
                <w:sz w:val="20"/>
              </w:rPr>
              <w:t>Tax @ 35%</w:t>
            </w:r>
          </w:p>
        </w:tc>
        <w:tc>
          <w:tcPr>
            <w:tcW w:w="1440" w:type="dxa"/>
            <w:tcBorders>
              <w:top w:val="single" w:sz="4" w:space="0" w:color="000000"/>
              <w:start w:val="single" w:sz="4" w:space="0" w:color="000000"/>
              <w:bottom w:val="single" w:sz="4" w:space="0" w:color="000000"/>
              <w:end w:val="single" w:sz="4" w:space="0" w:color="000000"/>
            </w:tcBorders>
          </w:tcPr>
          <w:p>
            <w:pPr>
              <w:pStyle w:val="Normal"/>
              <w:jc w:val="end"/>
              <w:rPr>
                <w:rFonts w:ascii="Arial" w:hAnsi="Arial" w:cs="Arial"/>
                <w:sz w:val="20"/>
              </w:rPr>
            </w:pPr>
            <w:r>
              <w:rPr>
                <w:rFonts w:cs="Arial" w:ascii="Arial" w:hAnsi="Arial"/>
                <w:sz w:val="20"/>
              </w:rPr>
              <w:t>-80.3</w:t>
            </w:r>
          </w:p>
        </w:tc>
        <w:tc>
          <w:tcPr>
            <w:tcW w:w="360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sz w:val="20"/>
              </w:rPr>
            </w:pPr>
            <w:r>
              <w:rPr>
                <w:rFonts w:cs="Arial" w:ascii="Arial" w:hAnsi="Arial"/>
                <w:sz w:val="20"/>
              </w:rPr>
            </w:r>
          </w:p>
        </w:tc>
      </w:tr>
      <w:tr>
        <w:trPr/>
        <w:tc>
          <w:tcPr>
            <w:tcW w:w="5220" w:type="dxa"/>
            <w:tcBorders>
              <w:top w:val="single" w:sz="4" w:space="0" w:color="000000"/>
              <w:start w:val="single" w:sz="4" w:space="0" w:color="000000"/>
              <w:bottom w:val="single" w:sz="4" w:space="0" w:color="000000"/>
              <w:end w:val="single" w:sz="4" w:space="0" w:color="000000"/>
            </w:tcBorders>
          </w:tcPr>
          <w:p>
            <w:pPr>
              <w:pStyle w:val="Heading1"/>
              <w:ind w:hanging="0" w:start="0"/>
              <w:rPr>
                <w:rFonts w:ascii="Arial" w:hAnsi="Arial" w:cs="Arial"/>
                <w:bCs/>
                <w:szCs w:val="24"/>
              </w:rPr>
            </w:pPr>
            <w:r>
              <w:rPr>
                <w:rFonts w:cs="Arial" w:ascii="Arial" w:hAnsi="Arial"/>
                <w:bCs/>
                <w:szCs w:val="24"/>
              </w:rPr>
              <w:t>Earnings Impact After Tax</w:t>
            </w:r>
          </w:p>
        </w:tc>
        <w:tc>
          <w:tcPr>
            <w:tcW w:w="1440" w:type="dxa"/>
            <w:tcBorders>
              <w:top w:val="single" w:sz="4" w:space="0" w:color="000000"/>
              <w:start w:val="single" w:sz="4" w:space="0" w:color="000000"/>
              <w:bottom w:val="single" w:sz="4" w:space="0" w:color="000000"/>
              <w:end w:val="single" w:sz="4" w:space="0" w:color="000000"/>
            </w:tcBorders>
          </w:tcPr>
          <w:p>
            <w:pPr>
              <w:pStyle w:val="Normal"/>
              <w:jc w:val="end"/>
              <w:rPr>
                <w:rFonts w:ascii="Arial" w:hAnsi="Arial" w:cs="Arial"/>
                <w:b/>
                <w:bCs/>
                <w:sz w:val="20"/>
              </w:rPr>
            </w:pPr>
            <w:r>
              <w:rPr>
                <w:rFonts w:cs="Arial" w:ascii="Arial" w:hAnsi="Arial"/>
                <w:b/>
                <w:bCs/>
                <w:sz w:val="20"/>
              </w:rPr>
              <w:t>-47.0</w:t>
            </w:r>
          </w:p>
        </w:tc>
        <w:tc>
          <w:tcPr>
            <w:tcW w:w="360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b/>
                <w:bCs/>
                <w:sz w:val="20"/>
              </w:rPr>
            </w:pPr>
            <w:r>
              <w:rPr>
                <w:rFonts w:cs="Arial" w:ascii="Arial" w:hAnsi="Arial"/>
                <w:b/>
                <w:bCs/>
                <w:sz w:val="20"/>
              </w:rPr>
            </w:r>
          </w:p>
        </w:tc>
      </w:tr>
    </w:tbl>
    <w:p>
      <w:pPr>
        <w:pStyle w:val="Normal"/>
        <w:rPr/>
      </w:pPr>
      <w:r>
        <w:rPr/>
      </w:r>
    </w:p>
    <w:p>
      <w:pPr>
        <w:pStyle w:val="BodyText2"/>
        <w:rPr/>
      </w:pPr>
      <w:r>
        <w:rPr/>
        <w:t>Earnings Impact – EOG Share Exchange &amp; EOGIL Sale ($MM):</w:t>
      </w:r>
    </w:p>
    <w:tbl>
      <w:tblPr>
        <w:tblW w:w="10267" w:type="dxa"/>
        <w:jc w:val="start"/>
        <w:tblInd w:w="0" w:type="dxa"/>
        <w:tblLayout w:type="fixed"/>
        <w:tblCellMar>
          <w:top w:w="0" w:type="dxa"/>
          <w:start w:w="108" w:type="dxa"/>
          <w:bottom w:w="0" w:type="dxa"/>
          <w:end w:w="108" w:type="dxa"/>
        </w:tblCellMar>
      </w:tblPr>
      <w:tblGrid>
        <w:gridCol w:w="5227"/>
        <w:gridCol w:w="1440"/>
        <w:gridCol w:w="3600"/>
      </w:tblGrid>
      <w:tr>
        <w:trPr/>
        <w:tc>
          <w:tcPr>
            <w:tcW w:w="5227"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0"/>
              </w:rPr>
            </w:pPr>
            <w:r>
              <w:rPr>
                <w:rFonts w:cs="Arial" w:ascii="Arial" w:hAnsi="Arial"/>
                <w:sz w:val="20"/>
              </w:rPr>
              <w:t>Pretax Gain on EOG Share Exchange</w:t>
            </w:r>
          </w:p>
        </w:tc>
        <w:tc>
          <w:tcPr>
            <w:tcW w:w="1440" w:type="dxa"/>
            <w:tcBorders>
              <w:top w:val="single" w:sz="4" w:space="0" w:color="000000"/>
              <w:start w:val="single" w:sz="4" w:space="0" w:color="000000"/>
              <w:bottom w:val="single" w:sz="4" w:space="0" w:color="000000"/>
              <w:end w:val="single" w:sz="4" w:space="0" w:color="000000"/>
            </w:tcBorders>
          </w:tcPr>
          <w:p>
            <w:pPr>
              <w:pStyle w:val="Normal"/>
              <w:jc w:val="end"/>
              <w:rPr>
                <w:rFonts w:ascii="Arial" w:hAnsi="Arial" w:cs="Arial"/>
                <w:sz w:val="20"/>
              </w:rPr>
            </w:pPr>
            <w:r>
              <w:rPr>
                <w:rFonts w:cs="Arial" w:ascii="Arial" w:hAnsi="Arial"/>
                <w:sz w:val="20"/>
              </w:rPr>
              <w:t>497.4</w:t>
            </w:r>
          </w:p>
        </w:tc>
        <w:tc>
          <w:tcPr>
            <w:tcW w:w="360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0"/>
              </w:rPr>
            </w:pPr>
            <w:r>
              <w:rPr>
                <w:rFonts w:cs="Arial" w:ascii="Arial" w:hAnsi="Arial"/>
                <w:sz w:val="20"/>
              </w:rPr>
              <w:t>Booked 3Q 1999</w:t>
            </w:r>
          </w:p>
        </w:tc>
      </w:tr>
      <w:tr>
        <w:trPr/>
        <w:tc>
          <w:tcPr>
            <w:tcW w:w="5227"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0"/>
              </w:rPr>
            </w:pPr>
            <w:r>
              <w:rPr>
                <w:rFonts w:cs="Arial" w:ascii="Arial" w:hAnsi="Arial"/>
                <w:sz w:val="20"/>
              </w:rPr>
              <w:t>Pretax Gain on EOGIL Sale</w:t>
            </w:r>
          </w:p>
        </w:tc>
        <w:tc>
          <w:tcPr>
            <w:tcW w:w="1440" w:type="dxa"/>
            <w:tcBorders>
              <w:top w:val="single" w:sz="4" w:space="0" w:color="000000"/>
              <w:start w:val="single" w:sz="4" w:space="0" w:color="000000"/>
              <w:bottom w:val="single" w:sz="4" w:space="0" w:color="000000"/>
              <w:end w:val="single" w:sz="4" w:space="0" w:color="000000"/>
            </w:tcBorders>
          </w:tcPr>
          <w:p>
            <w:pPr>
              <w:pStyle w:val="Normal"/>
              <w:jc w:val="end"/>
              <w:rPr>
                <w:rFonts w:ascii="Arial" w:hAnsi="Arial" w:cs="Arial"/>
                <w:sz w:val="20"/>
              </w:rPr>
            </w:pPr>
            <w:r>
              <w:rPr>
                <w:rFonts w:cs="Arial" w:ascii="Arial" w:hAnsi="Arial"/>
                <w:sz w:val="20"/>
              </w:rPr>
              <w:t>33.3</w:t>
            </w:r>
          </w:p>
        </w:tc>
        <w:tc>
          <w:tcPr>
            <w:tcW w:w="360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sz w:val="20"/>
              </w:rPr>
            </w:pPr>
            <w:r>
              <w:rPr>
                <w:rFonts w:cs="Arial" w:ascii="Arial" w:hAnsi="Arial"/>
                <w:sz w:val="20"/>
              </w:rPr>
            </w:r>
          </w:p>
        </w:tc>
      </w:tr>
    </w:tbl>
    <w:p>
      <w:pPr>
        <w:pStyle w:val="Normal"/>
        <w:rPr/>
      </w:pPr>
      <w:r>
        <w:rPr/>
      </w:r>
    </w:p>
    <w:p>
      <w:pPr>
        <w:pStyle w:val="Heading2"/>
        <w:widowControl/>
        <w:pBdr>
          <w:top w:val="single" w:sz="8" w:space="1" w:color="000000"/>
        </w:pBdr>
        <w:ind w:hanging="0" w:start="0" w:end="-36"/>
        <w:rPr>
          <w:rFonts w:ascii="Arial" w:hAnsi="Arial" w:cs="Arial"/>
          <w:b w:val="false"/>
          <w:i w:val="false"/>
          <w:i w:val="false"/>
        </w:rPr>
      </w:pPr>
      <w:r>
        <w:rPr>
          <w:rFonts w:cs="Arial" w:ascii="Arial" w:hAnsi="Arial"/>
          <w:b w:val="false"/>
          <w:i w:val="false"/>
        </w:rPr>
        <w:t>RISK MATRIX</w:t>
      </w:r>
    </w:p>
    <w:tbl>
      <w:tblPr>
        <w:tblW w:w="9990" w:type="dxa"/>
        <w:jc w:val="start"/>
        <w:tblInd w:w="378" w:type="dxa"/>
        <w:tblLayout w:type="fixed"/>
        <w:tblCellMar>
          <w:top w:w="0" w:type="dxa"/>
          <w:start w:w="108" w:type="dxa"/>
          <w:bottom w:w="0" w:type="dxa"/>
          <w:end w:w="108" w:type="dxa"/>
        </w:tblCellMar>
      </w:tblPr>
      <w:tblGrid>
        <w:gridCol w:w="4320"/>
        <w:gridCol w:w="5670"/>
      </w:tblGrid>
      <w:tr>
        <w:trPr/>
        <w:tc>
          <w:tcPr>
            <w:tcW w:w="4320" w:type="dxa"/>
            <w:tcBorders>
              <w:top w:val="single" w:sz="6" w:space="0" w:color="000000"/>
              <w:start w:val="single" w:sz="6" w:space="0" w:color="000000"/>
              <w:bottom w:val="single" w:sz="6" w:space="0" w:color="000000"/>
              <w:end w:val="single" w:sz="6" w:space="0" w:color="000000"/>
            </w:tcBorders>
          </w:tcPr>
          <w:p>
            <w:pPr>
              <w:pStyle w:val="Normal"/>
              <w:keepNext w:val="true"/>
              <w:jc w:val="center"/>
              <w:rPr>
                <w:rFonts w:ascii="Arial" w:hAnsi="Arial" w:cs="Arial"/>
                <w:b/>
                <w:sz w:val="20"/>
              </w:rPr>
            </w:pPr>
            <w:r>
              <w:rPr>
                <w:rFonts w:cs="Arial" w:ascii="Arial" w:hAnsi="Arial"/>
                <w:b/>
                <w:sz w:val="20"/>
              </w:rPr>
              <w:t>RISK DESCRIPTION</w:t>
            </w:r>
          </w:p>
        </w:tc>
        <w:tc>
          <w:tcPr>
            <w:tcW w:w="5670" w:type="dxa"/>
            <w:tcBorders>
              <w:top w:val="single" w:sz="6" w:space="0" w:color="000000"/>
              <w:start w:val="single" w:sz="6" w:space="0" w:color="000000"/>
              <w:bottom w:val="single" w:sz="6" w:space="0" w:color="000000"/>
              <w:end w:val="single" w:sz="6" w:space="0" w:color="000000"/>
            </w:tcBorders>
          </w:tcPr>
          <w:p>
            <w:pPr>
              <w:pStyle w:val="Normal"/>
              <w:keepNext w:val="true"/>
              <w:jc w:val="center"/>
              <w:rPr>
                <w:rFonts w:ascii="Arial" w:hAnsi="Arial" w:cs="Arial"/>
                <w:b/>
                <w:sz w:val="20"/>
              </w:rPr>
            </w:pPr>
            <w:r>
              <w:rPr>
                <w:rFonts w:cs="Arial" w:ascii="Arial" w:hAnsi="Arial"/>
                <w:b/>
                <w:sz w:val="20"/>
              </w:rPr>
              <w:t>MITIGATION/COMMENTS</w:t>
            </w:r>
          </w:p>
        </w:tc>
      </w:tr>
      <w:tr>
        <w:trPr/>
        <w:tc>
          <w:tcPr>
            <w:tcW w:w="4320" w:type="dxa"/>
            <w:tcBorders>
              <w:top w:val="single" w:sz="6" w:space="0" w:color="000000"/>
              <w:start w:val="single" w:sz="6" w:space="0" w:color="000000"/>
              <w:bottom w:val="single" w:sz="6" w:space="0" w:color="000000"/>
              <w:end w:val="single" w:sz="6" w:space="0" w:color="000000"/>
            </w:tcBorders>
          </w:tcPr>
          <w:p>
            <w:pPr>
              <w:pStyle w:val="Heading7"/>
              <w:ind w:hanging="0" w:start="0"/>
              <w:rPr/>
            </w:pPr>
            <w:r>
              <w:rPr/>
              <w:t>Legal Risk</w:t>
            </w:r>
          </w:p>
          <w:p>
            <w:pPr>
              <w:pStyle w:val="Header"/>
              <w:widowControl/>
              <w:tabs>
                <w:tab w:val="clear" w:pos="4320"/>
                <w:tab w:val="clear" w:pos="8640"/>
              </w:tabs>
              <w:rPr>
                <w:rFonts w:ascii="Arial" w:hAnsi="Arial" w:cs="Arial"/>
                <w:szCs w:val="24"/>
              </w:rPr>
            </w:pPr>
            <w:r>
              <w:rPr>
                <w:rFonts w:cs="Arial" w:ascii="Arial" w:hAnsi="Arial"/>
                <w:szCs w:val="24"/>
              </w:rPr>
              <w:t>ENE as seller of EOGIL shares, is responsible for representations, warranties and indemnifications under the share purchase agreement that survive closing</w:t>
            </w:r>
          </w:p>
        </w:tc>
        <w:tc>
          <w:tcPr>
            <w:tcW w:w="5670" w:type="dxa"/>
            <w:tcBorders>
              <w:top w:val="single" w:sz="6" w:space="0" w:color="000000"/>
              <w:start w:val="single" w:sz="6" w:space="0" w:color="000000"/>
              <w:bottom w:val="single" w:sz="6" w:space="0" w:color="000000"/>
              <w:end w:val="single" w:sz="6" w:space="0" w:color="000000"/>
            </w:tcBorders>
          </w:tcPr>
          <w:p>
            <w:pPr>
              <w:pStyle w:val="Normal"/>
              <w:numPr>
                <w:ilvl w:val="0"/>
                <w:numId w:val="3"/>
              </w:numPr>
              <w:jc w:val="both"/>
              <w:rPr>
                <w:rFonts w:ascii="Arial" w:hAnsi="Arial" w:cs="Arial"/>
                <w:sz w:val="20"/>
              </w:rPr>
            </w:pPr>
            <w:r>
              <w:rPr>
                <w:rFonts w:cs="Arial" w:ascii="Arial" w:hAnsi="Arial"/>
                <w:sz w:val="20"/>
              </w:rPr>
              <w:t>ENE’s obligations with respect to these representations are restricted to ENE’s pro rata share of any claims regarding such representations</w:t>
            </w:r>
          </w:p>
          <w:p>
            <w:pPr>
              <w:pStyle w:val="Normal"/>
              <w:numPr>
                <w:ilvl w:val="0"/>
                <w:numId w:val="3"/>
              </w:numPr>
              <w:jc w:val="both"/>
              <w:rPr>
                <w:rFonts w:ascii="Arial" w:hAnsi="Arial" w:cs="Arial"/>
                <w:sz w:val="20"/>
              </w:rPr>
            </w:pPr>
            <w:r>
              <w:rPr>
                <w:rFonts w:cs="Arial" w:ascii="Arial" w:hAnsi="Arial"/>
                <w:sz w:val="20"/>
              </w:rPr>
              <w:t>The survival period expires 24 months following closing</w:t>
            </w:r>
          </w:p>
          <w:p>
            <w:pPr>
              <w:pStyle w:val="Normal"/>
              <w:numPr>
                <w:ilvl w:val="0"/>
                <w:numId w:val="3"/>
              </w:numPr>
              <w:jc w:val="both"/>
              <w:rPr>
                <w:rFonts w:ascii="Arial" w:hAnsi="Arial" w:cs="Arial"/>
                <w:sz w:val="20"/>
              </w:rPr>
            </w:pPr>
            <w:r>
              <w:rPr>
                <w:rFonts w:cs="Arial" w:ascii="Arial" w:hAnsi="Arial"/>
                <w:sz w:val="20"/>
              </w:rPr>
              <w:t>The aggregate liability for all claims against the sellers is capped at 100% of the purchase price in year 1 and 75% in year 2, with a $2MM materiality threshold and a minimum aggregate claim requirement of $6MM with a $2MM claim deductible</w:t>
            </w:r>
          </w:p>
          <w:p>
            <w:pPr>
              <w:pStyle w:val="Normal"/>
              <w:numPr>
                <w:ilvl w:val="0"/>
                <w:numId w:val="3"/>
              </w:numPr>
              <w:jc w:val="both"/>
              <w:rPr>
                <w:rFonts w:ascii="Arial" w:hAnsi="Arial" w:cs="Arial"/>
                <w:sz w:val="20"/>
              </w:rPr>
            </w:pPr>
            <w:r>
              <w:rPr>
                <w:rFonts w:cs="Arial" w:ascii="Arial" w:hAnsi="Arial"/>
                <w:sz w:val="20"/>
              </w:rPr>
              <w:t>Specific indemnifications have been provided for any undisclosed tax liability prior to close (believed to be none) and for any potential claim for customs duties by the Customs Authorities at Surat (calculated maximum exposure of $50MM, extremely low probability of occurance &lt;5%)</w:t>
            </w:r>
          </w:p>
          <w:p>
            <w:pPr>
              <w:pStyle w:val="Normal"/>
              <w:jc w:val="both"/>
              <w:rPr>
                <w:rFonts w:ascii="Arial" w:hAnsi="Arial" w:cs="Arial"/>
                <w:sz w:val="20"/>
              </w:rPr>
            </w:pPr>
            <w:r>
              <w:rPr>
                <w:rFonts w:cs="Arial" w:ascii="Arial" w:hAnsi="Arial"/>
                <w:sz w:val="20"/>
              </w:rPr>
            </w:r>
          </w:p>
        </w:tc>
      </w:tr>
    </w:tbl>
    <w:p>
      <w:pPr>
        <w:pStyle w:val="Normal"/>
        <w:rPr>
          <w:rFonts w:ascii="Arial" w:hAnsi="Arial" w:cs="Arial"/>
          <w:b/>
          <w:sz w:val="20"/>
        </w:rPr>
      </w:pPr>
      <w:r>
        <w:rPr>
          <w:rFonts w:cs="Arial" w:ascii="Arial" w:hAnsi="Arial"/>
          <w:b/>
          <w:sz w:val="20"/>
        </w:rPr>
      </w:r>
    </w:p>
    <w:p>
      <w:pPr>
        <w:pStyle w:val="BodyText2"/>
        <w:rPr>
          <w:bCs/>
        </w:rPr>
      </w:pPr>
      <w:r>
        <w:rPr>
          <w:b/>
        </w:rPr>
        <w:t xml:space="preserve">Funding note:  </w:t>
      </w:r>
    </w:p>
    <w:p>
      <w:pPr>
        <w:pStyle w:val="BodyText2"/>
        <w:rPr>
          <w:bCs/>
        </w:rPr>
      </w:pPr>
      <w:r>
        <w:rPr>
          <w:bCs/>
        </w:rPr>
        <w:t>Immediately prior to Closing, Enron Development Funding Ltd. (“EDF”) will be required to repay funds loaned to it from EOGIL, estimated at $778.3MM.  The majority of such funds ($736.6MM) will be returned to ENE, primarily pursuant to a share repurchase agreement, with $41.6MM remaining with EOGIL.</w:t>
      </w:r>
    </w:p>
    <w:p>
      <w:pPr>
        <w:pStyle w:val="BodyText2"/>
        <w:rPr>
          <w:bCs/>
        </w:rPr>
      </w:pPr>
      <w:r>
        <w:rPr>
          <w:bCs/>
        </w:rPr>
      </w:r>
    </w:p>
    <w:p>
      <w:pPr>
        <w:pStyle w:val="Heading1"/>
        <w:autoSpaceDE w:val="false"/>
        <w:ind w:hanging="0" w:start="0"/>
        <w:rPr>
          <w:rFonts w:ascii="Arial" w:hAnsi="Arial" w:cs="Arial"/>
        </w:rPr>
      </w:pPr>
      <w:r>
        <w:rPr>
          <w:rFonts w:cs="Arial" w:ascii="Arial" w:hAnsi="Arial"/>
        </w:rPr>
        <w:t>OTHER RAC COMMENTS</w:t>
      </w:r>
    </w:p>
    <w:p>
      <w:pPr>
        <w:pStyle w:val="Normal"/>
        <w:autoSpaceDE w:val="false"/>
        <w:jc w:val="both"/>
        <w:rPr>
          <w:rFonts w:ascii="Arial" w:hAnsi="Arial" w:cs="Arial"/>
          <w:sz w:val="20"/>
          <w:szCs w:val="20"/>
        </w:rPr>
      </w:pPr>
      <w:r>
        <w:rPr>
          <w:rFonts w:cs="Arial" w:ascii="Arial" w:hAnsi="Arial"/>
          <w:sz w:val="20"/>
          <w:szCs w:val="20"/>
        </w:rPr>
        <w:t>RAC analysis indicates a valuation range of from $265 million (P5) to  $473 million (P95), bracketing the BG transaction amount. Expected value from this probabilistic analysis is $365 million. These values were derived from a life of property cash-flow study and utilized a 15% discount rate. A higher discount rate could arguably be used to account for a country risk premium. With a 20% discount rate, expected value falls from $365 million to $288 million.  Acceptance of the BG offer with net pre-tax proceeds of $358 million is recommended.</w:t>
      </w:r>
    </w:p>
    <w:p>
      <w:pPr>
        <w:pStyle w:val="Normal"/>
        <w:jc w:val="both"/>
        <w:rPr>
          <w:rFonts w:ascii="Arial" w:hAnsi="Arial" w:cs="Arial"/>
          <w:b/>
          <w:sz w:val="20"/>
          <w:szCs w:val="20"/>
        </w:rPr>
      </w:pPr>
      <w:r>
        <w:rPr>
          <w:rFonts w:cs="Arial" w:ascii="Arial" w:hAnsi="Arial"/>
          <w:b/>
          <w:sz w:val="20"/>
          <w:szCs w:val="20"/>
        </w:rPr>
      </w:r>
    </w:p>
    <w:tbl>
      <w:tblPr>
        <w:tblW w:w="10496" w:type="dxa"/>
        <w:jc w:val="start"/>
        <w:tblInd w:w="0" w:type="dxa"/>
        <w:tblLayout w:type="fixed"/>
        <w:tblCellMar>
          <w:top w:w="0" w:type="dxa"/>
          <w:start w:w="108" w:type="dxa"/>
          <w:bottom w:w="0" w:type="dxa"/>
          <w:end w:w="108" w:type="dxa"/>
        </w:tblCellMar>
      </w:tblPr>
      <w:tblGrid>
        <w:gridCol w:w="2088"/>
        <w:gridCol w:w="360"/>
        <w:gridCol w:w="3420"/>
        <w:gridCol w:w="354"/>
        <w:gridCol w:w="2924"/>
        <w:gridCol w:w="293"/>
        <w:gridCol w:w="1057"/>
      </w:tblGrid>
      <w:tr>
        <w:trPr>
          <w:trHeight w:val="405" w:hRule="atLeast"/>
        </w:trPr>
        <w:tc>
          <w:tcPr>
            <w:tcW w:w="2088" w:type="dxa"/>
            <w:tcBorders>
              <w:top w:val="single" w:sz="4" w:space="0" w:color="000000"/>
            </w:tcBorders>
            <w:vAlign w:val="bottom"/>
          </w:tcPr>
          <w:p>
            <w:pPr>
              <w:pStyle w:val="Heading1"/>
              <w:ind w:hanging="0" w:start="0"/>
              <w:rPr>
                <w:i/>
                <w:i/>
              </w:rPr>
            </w:pPr>
            <w:r>
              <w:rPr/>
              <w:t>APPROVALS</w:t>
            </w:r>
          </w:p>
        </w:tc>
        <w:tc>
          <w:tcPr>
            <w:tcW w:w="360" w:type="dxa"/>
            <w:tcBorders>
              <w:top w:val="single" w:sz="4" w:space="0" w:color="000000"/>
            </w:tcBorders>
            <w:vAlign w:val="bottom"/>
          </w:tcPr>
          <w:p>
            <w:pPr>
              <w:pStyle w:val="Normal"/>
              <w:keepNext w:val="true"/>
              <w:snapToGrid w:val="false"/>
              <w:rPr>
                <w:b/>
                <w:i/>
                <w:i/>
              </w:rPr>
            </w:pPr>
            <w:r>
              <w:rPr>
                <w:b/>
                <w:i/>
              </w:rPr>
            </w:r>
          </w:p>
        </w:tc>
        <w:tc>
          <w:tcPr>
            <w:tcW w:w="3420" w:type="dxa"/>
            <w:tcBorders>
              <w:top w:val="single" w:sz="4" w:space="0" w:color="000000"/>
            </w:tcBorders>
            <w:vAlign w:val="bottom"/>
          </w:tcPr>
          <w:p>
            <w:pPr>
              <w:pStyle w:val="Normal"/>
              <w:keepNext w:val="true"/>
              <w:jc w:val="center"/>
              <w:rPr>
                <w:b/>
              </w:rPr>
            </w:pPr>
            <w:r>
              <w:rPr>
                <w:b/>
              </w:rPr>
              <w:t>Name</w:t>
            </w:r>
          </w:p>
        </w:tc>
        <w:tc>
          <w:tcPr>
            <w:tcW w:w="354" w:type="dxa"/>
            <w:tcBorders>
              <w:top w:val="single" w:sz="4" w:space="0" w:color="000000"/>
            </w:tcBorders>
            <w:vAlign w:val="bottom"/>
          </w:tcPr>
          <w:p>
            <w:pPr>
              <w:pStyle w:val="Normal"/>
              <w:keepNext w:val="true"/>
              <w:snapToGrid w:val="false"/>
              <w:jc w:val="center"/>
              <w:rPr>
                <w:b/>
              </w:rPr>
            </w:pPr>
            <w:r>
              <w:rPr>
                <w:b/>
              </w:rPr>
            </w:r>
          </w:p>
        </w:tc>
        <w:tc>
          <w:tcPr>
            <w:tcW w:w="2924" w:type="dxa"/>
            <w:tcBorders>
              <w:top w:val="single" w:sz="4" w:space="0" w:color="000000"/>
            </w:tcBorders>
            <w:vAlign w:val="bottom"/>
          </w:tcPr>
          <w:p>
            <w:pPr>
              <w:pStyle w:val="Normal"/>
              <w:keepNext w:val="true"/>
              <w:jc w:val="center"/>
              <w:rPr>
                <w:b/>
              </w:rPr>
            </w:pPr>
            <w:r>
              <w:rPr>
                <w:b/>
              </w:rPr>
              <w:t>Signature</w:t>
            </w:r>
          </w:p>
        </w:tc>
        <w:tc>
          <w:tcPr>
            <w:tcW w:w="293" w:type="dxa"/>
            <w:tcBorders>
              <w:top w:val="single" w:sz="4" w:space="0" w:color="000000"/>
            </w:tcBorders>
            <w:vAlign w:val="bottom"/>
          </w:tcPr>
          <w:p>
            <w:pPr>
              <w:pStyle w:val="Normal"/>
              <w:keepNext w:val="true"/>
              <w:snapToGrid w:val="false"/>
              <w:jc w:val="center"/>
              <w:rPr>
                <w:b/>
              </w:rPr>
            </w:pPr>
            <w:r>
              <w:rPr>
                <w:b/>
              </w:rPr>
            </w:r>
          </w:p>
        </w:tc>
        <w:tc>
          <w:tcPr>
            <w:tcW w:w="1057" w:type="dxa"/>
            <w:tcBorders>
              <w:top w:val="single" w:sz="4" w:space="0" w:color="000000"/>
            </w:tcBorders>
            <w:vAlign w:val="bottom"/>
          </w:tcPr>
          <w:p>
            <w:pPr>
              <w:pStyle w:val="Normal"/>
              <w:keepNext w:val="true"/>
              <w:jc w:val="center"/>
              <w:rPr>
                <w:b/>
              </w:rPr>
            </w:pPr>
            <w:r>
              <w:rPr>
                <w:b/>
              </w:rPr>
              <w:t>Date</w:t>
            </w:r>
          </w:p>
        </w:tc>
      </w:tr>
      <w:tr>
        <w:trPr>
          <w:trHeight w:val="297" w:hRule="atLeast"/>
        </w:trPr>
        <w:tc>
          <w:tcPr>
            <w:tcW w:w="2088" w:type="dxa"/>
            <w:tcBorders/>
          </w:tcPr>
          <w:p>
            <w:pPr>
              <w:pStyle w:val="Normal"/>
              <w:spacing w:before="120" w:after="0"/>
              <w:rPr/>
            </w:pPr>
            <w:r>
              <w:rPr/>
              <w:t>Bus Unit Orig</w:t>
            </w:r>
          </w:p>
        </w:tc>
        <w:tc>
          <w:tcPr>
            <w:tcW w:w="360" w:type="dxa"/>
            <w:tcBorders/>
          </w:tcPr>
          <w:p>
            <w:pPr>
              <w:pStyle w:val="Normal"/>
              <w:snapToGrid w:val="false"/>
              <w:spacing w:before="120" w:after="0"/>
              <w:rPr/>
            </w:pPr>
            <w:r>
              <w:rPr/>
            </w:r>
          </w:p>
        </w:tc>
        <w:tc>
          <w:tcPr>
            <w:tcW w:w="3420" w:type="dxa"/>
            <w:tcBorders>
              <w:bottom w:val="single" w:sz="6" w:space="0" w:color="000000"/>
            </w:tcBorders>
          </w:tcPr>
          <w:p>
            <w:pPr>
              <w:pStyle w:val="Normal"/>
              <w:spacing w:before="120" w:after="0"/>
              <w:rPr/>
            </w:pPr>
            <w:r>
              <w:rPr/>
              <w:t>Steve Harper</w:t>
            </w:r>
          </w:p>
        </w:tc>
        <w:tc>
          <w:tcPr>
            <w:tcW w:w="354" w:type="dxa"/>
            <w:tcBorders/>
          </w:tcPr>
          <w:p>
            <w:pPr>
              <w:pStyle w:val="Normal"/>
              <w:snapToGrid w:val="false"/>
              <w:spacing w:before="120" w:after="0"/>
              <w:rPr/>
            </w:pPr>
            <w:r>
              <w:rPr/>
            </w:r>
          </w:p>
        </w:tc>
        <w:tc>
          <w:tcPr>
            <w:tcW w:w="2924" w:type="dxa"/>
            <w:tcBorders>
              <w:bottom w:val="single" w:sz="6" w:space="0" w:color="000000"/>
            </w:tcBorders>
          </w:tcPr>
          <w:p>
            <w:pPr>
              <w:pStyle w:val="Normal"/>
              <w:snapToGrid w:val="false"/>
              <w:spacing w:before="120" w:after="0"/>
              <w:rPr/>
            </w:pPr>
            <w:r>
              <w:rPr/>
            </w:r>
          </w:p>
        </w:tc>
        <w:tc>
          <w:tcPr>
            <w:tcW w:w="293" w:type="dxa"/>
            <w:tcBorders/>
          </w:tcPr>
          <w:p>
            <w:pPr>
              <w:pStyle w:val="Normal"/>
              <w:snapToGrid w:val="false"/>
              <w:spacing w:before="120" w:after="0"/>
              <w:rPr/>
            </w:pPr>
            <w:r>
              <w:rPr/>
            </w:r>
          </w:p>
        </w:tc>
        <w:tc>
          <w:tcPr>
            <w:tcW w:w="1057" w:type="dxa"/>
            <w:tcBorders>
              <w:bottom w:val="single" w:sz="6" w:space="0" w:color="000000"/>
            </w:tcBorders>
          </w:tcPr>
          <w:p>
            <w:pPr>
              <w:pStyle w:val="Normal"/>
              <w:snapToGrid w:val="false"/>
              <w:spacing w:before="120" w:after="0"/>
              <w:rPr/>
            </w:pPr>
            <w:r>
              <w:rPr/>
            </w:r>
          </w:p>
        </w:tc>
      </w:tr>
      <w:tr>
        <w:trPr>
          <w:trHeight w:val="345" w:hRule="atLeast"/>
        </w:trPr>
        <w:tc>
          <w:tcPr>
            <w:tcW w:w="2088" w:type="dxa"/>
            <w:tcBorders/>
          </w:tcPr>
          <w:p>
            <w:pPr>
              <w:pStyle w:val="Normal"/>
              <w:spacing w:before="120" w:after="0"/>
              <w:rPr/>
            </w:pPr>
            <w:r>
              <w:rPr/>
              <w:t>Bus Unit Mngt</w:t>
            </w:r>
          </w:p>
        </w:tc>
        <w:tc>
          <w:tcPr>
            <w:tcW w:w="360" w:type="dxa"/>
            <w:tcBorders/>
          </w:tcPr>
          <w:p>
            <w:pPr>
              <w:pStyle w:val="Normal"/>
              <w:snapToGrid w:val="false"/>
              <w:spacing w:before="120" w:after="0"/>
              <w:rPr/>
            </w:pPr>
            <w:r>
              <w:rPr/>
            </w:r>
          </w:p>
        </w:tc>
        <w:tc>
          <w:tcPr>
            <w:tcW w:w="3420" w:type="dxa"/>
            <w:tcBorders>
              <w:bottom w:val="single" w:sz="6" w:space="0" w:color="000000"/>
            </w:tcBorders>
          </w:tcPr>
          <w:p>
            <w:pPr>
              <w:pStyle w:val="Normal"/>
              <w:spacing w:before="120" w:after="0"/>
              <w:rPr/>
            </w:pPr>
            <w:r>
              <w:rPr/>
              <w:t>Jeff Sherrick</w:t>
            </w:r>
          </w:p>
        </w:tc>
        <w:tc>
          <w:tcPr>
            <w:tcW w:w="354" w:type="dxa"/>
            <w:tcBorders/>
          </w:tcPr>
          <w:p>
            <w:pPr>
              <w:pStyle w:val="Normal"/>
              <w:snapToGrid w:val="false"/>
              <w:spacing w:before="120" w:after="0"/>
              <w:rPr/>
            </w:pPr>
            <w:r>
              <w:rPr/>
            </w:r>
          </w:p>
        </w:tc>
        <w:tc>
          <w:tcPr>
            <w:tcW w:w="2924" w:type="dxa"/>
            <w:tcBorders>
              <w:bottom w:val="single" w:sz="6" w:space="0" w:color="000000"/>
            </w:tcBorders>
          </w:tcPr>
          <w:p>
            <w:pPr>
              <w:pStyle w:val="Normal"/>
              <w:snapToGrid w:val="false"/>
              <w:spacing w:before="120" w:after="0"/>
              <w:rPr/>
            </w:pPr>
            <w:r>
              <w:rPr/>
            </w:r>
          </w:p>
        </w:tc>
        <w:tc>
          <w:tcPr>
            <w:tcW w:w="293" w:type="dxa"/>
            <w:tcBorders/>
          </w:tcPr>
          <w:p>
            <w:pPr>
              <w:pStyle w:val="Normal"/>
              <w:snapToGrid w:val="false"/>
              <w:spacing w:before="120" w:after="0"/>
              <w:rPr/>
            </w:pPr>
            <w:r>
              <w:rPr/>
            </w:r>
          </w:p>
        </w:tc>
        <w:tc>
          <w:tcPr>
            <w:tcW w:w="1057" w:type="dxa"/>
            <w:tcBorders>
              <w:bottom w:val="single" w:sz="6" w:space="0" w:color="000000"/>
            </w:tcBorders>
          </w:tcPr>
          <w:p>
            <w:pPr>
              <w:pStyle w:val="Normal"/>
              <w:snapToGrid w:val="false"/>
              <w:spacing w:before="120" w:after="0"/>
              <w:rPr/>
            </w:pPr>
            <w:r>
              <w:rPr/>
            </w:r>
          </w:p>
        </w:tc>
      </w:tr>
      <w:tr>
        <w:trPr/>
        <w:tc>
          <w:tcPr>
            <w:tcW w:w="2088" w:type="dxa"/>
            <w:tcBorders/>
          </w:tcPr>
          <w:p>
            <w:pPr>
              <w:pStyle w:val="Normal"/>
              <w:spacing w:before="120" w:after="0"/>
              <w:rPr/>
            </w:pPr>
            <w:r>
              <w:rPr/>
              <w:t>ENE Legal</w:t>
            </w:r>
          </w:p>
        </w:tc>
        <w:tc>
          <w:tcPr>
            <w:tcW w:w="360" w:type="dxa"/>
            <w:tcBorders/>
          </w:tcPr>
          <w:p>
            <w:pPr>
              <w:pStyle w:val="Normal"/>
              <w:snapToGrid w:val="false"/>
              <w:spacing w:before="120" w:after="0"/>
              <w:rPr/>
            </w:pPr>
            <w:r>
              <w:rPr/>
            </w:r>
          </w:p>
        </w:tc>
        <w:tc>
          <w:tcPr>
            <w:tcW w:w="3420" w:type="dxa"/>
            <w:tcBorders>
              <w:top w:val="single" w:sz="6" w:space="0" w:color="000000"/>
              <w:bottom w:val="single" w:sz="6" w:space="0" w:color="000000"/>
            </w:tcBorders>
          </w:tcPr>
          <w:p>
            <w:pPr>
              <w:pStyle w:val="Normal"/>
              <w:spacing w:before="120" w:after="0"/>
              <w:rPr/>
            </w:pPr>
            <w:r>
              <w:rPr/>
              <w:t>Mark Haedicke</w:t>
            </w:r>
          </w:p>
        </w:tc>
        <w:tc>
          <w:tcPr>
            <w:tcW w:w="354" w:type="dxa"/>
            <w:tcBorders/>
          </w:tcPr>
          <w:p>
            <w:pPr>
              <w:pStyle w:val="Normal"/>
              <w:snapToGrid w:val="false"/>
              <w:spacing w:before="120" w:after="0"/>
              <w:rPr/>
            </w:pPr>
            <w:r>
              <w:rPr/>
            </w:r>
          </w:p>
        </w:tc>
        <w:tc>
          <w:tcPr>
            <w:tcW w:w="2924" w:type="dxa"/>
            <w:tcBorders>
              <w:top w:val="single" w:sz="6" w:space="0" w:color="000000"/>
              <w:bottom w:val="single" w:sz="6" w:space="0" w:color="000000"/>
            </w:tcBorders>
          </w:tcPr>
          <w:p>
            <w:pPr>
              <w:pStyle w:val="Normal"/>
              <w:snapToGrid w:val="false"/>
              <w:spacing w:before="120" w:after="0"/>
              <w:rPr/>
            </w:pPr>
            <w:r>
              <w:rPr/>
            </w:r>
          </w:p>
        </w:tc>
        <w:tc>
          <w:tcPr>
            <w:tcW w:w="293" w:type="dxa"/>
            <w:tcBorders/>
          </w:tcPr>
          <w:p>
            <w:pPr>
              <w:pStyle w:val="Normal"/>
              <w:snapToGrid w:val="false"/>
              <w:spacing w:before="120" w:after="0"/>
              <w:rPr/>
            </w:pPr>
            <w:r>
              <w:rPr/>
            </w:r>
          </w:p>
        </w:tc>
        <w:tc>
          <w:tcPr>
            <w:tcW w:w="1057" w:type="dxa"/>
            <w:tcBorders>
              <w:top w:val="single" w:sz="6" w:space="0" w:color="000000"/>
              <w:bottom w:val="single" w:sz="6" w:space="0" w:color="000000"/>
            </w:tcBorders>
          </w:tcPr>
          <w:p>
            <w:pPr>
              <w:pStyle w:val="Normal"/>
              <w:snapToGrid w:val="false"/>
              <w:spacing w:before="120" w:after="0"/>
              <w:rPr/>
            </w:pPr>
            <w:r>
              <w:rPr/>
            </w:r>
          </w:p>
        </w:tc>
      </w:tr>
      <w:tr>
        <w:trPr/>
        <w:tc>
          <w:tcPr>
            <w:tcW w:w="2088" w:type="dxa"/>
            <w:tcBorders/>
          </w:tcPr>
          <w:p>
            <w:pPr>
              <w:pStyle w:val="Normal"/>
              <w:spacing w:before="120" w:after="0"/>
              <w:rPr/>
            </w:pPr>
            <w:r>
              <w:rPr/>
              <w:t>RAC Management</w:t>
            </w:r>
          </w:p>
        </w:tc>
        <w:tc>
          <w:tcPr>
            <w:tcW w:w="360" w:type="dxa"/>
            <w:tcBorders/>
          </w:tcPr>
          <w:p>
            <w:pPr>
              <w:pStyle w:val="Normal"/>
              <w:snapToGrid w:val="false"/>
              <w:spacing w:before="120" w:after="0"/>
              <w:rPr/>
            </w:pPr>
            <w:r>
              <w:rPr/>
            </w:r>
          </w:p>
        </w:tc>
        <w:tc>
          <w:tcPr>
            <w:tcW w:w="3420" w:type="dxa"/>
            <w:tcBorders>
              <w:top w:val="single" w:sz="6" w:space="0" w:color="000000"/>
              <w:bottom w:val="single" w:sz="6" w:space="0" w:color="000000"/>
            </w:tcBorders>
          </w:tcPr>
          <w:p>
            <w:pPr>
              <w:pStyle w:val="Normal"/>
              <w:spacing w:before="120" w:after="0"/>
              <w:rPr/>
            </w:pPr>
            <w:r>
              <w:rPr/>
              <w:t>David Gorte / Rick Buy</w:t>
            </w:r>
          </w:p>
        </w:tc>
        <w:tc>
          <w:tcPr>
            <w:tcW w:w="354" w:type="dxa"/>
            <w:tcBorders/>
          </w:tcPr>
          <w:p>
            <w:pPr>
              <w:pStyle w:val="Normal"/>
              <w:snapToGrid w:val="false"/>
              <w:spacing w:before="120" w:after="0"/>
              <w:rPr/>
            </w:pPr>
            <w:r>
              <w:rPr/>
            </w:r>
          </w:p>
        </w:tc>
        <w:tc>
          <w:tcPr>
            <w:tcW w:w="2924" w:type="dxa"/>
            <w:tcBorders>
              <w:top w:val="single" w:sz="6" w:space="0" w:color="000000"/>
              <w:bottom w:val="single" w:sz="6" w:space="0" w:color="000000"/>
            </w:tcBorders>
          </w:tcPr>
          <w:p>
            <w:pPr>
              <w:pStyle w:val="Normal"/>
              <w:snapToGrid w:val="false"/>
              <w:spacing w:before="120" w:after="0"/>
              <w:rPr/>
            </w:pPr>
            <w:r>
              <w:rPr/>
            </w:r>
          </w:p>
        </w:tc>
        <w:tc>
          <w:tcPr>
            <w:tcW w:w="293" w:type="dxa"/>
            <w:tcBorders/>
          </w:tcPr>
          <w:p>
            <w:pPr>
              <w:pStyle w:val="Normal"/>
              <w:snapToGrid w:val="false"/>
              <w:spacing w:before="120" w:after="0"/>
              <w:rPr/>
            </w:pPr>
            <w:r>
              <w:rPr/>
            </w:r>
          </w:p>
        </w:tc>
        <w:tc>
          <w:tcPr>
            <w:tcW w:w="1057" w:type="dxa"/>
            <w:tcBorders>
              <w:top w:val="single" w:sz="6" w:space="0" w:color="000000"/>
            </w:tcBorders>
          </w:tcPr>
          <w:p>
            <w:pPr>
              <w:pStyle w:val="Normal"/>
              <w:snapToGrid w:val="false"/>
              <w:spacing w:before="120" w:after="0"/>
              <w:rPr/>
            </w:pPr>
            <w:r>
              <w:rPr/>
            </w:r>
          </w:p>
        </w:tc>
      </w:tr>
      <w:tr>
        <w:trPr/>
        <w:tc>
          <w:tcPr>
            <w:tcW w:w="2088" w:type="dxa"/>
            <w:tcBorders/>
          </w:tcPr>
          <w:p>
            <w:pPr>
              <w:pStyle w:val="Normal"/>
              <w:spacing w:before="120" w:after="0"/>
              <w:rPr/>
            </w:pPr>
            <w:r>
              <w:rPr/>
              <w:t xml:space="preserve">ECM Management </w:t>
            </w:r>
          </w:p>
        </w:tc>
        <w:tc>
          <w:tcPr>
            <w:tcW w:w="360" w:type="dxa"/>
            <w:tcBorders/>
          </w:tcPr>
          <w:p>
            <w:pPr>
              <w:pStyle w:val="Normal"/>
              <w:snapToGrid w:val="false"/>
              <w:spacing w:before="120" w:after="0"/>
              <w:rPr/>
            </w:pPr>
            <w:r>
              <w:rPr/>
            </w:r>
          </w:p>
        </w:tc>
        <w:tc>
          <w:tcPr>
            <w:tcW w:w="3420" w:type="dxa"/>
            <w:tcBorders>
              <w:top w:val="single" w:sz="6" w:space="0" w:color="000000"/>
              <w:bottom w:val="single" w:sz="6" w:space="0" w:color="000000"/>
            </w:tcBorders>
          </w:tcPr>
          <w:p>
            <w:pPr>
              <w:pStyle w:val="Normal"/>
              <w:spacing w:before="120" w:after="0"/>
              <w:rPr/>
            </w:pPr>
            <w:r>
              <w:rPr/>
              <w:t>Andy Fastow / Ben Glisan</w:t>
            </w:r>
          </w:p>
        </w:tc>
        <w:tc>
          <w:tcPr>
            <w:tcW w:w="354" w:type="dxa"/>
            <w:tcBorders/>
          </w:tcPr>
          <w:p>
            <w:pPr>
              <w:pStyle w:val="Normal"/>
              <w:snapToGrid w:val="false"/>
              <w:spacing w:before="120" w:after="0"/>
              <w:rPr/>
            </w:pPr>
            <w:r>
              <w:rPr/>
            </w:r>
          </w:p>
        </w:tc>
        <w:tc>
          <w:tcPr>
            <w:tcW w:w="2924" w:type="dxa"/>
            <w:tcBorders>
              <w:top w:val="single" w:sz="6" w:space="0" w:color="000000"/>
              <w:bottom w:val="single" w:sz="6" w:space="0" w:color="000000"/>
            </w:tcBorders>
          </w:tcPr>
          <w:p>
            <w:pPr>
              <w:pStyle w:val="Normal"/>
              <w:snapToGrid w:val="false"/>
              <w:spacing w:before="120" w:after="0"/>
              <w:rPr/>
            </w:pPr>
            <w:r>
              <w:rPr/>
            </w:r>
          </w:p>
        </w:tc>
        <w:tc>
          <w:tcPr>
            <w:tcW w:w="293" w:type="dxa"/>
            <w:tcBorders/>
          </w:tcPr>
          <w:p>
            <w:pPr>
              <w:pStyle w:val="Normal"/>
              <w:snapToGrid w:val="false"/>
              <w:spacing w:before="120" w:after="0"/>
              <w:rPr/>
            </w:pPr>
            <w:r>
              <w:rPr/>
            </w:r>
          </w:p>
        </w:tc>
        <w:tc>
          <w:tcPr>
            <w:tcW w:w="1057" w:type="dxa"/>
            <w:tcBorders>
              <w:top w:val="single" w:sz="6" w:space="0" w:color="000000"/>
              <w:bottom w:val="single" w:sz="6" w:space="0" w:color="000000"/>
            </w:tcBorders>
          </w:tcPr>
          <w:p>
            <w:pPr>
              <w:pStyle w:val="Normal"/>
              <w:snapToGrid w:val="false"/>
              <w:spacing w:before="120" w:after="0"/>
              <w:rPr/>
            </w:pPr>
            <w:r>
              <w:rPr/>
            </w:r>
          </w:p>
        </w:tc>
      </w:tr>
      <w:tr>
        <w:trPr/>
        <w:tc>
          <w:tcPr>
            <w:tcW w:w="2088" w:type="dxa"/>
            <w:tcBorders/>
          </w:tcPr>
          <w:p>
            <w:pPr>
              <w:pStyle w:val="Normal"/>
              <w:spacing w:before="120" w:after="0"/>
              <w:rPr>
                <w:highlight w:val="yellow"/>
              </w:rPr>
            </w:pPr>
            <w:r>
              <w:rPr/>
              <w:t>ENE CorpDevel</w:t>
            </w:r>
          </w:p>
        </w:tc>
        <w:tc>
          <w:tcPr>
            <w:tcW w:w="360" w:type="dxa"/>
            <w:tcBorders/>
          </w:tcPr>
          <w:p>
            <w:pPr>
              <w:pStyle w:val="Normal"/>
              <w:snapToGrid w:val="false"/>
              <w:spacing w:before="120" w:after="0"/>
              <w:rPr>
                <w:highlight w:val="yellow"/>
              </w:rPr>
            </w:pPr>
            <w:r>
              <w:rPr>
                <w:highlight w:val="yellow"/>
              </w:rPr>
            </w:r>
          </w:p>
        </w:tc>
        <w:tc>
          <w:tcPr>
            <w:tcW w:w="3420" w:type="dxa"/>
            <w:tcBorders>
              <w:top w:val="single" w:sz="6" w:space="0" w:color="000000"/>
              <w:bottom w:val="single" w:sz="6" w:space="0" w:color="000000"/>
            </w:tcBorders>
          </w:tcPr>
          <w:p>
            <w:pPr>
              <w:pStyle w:val="Normal"/>
              <w:spacing w:before="120" w:after="0"/>
              <w:rPr>
                <w:highlight w:val="yellow"/>
              </w:rPr>
            </w:pPr>
            <w:r>
              <w:rPr/>
              <w:t>Tim Detmering/Jeff Donahue</w:t>
            </w:r>
          </w:p>
        </w:tc>
        <w:tc>
          <w:tcPr>
            <w:tcW w:w="354" w:type="dxa"/>
            <w:tcBorders/>
          </w:tcPr>
          <w:p>
            <w:pPr>
              <w:pStyle w:val="Normal"/>
              <w:snapToGrid w:val="false"/>
              <w:spacing w:before="120" w:after="0"/>
              <w:rPr>
                <w:highlight w:val="yellow"/>
              </w:rPr>
            </w:pPr>
            <w:r>
              <w:rPr>
                <w:highlight w:val="yellow"/>
              </w:rPr>
            </w:r>
          </w:p>
        </w:tc>
        <w:tc>
          <w:tcPr>
            <w:tcW w:w="2924" w:type="dxa"/>
            <w:tcBorders>
              <w:top w:val="single" w:sz="6" w:space="0" w:color="000000"/>
              <w:bottom w:val="single" w:sz="6" w:space="0" w:color="000000"/>
            </w:tcBorders>
          </w:tcPr>
          <w:p>
            <w:pPr>
              <w:pStyle w:val="Normal"/>
              <w:snapToGrid w:val="false"/>
              <w:spacing w:before="120" w:after="0"/>
              <w:rPr/>
            </w:pPr>
            <w:r>
              <w:rPr/>
            </w:r>
          </w:p>
        </w:tc>
        <w:tc>
          <w:tcPr>
            <w:tcW w:w="293" w:type="dxa"/>
            <w:tcBorders/>
          </w:tcPr>
          <w:p>
            <w:pPr>
              <w:pStyle w:val="Normal"/>
              <w:snapToGrid w:val="false"/>
              <w:spacing w:before="120" w:after="0"/>
              <w:rPr/>
            </w:pPr>
            <w:r>
              <w:rPr/>
            </w:r>
          </w:p>
        </w:tc>
        <w:tc>
          <w:tcPr>
            <w:tcW w:w="1057" w:type="dxa"/>
            <w:tcBorders/>
          </w:tcPr>
          <w:p>
            <w:pPr>
              <w:pStyle w:val="Normal"/>
              <w:snapToGrid w:val="false"/>
              <w:spacing w:before="120" w:after="0"/>
              <w:rPr/>
            </w:pPr>
            <w:r>
              <w:rPr/>
            </w:r>
          </w:p>
        </w:tc>
      </w:tr>
      <w:tr>
        <w:trPr/>
        <w:tc>
          <w:tcPr>
            <w:tcW w:w="2088" w:type="dxa"/>
            <w:tcBorders/>
          </w:tcPr>
          <w:p>
            <w:pPr>
              <w:pStyle w:val="Normal"/>
              <w:spacing w:before="120" w:after="0"/>
              <w:rPr/>
            </w:pPr>
            <w:r>
              <w:rPr/>
              <w:t>ENE OOC</w:t>
            </w:r>
          </w:p>
        </w:tc>
        <w:tc>
          <w:tcPr>
            <w:tcW w:w="360" w:type="dxa"/>
            <w:tcBorders/>
          </w:tcPr>
          <w:p>
            <w:pPr>
              <w:pStyle w:val="Normal"/>
              <w:snapToGrid w:val="false"/>
              <w:spacing w:before="120" w:after="0"/>
              <w:rPr/>
            </w:pPr>
            <w:r>
              <w:rPr/>
            </w:r>
          </w:p>
        </w:tc>
        <w:tc>
          <w:tcPr>
            <w:tcW w:w="3420" w:type="dxa"/>
            <w:tcBorders>
              <w:top w:val="single" w:sz="6" w:space="0" w:color="000000"/>
              <w:bottom w:val="single" w:sz="4" w:space="0" w:color="000000"/>
            </w:tcBorders>
          </w:tcPr>
          <w:p>
            <w:pPr>
              <w:pStyle w:val="Normal"/>
              <w:spacing w:before="120" w:after="0"/>
              <w:rPr/>
            </w:pPr>
            <w:r>
              <w:rPr/>
              <w:t>Jeff Skilling</w:t>
            </w:r>
          </w:p>
        </w:tc>
        <w:tc>
          <w:tcPr>
            <w:tcW w:w="354" w:type="dxa"/>
            <w:tcBorders/>
          </w:tcPr>
          <w:p>
            <w:pPr>
              <w:pStyle w:val="Normal"/>
              <w:snapToGrid w:val="false"/>
              <w:spacing w:before="120" w:after="0"/>
              <w:rPr/>
            </w:pPr>
            <w:r>
              <w:rPr/>
            </w:r>
          </w:p>
        </w:tc>
        <w:tc>
          <w:tcPr>
            <w:tcW w:w="2924" w:type="dxa"/>
            <w:tcBorders>
              <w:top w:val="single" w:sz="6" w:space="0" w:color="000000"/>
              <w:bottom w:val="single" w:sz="4" w:space="0" w:color="000000"/>
            </w:tcBorders>
          </w:tcPr>
          <w:p>
            <w:pPr>
              <w:pStyle w:val="Normal"/>
              <w:snapToGrid w:val="false"/>
              <w:spacing w:before="120" w:after="0"/>
              <w:rPr/>
            </w:pPr>
            <w:r>
              <w:rPr/>
            </w:r>
          </w:p>
        </w:tc>
        <w:tc>
          <w:tcPr>
            <w:tcW w:w="293" w:type="dxa"/>
            <w:tcBorders/>
          </w:tcPr>
          <w:p>
            <w:pPr>
              <w:pStyle w:val="Normal"/>
              <w:snapToGrid w:val="false"/>
              <w:spacing w:before="120" w:after="0"/>
              <w:rPr/>
            </w:pPr>
            <w:r>
              <w:rPr/>
            </w:r>
          </w:p>
        </w:tc>
        <w:tc>
          <w:tcPr>
            <w:tcW w:w="1057" w:type="dxa"/>
            <w:tcBorders>
              <w:top w:val="single" w:sz="6" w:space="0" w:color="000000"/>
              <w:bottom w:val="single" w:sz="4" w:space="0" w:color="000000"/>
            </w:tcBorders>
          </w:tcPr>
          <w:p>
            <w:pPr>
              <w:pStyle w:val="Normal"/>
              <w:snapToGrid w:val="false"/>
              <w:spacing w:before="120" w:after="0"/>
              <w:rPr/>
            </w:pPr>
            <w:r>
              <w:rPr/>
            </w:r>
          </w:p>
        </w:tc>
      </w:tr>
    </w:tbl>
    <w:p>
      <w:pPr>
        <w:pStyle w:val="Normal"/>
        <w:rPr>
          <w:rFonts w:ascii="Arial" w:hAnsi="Arial" w:cs="Arial"/>
          <w:sz w:val="20"/>
        </w:rPr>
      </w:pPr>
      <w:r>
        <w:br w:type="page"/>
      </w:r>
      <w:r>
        <w:rPr>
          <w:rFonts w:cs="Arial" w:ascii="Arial" w:hAnsi="Arial"/>
          <w:sz w:val="20"/>
        </w:rPr>
      </w:r>
    </w:p>
    <w:p>
      <w:pPr>
        <w:pStyle w:val="Normal"/>
        <w:rPr>
          <w:rFonts w:ascii="Arial" w:hAnsi="Arial" w:cs="Arial"/>
          <w:b/>
          <w:sz w:val="20"/>
          <w:u w:val="single"/>
        </w:rPr>
      </w:pPr>
      <w:r>
        <w:rPr>
          <w:rFonts w:cs="Arial" w:ascii="Arial" w:hAnsi="Arial"/>
          <w:b/>
          <w:sz w:val="20"/>
          <w:u w:val="single"/>
        </w:rPr>
        <w:t>Global Finance Summary (addendum to DASH)</w:t>
      </w:r>
    </w:p>
    <w:p>
      <w:pPr>
        <w:pStyle w:val="Normal"/>
        <w:jc w:val="end"/>
        <w:rPr>
          <w:rFonts w:ascii="Arial" w:hAnsi="Arial" w:cs="Arial"/>
          <w:b/>
          <w:sz w:val="20"/>
          <w:u w:val="single"/>
        </w:rPr>
      </w:pPr>
      <w:r>
        <w:rPr>
          <w:rFonts w:cs="Arial" w:ascii="Arial" w:hAnsi="Arial"/>
          <w:b/>
          <w:sz w:val="20"/>
          <w:u w:val="single"/>
        </w:rPr>
      </w:r>
    </w:p>
    <w:p>
      <w:pPr>
        <w:pStyle w:val="Normal"/>
        <w:numPr>
          <w:ilvl w:val="0"/>
          <w:numId w:val="2"/>
        </w:numPr>
        <w:rPr>
          <w:rFonts w:ascii="Arial" w:hAnsi="Arial" w:cs="Arial"/>
          <w:b/>
          <w:sz w:val="20"/>
        </w:rPr>
      </w:pPr>
      <w:r>
        <w:rPr/>
        <w:t>Transaction Summary</w:t>
        <w:br/>
      </w:r>
    </w:p>
    <w:tbl>
      <w:tblPr>
        <w:tblW w:w="9900" w:type="dxa"/>
        <w:jc w:val="start"/>
        <w:tblInd w:w="378" w:type="dxa"/>
        <w:tblLayout w:type="fixed"/>
        <w:tblCellMar>
          <w:top w:w="0" w:type="dxa"/>
          <w:start w:w="108" w:type="dxa"/>
          <w:bottom w:w="0" w:type="dxa"/>
          <w:end w:w="108" w:type="dxa"/>
        </w:tblCellMar>
      </w:tblPr>
      <w:tblGrid>
        <w:gridCol w:w="7650"/>
        <w:gridCol w:w="2250"/>
      </w:tblGrid>
      <w:tr>
        <w:trPr/>
        <w:tc>
          <w:tcPr>
            <w:tcW w:w="7650" w:type="dxa"/>
            <w:tcBorders/>
          </w:tcPr>
          <w:p>
            <w:pPr>
              <w:pStyle w:val="Normal"/>
              <w:snapToGrid w:val="false"/>
              <w:rPr>
                <w:rFonts w:ascii="Arial" w:hAnsi="Arial" w:cs="Arial"/>
                <w:sz w:val="20"/>
              </w:rPr>
            </w:pPr>
            <w:r>
              <w:rPr>
                <w:rFonts w:cs="Arial" w:ascii="Arial" w:hAnsi="Arial"/>
                <w:sz w:val="20"/>
              </w:rPr>
            </w:r>
          </w:p>
        </w:tc>
        <w:tc>
          <w:tcPr>
            <w:tcW w:w="2250" w:type="dxa"/>
            <w:tcBorders>
              <w:bottom w:val="single" w:sz="4" w:space="0" w:color="000000"/>
            </w:tcBorders>
          </w:tcPr>
          <w:p>
            <w:pPr>
              <w:pStyle w:val="Normal"/>
              <w:jc w:val="end"/>
              <w:rPr>
                <w:rFonts w:ascii="Arial" w:hAnsi="Arial" w:cs="Arial"/>
                <w:sz w:val="20"/>
              </w:rPr>
            </w:pPr>
            <w:r>
              <w:rPr>
                <w:rFonts w:cs="Arial" w:ascii="Arial" w:hAnsi="Arial"/>
                <w:sz w:val="20"/>
              </w:rPr>
              <w:t>Amount ($000s)</w:t>
            </w:r>
          </w:p>
        </w:tc>
      </w:tr>
      <w:tr>
        <w:trPr/>
        <w:tc>
          <w:tcPr>
            <w:tcW w:w="7650" w:type="dxa"/>
            <w:tcBorders/>
          </w:tcPr>
          <w:p>
            <w:pPr>
              <w:pStyle w:val="Normal"/>
              <w:rPr>
                <w:rFonts w:ascii="Arial" w:hAnsi="Arial" w:cs="Arial"/>
                <w:sz w:val="20"/>
              </w:rPr>
            </w:pPr>
            <w:r>
              <w:rPr>
                <w:rFonts w:cs="Arial" w:ascii="Arial" w:hAnsi="Arial"/>
                <w:sz w:val="20"/>
              </w:rPr>
              <w:t>Total Deal/Project Capital Commitment</w:t>
            </w:r>
          </w:p>
        </w:tc>
        <w:tc>
          <w:tcPr>
            <w:tcW w:w="2250" w:type="dxa"/>
            <w:tcBorders/>
          </w:tcPr>
          <w:p>
            <w:pPr>
              <w:pStyle w:val="Normal"/>
              <w:snapToGrid w:val="false"/>
              <w:jc w:val="end"/>
              <w:rPr>
                <w:rFonts w:ascii="Arial" w:hAnsi="Arial" w:cs="Arial"/>
                <w:sz w:val="20"/>
              </w:rPr>
            </w:pPr>
            <w:r>
              <w:rPr>
                <w:rFonts w:cs="Arial" w:ascii="Arial" w:hAnsi="Arial"/>
                <w:sz w:val="20"/>
              </w:rPr>
            </w:r>
          </w:p>
        </w:tc>
      </w:tr>
      <w:tr>
        <w:trPr/>
        <w:tc>
          <w:tcPr>
            <w:tcW w:w="7650" w:type="dxa"/>
            <w:tcBorders/>
          </w:tcPr>
          <w:p>
            <w:pPr>
              <w:pStyle w:val="Normal"/>
              <w:rPr>
                <w:rFonts w:ascii="Arial" w:hAnsi="Arial" w:cs="Arial"/>
                <w:sz w:val="20"/>
              </w:rPr>
            </w:pPr>
            <w:r>
              <w:rPr>
                <w:rFonts w:cs="Arial" w:ascii="Arial" w:hAnsi="Arial"/>
                <w:sz w:val="20"/>
              </w:rPr>
              <w:t>Less: Financing</w:t>
            </w:r>
          </w:p>
        </w:tc>
        <w:tc>
          <w:tcPr>
            <w:tcW w:w="2250" w:type="dxa"/>
            <w:tcBorders/>
          </w:tcPr>
          <w:p>
            <w:pPr>
              <w:pStyle w:val="Normal"/>
              <w:snapToGrid w:val="false"/>
              <w:jc w:val="end"/>
              <w:rPr>
                <w:rFonts w:ascii="Arial" w:hAnsi="Arial" w:cs="Arial"/>
                <w:sz w:val="20"/>
              </w:rPr>
            </w:pPr>
            <w:r>
              <w:rPr>
                <w:rFonts w:cs="Arial" w:ascii="Arial" w:hAnsi="Arial"/>
                <w:sz w:val="20"/>
              </w:rPr>
            </w:r>
          </w:p>
        </w:tc>
      </w:tr>
      <w:tr>
        <w:trPr/>
        <w:tc>
          <w:tcPr>
            <w:tcW w:w="7650" w:type="dxa"/>
            <w:tcBorders/>
          </w:tcPr>
          <w:p>
            <w:pPr>
              <w:pStyle w:val="Normal"/>
              <w:rPr>
                <w:rFonts w:ascii="Arial" w:hAnsi="Arial" w:cs="Arial"/>
                <w:sz w:val="20"/>
              </w:rPr>
            </w:pPr>
            <w:r>
              <w:rPr>
                <w:rFonts w:cs="Arial" w:ascii="Arial" w:hAnsi="Arial"/>
                <w:sz w:val="20"/>
              </w:rPr>
              <w:t>Less: Syndications</w:t>
            </w:r>
          </w:p>
        </w:tc>
        <w:tc>
          <w:tcPr>
            <w:tcW w:w="2250" w:type="dxa"/>
            <w:tcBorders/>
          </w:tcPr>
          <w:p>
            <w:pPr>
              <w:pStyle w:val="Normal"/>
              <w:snapToGrid w:val="false"/>
              <w:jc w:val="end"/>
              <w:rPr>
                <w:rFonts w:ascii="Arial" w:hAnsi="Arial" w:cs="Arial"/>
                <w:sz w:val="20"/>
              </w:rPr>
            </w:pPr>
            <w:r>
              <w:rPr>
                <w:rFonts w:cs="Arial" w:ascii="Arial" w:hAnsi="Arial"/>
                <w:sz w:val="20"/>
              </w:rPr>
            </w:r>
          </w:p>
        </w:tc>
      </w:tr>
      <w:tr>
        <w:trPr/>
        <w:tc>
          <w:tcPr>
            <w:tcW w:w="7650" w:type="dxa"/>
            <w:tcBorders/>
          </w:tcPr>
          <w:p>
            <w:pPr>
              <w:pStyle w:val="Normal"/>
              <w:rPr>
                <w:rFonts w:ascii="Arial" w:hAnsi="Arial" w:cs="Arial"/>
                <w:sz w:val="20"/>
              </w:rPr>
            </w:pPr>
            <w:r>
              <w:rPr>
                <w:rFonts w:cs="Arial" w:ascii="Arial" w:hAnsi="Arial"/>
                <w:sz w:val="20"/>
              </w:rPr>
              <w:t>Net Enron Investment</w:t>
            </w:r>
          </w:p>
        </w:tc>
        <w:tc>
          <w:tcPr>
            <w:tcW w:w="2250" w:type="dxa"/>
            <w:tcBorders>
              <w:top w:val="single" w:sz="4" w:space="0" w:color="000000"/>
              <w:bottom w:val="single" w:sz="4" w:space="0" w:color="000000"/>
            </w:tcBorders>
          </w:tcPr>
          <w:p>
            <w:pPr>
              <w:pStyle w:val="Normal"/>
              <w:jc w:val="end"/>
              <w:rPr>
                <w:rFonts w:ascii="Arial" w:hAnsi="Arial" w:cs="Arial"/>
                <w:sz w:val="20"/>
              </w:rPr>
            </w:pPr>
            <w:r>
              <w:fldChar w:fldCharType="begin"/>
            </w:r>
            <w:r>
              <w:rPr>
                <w:sz w:val="20"/>
                <w:rFonts w:cs="Arial" w:ascii="Arial" w:hAnsi="Arial"/>
                <w:lang w:val="en-CA" w:eastAsia="en-CA"/>
              </w:rPr>
              <w:instrText xml:space="preserve"> =SUM(ABOVE) \# "$#,##0;($#,##0)" </w:instrText>
            </w:r>
            <w:r>
              <w:rPr>
                <w:rFonts w:cs="Arial" w:ascii="Arial" w:hAnsi="Arial"/>
                <w:sz w:val="20"/>
                <w:lang w:val="en-CA" w:eastAsia="en-CA"/>
              </w:rPr>
            </w:r>
            <w:r>
              <w:rPr>
                <w:sz w:val="20"/>
                <w:rFonts w:cs="Arial" w:ascii="Arial" w:hAnsi="Arial"/>
                <w:lang w:val="en-CA" w:eastAsia="en-CA"/>
              </w:rPr>
              <w:fldChar w:fldCharType="separate"/>
            </w:r>
            <w:r>
              <w:rPr>
                <w:rFonts w:cs="Arial" w:ascii="Arial" w:hAnsi="Arial"/>
                <w:sz w:val="20"/>
                <w:lang w:val="en-CA" w:eastAsia="en-CA"/>
              </w:rPr>
              <w:t>$   0</w:t>
            </w:r>
            <w:r/>
            <w:r>
              <w:rPr>
                <w:sz w:val="20"/>
                <w:rFonts w:cs="Arial" w:ascii="Arial" w:hAnsi="Arial"/>
                <w:lang w:val="en-CA" w:eastAsia="en-CA"/>
              </w:rPr>
              <w:fldChar w:fldCharType="end"/>
            </w:r>
            <w:r>
              <w:rPr>
                <w:rFonts w:cs="Arial" w:ascii="Arial" w:hAnsi="Arial"/>
                <w:sz w:val="20"/>
                <w:lang w:val="en-CA" w:eastAsia="en-CA"/>
              </w:rPr>
            </w:r>
          </w:p>
        </w:tc>
      </w:tr>
      <w:tr>
        <w:trPr>
          <w:trHeight w:val="60" w:hRule="exact"/>
        </w:trPr>
        <w:tc>
          <w:tcPr>
            <w:tcW w:w="7650" w:type="dxa"/>
            <w:tcBorders/>
          </w:tcPr>
          <w:p>
            <w:pPr>
              <w:pStyle w:val="Normal"/>
              <w:snapToGrid w:val="false"/>
              <w:rPr>
                <w:rFonts w:ascii="Arial" w:hAnsi="Arial" w:cs="Arial"/>
                <w:sz w:val="20"/>
              </w:rPr>
            </w:pPr>
            <w:r>
              <w:rPr>
                <w:rFonts w:cs="Arial" w:ascii="Arial" w:hAnsi="Arial"/>
                <w:sz w:val="20"/>
              </w:rPr>
            </w:r>
          </w:p>
        </w:tc>
        <w:tc>
          <w:tcPr>
            <w:tcW w:w="2250" w:type="dxa"/>
            <w:tcBorders>
              <w:top w:val="single" w:sz="4" w:space="0" w:color="000000"/>
              <w:bottom w:val="single" w:sz="4" w:space="0" w:color="000000"/>
            </w:tcBorders>
          </w:tcPr>
          <w:p>
            <w:pPr>
              <w:pStyle w:val="Normal"/>
              <w:snapToGrid w:val="false"/>
              <w:jc w:val="end"/>
              <w:rPr>
                <w:rFonts w:ascii="Arial" w:hAnsi="Arial" w:cs="Arial"/>
                <w:sz w:val="20"/>
              </w:rPr>
            </w:pPr>
            <w:r>
              <w:rPr>
                <w:rFonts w:cs="Arial" w:ascii="Arial" w:hAnsi="Arial"/>
                <w:sz w:val="20"/>
              </w:rPr>
            </w:r>
          </w:p>
        </w:tc>
      </w:tr>
      <w:tr>
        <w:trPr>
          <w:trHeight w:val="23" w:hRule="exact"/>
        </w:trPr>
        <w:tc>
          <w:tcPr>
            <w:tcW w:w="7650" w:type="dxa"/>
            <w:tcBorders/>
          </w:tcPr>
          <w:p>
            <w:pPr>
              <w:pStyle w:val="Normal"/>
              <w:snapToGrid w:val="false"/>
              <w:rPr>
                <w:rFonts w:ascii="Arial" w:hAnsi="Arial" w:cs="Arial"/>
                <w:sz w:val="20"/>
              </w:rPr>
            </w:pPr>
            <w:r>
              <w:rPr>
                <w:rFonts w:cs="Arial" w:ascii="Arial" w:hAnsi="Arial"/>
                <w:sz w:val="20"/>
              </w:rPr>
            </w:r>
          </w:p>
        </w:tc>
        <w:tc>
          <w:tcPr>
            <w:tcW w:w="2250" w:type="dxa"/>
            <w:tcBorders/>
          </w:tcPr>
          <w:p>
            <w:pPr>
              <w:pStyle w:val="Normal"/>
              <w:jc w:val="end"/>
              <w:rPr>
                <w:rFonts w:ascii="Arial" w:hAnsi="Arial" w:cs="Arial"/>
                <w:sz w:val="20"/>
              </w:rPr>
            </w:pPr>
            <w:r>
              <w:rPr>
                <w:rFonts w:cs="Arial" w:ascii="Arial" w:hAnsi="Arial"/>
                <w:sz w:val="20"/>
              </w:rPr>
              <w:br/>
            </w:r>
          </w:p>
        </w:tc>
      </w:tr>
    </w:tbl>
    <w:p>
      <w:pPr>
        <w:pStyle w:val="Normal"/>
        <w:rPr>
          <w:rFonts w:ascii="Arial" w:hAnsi="Arial" w:cs="Arial"/>
          <w:sz w:val="20"/>
        </w:rPr>
      </w:pPr>
      <w:r>
        <w:rPr>
          <w:rFonts w:cs="Arial" w:ascii="Arial" w:hAnsi="Arial"/>
          <w:sz w:val="20"/>
        </w:rPr>
      </w:r>
    </w:p>
    <w:p>
      <w:pPr>
        <w:pStyle w:val="Normal"/>
        <w:numPr>
          <w:ilvl w:val="0"/>
          <w:numId w:val="7"/>
        </w:numPr>
        <w:rPr>
          <w:rFonts w:ascii="Arial" w:hAnsi="Arial" w:cs="Arial"/>
          <w:sz w:val="20"/>
        </w:rPr>
      </w:pPr>
      <w:r>
        <w:rPr>
          <w:rFonts w:cs="Arial" w:ascii="Arial" w:hAnsi="Arial"/>
          <w:b/>
          <w:sz w:val="20"/>
        </w:rPr>
        <w:t>Investment terms and pricing:</w:t>
      </w:r>
      <w:r>
        <w:rPr>
          <w:rFonts w:cs="Arial" w:ascii="Arial" w:hAnsi="Arial"/>
          <w:sz w:val="20"/>
        </w:rPr>
        <w:tab/>
        <w:tab/>
      </w:r>
      <w:r>
        <w:rPr>
          <w:rFonts w:cs="Arial" w:ascii="Arial" w:hAnsi="Arial"/>
          <w:b/>
          <w:bCs/>
          <w:sz w:val="20"/>
        </w:rPr>
        <w:t>Market</w:t>
      </w:r>
      <w:r>
        <w:rPr>
          <w:rFonts w:cs="Arial" w:ascii="Arial" w:hAnsi="Arial"/>
          <w:sz w:val="20"/>
        </w:rPr>
        <w:t>,</w:t>
      </w:r>
      <w:r>
        <w:rPr>
          <w:rFonts w:cs="Arial" w:ascii="Arial" w:hAnsi="Arial"/>
          <w:b/>
          <w:bCs/>
          <w:sz w:val="20"/>
        </w:rPr>
        <w:t xml:space="preserve"> Above Market </w:t>
      </w:r>
      <w:r>
        <w:rPr>
          <w:rFonts w:cs="Arial" w:ascii="Arial" w:hAnsi="Arial"/>
          <w:sz w:val="20"/>
        </w:rPr>
        <w:t>or</w:t>
      </w:r>
      <w:r>
        <w:rPr>
          <w:rFonts w:cs="Arial" w:ascii="Arial" w:hAnsi="Arial"/>
          <w:b/>
          <w:bCs/>
          <w:sz w:val="20"/>
        </w:rPr>
        <w:t xml:space="preserve"> Below Market</w:t>
      </w:r>
      <w:r>
        <w:rPr>
          <w:rFonts w:cs="Arial" w:ascii="Arial" w:hAnsi="Arial"/>
          <w:sz w:val="20"/>
        </w:rPr>
        <w:br/>
        <w:br/>
        <w:t>Describe (if necessary):</w:t>
        <w:br/>
        <w:br/>
        <w:br/>
      </w:r>
    </w:p>
    <w:p>
      <w:pPr>
        <w:pStyle w:val="Normal"/>
        <w:numPr>
          <w:ilvl w:val="0"/>
          <w:numId w:val="7"/>
        </w:numPr>
        <w:rPr>
          <w:rFonts w:ascii="Arial" w:hAnsi="Arial" w:cs="Arial"/>
          <w:sz w:val="20"/>
        </w:rPr>
      </w:pPr>
      <w:r>
        <w:rPr>
          <w:rFonts w:cs="Arial" w:ascii="Arial" w:hAnsi="Arial"/>
          <w:b/>
          <w:sz w:val="20"/>
        </w:rPr>
        <w:t>Financing terms and pricing:</w:t>
      </w:r>
      <w:r>
        <w:rPr>
          <w:rFonts w:cs="Arial" w:ascii="Arial" w:hAnsi="Arial"/>
          <w:sz w:val="20"/>
        </w:rPr>
        <w:tab/>
        <w:tab/>
      </w:r>
      <w:r>
        <w:rPr>
          <w:rFonts w:cs="Arial" w:ascii="Arial" w:hAnsi="Arial"/>
          <w:b/>
          <w:bCs/>
          <w:sz w:val="20"/>
        </w:rPr>
        <w:t>Market</w:t>
      </w:r>
      <w:r>
        <w:rPr>
          <w:rFonts w:cs="Arial" w:ascii="Arial" w:hAnsi="Arial"/>
          <w:sz w:val="20"/>
        </w:rPr>
        <w:t>,</w:t>
      </w:r>
      <w:r>
        <w:rPr>
          <w:rFonts w:cs="Arial" w:ascii="Arial" w:hAnsi="Arial"/>
          <w:b/>
          <w:bCs/>
          <w:sz w:val="20"/>
        </w:rPr>
        <w:t xml:space="preserve"> Above Market </w:t>
      </w:r>
      <w:r>
        <w:rPr>
          <w:rFonts w:cs="Arial" w:ascii="Arial" w:hAnsi="Arial"/>
          <w:sz w:val="20"/>
        </w:rPr>
        <w:t>or</w:t>
      </w:r>
      <w:r>
        <w:rPr>
          <w:rFonts w:cs="Arial" w:ascii="Arial" w:hAnsi="Arial"/>
          <w:b/>
          <w:bCs/>
          <w:sz w:val="20"/>
        </w:rPr>
        <w:t xml:space="preserve"> Below Market</w:t>
      </w:r>
      <w:r>
        <w:rPr>
          <w:rFonts w:cs="Arial" w:ascii="Arial" w:hAnsi="Arial"/>
          <w:sz w:val="20"/>
        </w:rPr>
        <w:br/>
        <w:br/>
        <w:t>Describe (if necessary):</w:t>
        <w:br/>
        <w:br/>
        <w:br/>
      </w:r>
    </w:p>
    <w:p>
      <w:pPr>
        <w:pStyle w:val="Normal"/>
        <w:numPr>
          <w:ilvl w:val="0"/>
          <w:numId w:val="7"/>
        </w:numPr>
        <w:rPr>
          <w:rFonts w:ascii="Arial" w:hAnsi="Arial" w:cs="Arial"/>
          <w:sz w:val="20"/>
        </w:rPr>
      </w:pPr>
      <w:r>
        <w:rPr>
          <w:rFonts w:cs="Arial" w:ascii="Arial" w:hAnsi="Arial"/>
          <w:b/>
          <w:sz w:val="20"/>
        </w:rPr>
        <w:t>Legal or practical liquidity restrictions:</w:t>
      </w:r>
      <w:r>
        <w:rPr>
          <w:rFonts w:cs="Arial" w:ascii="Arial" w:hAnsi="Arial"/>
          <w:sz w:val="20"/>
        </w:rPr>
        <w:tab/>
      </w:r>
      <w:r>
        <w:rPr>
          <w:rFonts w:cs="Arial" w:ascii="Arial" w:hAnsi="Arial"/>
          <w:b/>
          <w:bCs/>
          <w:sz w:val="20"/>
        </w:rPr>
        <w:t>Unrestricted</w:t>
      </w:r>
      <w:r>
        <w:rPr>
          <w:rFonts w:cs="Arial" w:ascii="Arial" w:hAnsi="Arial"/>
          <w:sz w:val="20"/>
        </w:rPr>
        <w:t>,</w:t>
      </w:r>
      <w:r>
        <w:rPr>
          <w:rFonts w:cs="Arial" w:ascii="Arial" w:hAnsi="Arial"/>
          <w:b/>
          <w:bCs/>
          <w:sz w:val="20"/>
        </w:rPr>
        <w:t xml:space="preserve"> Legally Restricted </w:t>
      </w:r>
      <w:r>
        <w:rPr>
          <w:rFonts w:cs="Arial" w:ascii="Arial" w:hAnsi="Arial"/>
          <w:sz w:val="20"/>
        </w:rPr>
        <w:t>or</w:t>
      </w:r>
      <w:r>
        <w:rPr>
          <w:rFonts w:cs="Arial" w:ascii="Arial" w:hAnsi="Arial"/>
          <w:b/>
          <w:bCs/>
          <w:sz w:val="20"/>
        </w:rPr>
        <w:t xml:space="preserve"> Practically Restricted</w:t>
      </w:r>
      <w:r>
        <w:rPr>
          <w:rFonts w:cs="Arial" w:ascii="Arial" w:hAnsi="Arial"/>
          <w:sz w:val="20"/>
        </w:rPr>
        <w:br/>
      </w:r>
    </w:p>
    <w:p>
      <w:pPr>
        <w:pStyle w:val="Normal"/>
        <w:ind w:firstLine="360" w:end="0"/>
        <w:rPr>
          <w:rFonts w:ascii="Arial" w:hAnsi="Arial" w:cs="Arial"/>
          <w:sz w:val="20"/>
        </w:rPr>
      </w:pPr>
      <w:r>
        <w:rPr>
          <w:rFonts w:cs="Arial" w:ascii="Arial" w:hAnsi="Arial"/>
          <w:sz w:val="20"/>
        </w:rPr>
        <w:t xml:space="preserve">Describe (if necessary):  </w:t>
        <w:br/>
        <w:br/>
      </w:r>
    </w:p>
    <w:p>
      <w:pPr>
        <w:pStyle w:val="Normal"/>
        <w:numPr>
          <w:ilvl w:val="0"/>
          <w:numId w:val="7"/>
        </w:numPr>
        <w:rPr>
          <w:rFonts w:ascii="Arial" w:hAnsi="Arial" w:cs="Arial"/>
          <w:sz w:val="20"/>
        </w:rPr>
      </w:pPr>
      <w:r>
        <w:rPr>
          <w:rFonts w:cs="Arial" w:ascii="Arial" w:hAnsi="Arial"/>
          <w:b/>
          <w:sz w:val="20"/>
        </w:rPr>
        <w:t>Any recourse to Enron (other than investment):</w:t>
      </w:r>
      <w:r>
        <w:rPr>
          <w:rFonts w:cs="Arial" w:ascii="Arial" w:hAnsi="Arial"/>
          <w:sz w:val="20"/>
        </w:rPr>
        <w:tab/>
        <w:tab/>
      </w:r>
      <w:r>
        <w:rPr>
          <w:rFonts w:cs="Arial" w:ascii="Arial" w:hAnsi="Arial"/>
          <w:b/>
          <w:bCs/>
          <w:sz w:val="20"/>
        </w:rPr>
        <w:t xml:space="preserve">Recourse </w:t>
      </w:r>
      <w:r>
        <w:rPr>
          <w:rFonts w:cs="Arial" w:ascii="Arial" w:hAnsi="Arial"/>
          <w:sz w:val="20"/>
        </w:rPr>
        <w:t>or</w:t>
      </w:r>
      <w:r>
        <w:rPr>
          <w:rFonts w:cs="Arial" w:ascii="Arial" w:hAnsi="Arial"/>
          <w:b/>
          <w:bCs/>
          <w:sz w:val="20"/>
        </w:rPr>
        <w:t xml:space="preserve"> No Recourse</w:t>
      </w:r>
      <w:r>
        <w:rPr>
          <w:rFonts w:cs="Arial" w:ascii="Arial" w:hAnsi="Arial"/>
          <w:sz w:val="20"/>
        </w:rPr>
        <w:br/>
        <w:br/>
        <w:t>Describe (if any):</w:t>
        <w:br/>
        <w:br/>
        <w:br/>
      </w:r>
    </w:p>
    <w:p>
      <w:pPr>
        <w:pStyle w:val="Normal"/>
        <w:numPr>
          <w:ilvl w:val="0"/>
          <w:numId w:val="5"/>
        </w:numPr>
        <w:rPr>
          <w:rFonts w:ascii="Arial" w:hAnsi="Arial" w:cs="Arial"/>
          <w:sz w:val="20"/>
        </w:rPr>
      </w:pPr>
      <w:r>
        <w:rPr>
          <w:rFonts w:cs="Arial" w:ascii="Arial" w:hAnsi="Arial"/>
          <w:b/>
          <w:sz w:val="20"/>
        </w:rPr>
        <w:t>Business unit intent to syndicate:</w:t>
      </w:r>
      <w:r>
        <w:rPr>
          <w:rFonts w:cs="Arial" w:ascii="Arial" w:hAnsi="Arial"/>
          <w:sz w:val="20"/>
        </w:rPr>
        <w:tab/>
        <w:tab/>
      </w:r>
      <w:r>
        <w:rPr>
          <w:rFonts w:cs="Arial" w:ascii="Arial" w:hAnsi="Arial"/>
          <w:b/>
          <w:bCs/>
          <w:sz w:val="20"/>
        </w:rPr>
        <w:t>None</w:t>
      </w:r>
      <w:r>
        <w:rPr>
          <w:rFonts w:cs="Arial" w:ascii="Arial" w:hAnsi="Arial"/>
          <w:sz w:val="20"/>
        </w:rPr>
        <w:t>,</w:t>
      </w:r>
      <w:r>
        <w:rPr>
          <w:rFonts w:cs="Arial" w:ascii="Arial" w:hAnsi="Arial"/>
          <w:b/>
          <w:bCs/>
          <w:sz w:val="20"/>
        </w:rPr>
        <w:t xml:space="preserve"> Partial </w:t>
      </w:r>
      <w:r>
        <w:rPr>
          <w:rFonts w:cs="Arial" w:ascii="Arial" w:hAnsi="Arial"/>
          <w:sz w:val="20"/>
        </w:rPr>
        <w:t>or</w:t>
      </w:r>
      <w:r>
        <w:rPr>
          <w:rFonts w:cs="Arial" w:ascii="Arial" w:hAnsi="Arial"/>
          <w:b/>
          <w:bCs/>
          <w:sz w:val="20"/>
        </w:rPr>
        <w:t xml:space="preserve"> All</w:t>
      </w:r>
      <w:r>
        <w:rPr>
          <w:rFonts w:cs="Arial" w:ascii="Arial" w:hAnsi="Arial"/>
          <w:sz w:val="20"/>
        </w:rPr>
        <w:br/>
        <w:br/>
        <w:t>Describe (if necessary):</w:t>
        <w:br/>
        <w:br/>
      </w:r>
    </w:p>
    <w:p>
      <w:pPr>
        <w:pStyle w:val="Normal"/>
        <w:rPr>
          <w:rFonts w:ascii="Arial" w:hAnsi="Arial" w:cs="Arial"/>
          <w:sz w:val="20"/>
        </w:rPr>
      </w:pPr>
      <w:r>
        <w:rPr>
          <w:rFonts w:cs="Arial" w:ascii="Arial" w:hAnsi="Arial"/>
          <w:sz w:val="20"/>
        </w:rPr>
      </w:r>
    </w:p>
    <w:p>
      <w:pPr>
        <w:pStyle w:val="Normal"/>
        <w:numPr>
          <w:ilvl w:val="0"/>
          <w:numId w:val="8"/>
        </w:numPr>
        <w:rPr>
          <w:rFonts w:ascii="Arial" w:hAnsi="Arial" w:cs="Arial"/>
          <w:sz w:val="20"/>
        </w:rPr>
      </w:pPr>
      <w:r>
        <w:rPr>
          <w:rFonts w:cs="Arial" w:ascii="Arial" w:hAnsi="Arial"/>
          <w:b/>
          <w:sz w:val="20"/>
        </w:rPr>
        <w:t>Intended Enron hold period:</w:t>
        <w:tab/>
        <w:tab/>
        <w:tab/>
      </w:r>
    </w:p>
    <w:p>
      <w:pPr>
        <w:pStyle w:val="Normal"/>
        <w:rPr>
          <w:rFonts w:ascii="Arial" w:hAnsi="Arial" w:cs="Arial"/>
          <w:sz w:val="20"/>
        </w:rPr>
      </w:pPr>
      <w:r>
        <w:rPr>
          <w:rFonts w:cs="Arial" w:ascii="Arial" w:hAnsi="Arial"/>
          <w:sz w:val="20"/>
        </w:rPr>
        <w:br/>
      </w:r>
    </w:p>
    <w:p>
      <w:pPr>
        <w:pStyle w:val="Normal"/>
        <w:numPr>
          <w:ilvl w:val="0"/>
          <w:numId w:val="4"/>
        </w:numPr>
        <w:rPr>
          <w:rFonts w:ascii="Arial" w:hAnsi="Arial" w:cs="Arial"/>
          <w:sz w:val="20"/>
        </w:rPr>
      </w:pPr>
      <w:r>
        <w:rPr>
          <w:rFonts w:cs="Arial" w:ascii="Arial" w:hAnsi="Arial"/>
          <w:b/>
          <w:sz w:val="20"/>
        </w:rPr>
        <w:t>Likely Syndication Market:</w:t>
      </w:r>
      <w:r>
        <w:rPr/>
        <w:tab/>
      </w:r>
    </w:p>
    <w:tbl>
      <w:tblPr>
        <w:tblW w:w="6559" w:type="dxa"/>
        <w:jc w:val="center"/>
        <w:tblInd w:w="0" w:type="dxa"/>
        <w:tblLayout w:type="fixed"/>
        <w:tblCellMar>
          <w:top w:w="0" w:type="dxa"/>
          <w:start w:w="108" w:type="dxa"/>
          <w:bottom w:w="0" w:type="dxa"/>
          <w:end w:w="108" w:type="dxa"/>
        </w:tblCellMar>
      </w:tblPr>
      <w:tblGrid>
        <w:gridCol w:w="533"/>
        <w:gridCol w:w="2750"/>
        <w:gridCol w:w="526"/>
        <w:gridCol w:w="2750"/>
      </w:tblGrid>
      <w:tr>
        <w:trPr/>
        <w:tc>
          <w:tcPr>
            <w:tcW w:w="533" w:type="dxa"/>
            <w:tcBorders>
              <w:bottom w:val="single" w:sz="4" w:space="0" w:color="000000"/>
            </w:tcBorders>
          </w:tcPr>
          <w:p>
            <w:pPr>
              <w:pStyle w:val="Normal"/>
              <w:snapToGrid w:val="false"/>
              <w:jc w:val="center"/>
              <w:rPr>
                <w:rFonts w:ascii="Arial" w:hAnsi="Arial" w:cs="Arial"/>
                <w:b/>
                <w:sz w:val="20"/>
              </w:rPr>
            </w:pPr>
            <w:r>
              <w:rPr>
                <w:rFonts w:cs="Arial" w:ascii="Arial" w:hAnsi="Arial"/>
                <w:b/>
                <w:sz w:val="20"/>
              </w:rPr>
            </w:r>
          </w:p>
        </w:tc>
        <w:tc>
          <w:tcPr>
            <w:tcW w:w="2750" w:type="dxa"/>
            <w:tcBorders/>
          </w:tcPr>
          <w:p>
            <w:pPr>
              <w:pStyle w:val="Normal"/>
              <w:rPr>
                <w:rFonts w:ascii="Arial" w:hAnsi="Arial" w:cs="Arial"/>
                <w:sz w:val="20"/>
              </w:rPr>
            </w:pPr>
            <w:r>
              <w:rPr>
                <w:rFonts w:cs="Arial" w:ascii="Arial" w:hAnsi="Arial"/>
                <w:b/>
                <w:sz w:val="20"/>
              </w:rPr>
              <w:t>Industry/Strategic Partner</w:t>
            </w:r>
          </w:p>
        </w:tc>
        <w:tc>
          <w:tcPr>
            <w:tcW w:w="526" w:type="dxa"/>
            <w:tcBorders>
              <w:bottom w:val="single" w:sz="4" w:space="0" w:color="000000"/>
            </w:tcBorders>
          </w:tcPr>
          <w:p>
            <w:pPr>
              <w:pStyle w:val="Normal"/>
              <w:snapToGrid w:val="false"/>
              <w:jc w:val="center"/>
              <w:rPr>
                <w:rFonts w:ascii="Arial" w:hAnsi="Arial" w:cs="Arial"/>
                <w:b/>
                <w:sz w:val="20"/>
              </w:rPr>
            </w:pPr>
            <w:r>
              <w:rPr>
                <w:rFonts w:cs="Arial" w:ascii="Arial" w:hAnsi="Arial"/>
                <w:b/>
                <w:sz w:val="20"/>
              </w:rPr>
            </w:r>
          </w:p>
        </w:tc>
        <w:tc>
          <w:tcPr>
            <w:tcW w:w="2750" w:type="dxa"/>
            <w:tcBorders/>
          </w:tcPr>
          <w:p>
            <w:pPr>
              <w:pStyle w:val="Normal"/>
              <w:rPr>
                <w:rFonts w:ascii="Arial" w:hAnsi="Arial" w:cs="Arial"/>
                <w:sz w:val="20"/>
              </w:rPr>
            </w:pPr>
            <w:r>
              <w:rPr>
                <w:rFonts w:cs="Arial" w:ascii="Arial" w:hAnsi="Arial"/>
                <w:b/>
                <w:sz w:val="20"/>
              </w:rPr>
              <w:t>Direct Private Equity</w:t>
            </w:r>
          </w:p>
        </w:tc>
      </w:tr>
      <w:tr>
        <w:trPr/>
        <w:tc>
          <w:tcPr>
            <w:tcW w:w="533" w:type="dxa"/>
            <w:tcBorders>
              <w:top w:val="single" w:sz="4" w:space="0" w:color="000000"/>
              <w:bottom w:val="single" w:sz="4" w:space="0" w:color="000000"/>
            </w:tcBorders>
          </w:tcPr>
          <w:p>
            <w:pPr>
              <w:pStyle w:val="Normal"/>
              <w:snapToGrid w:val="false"/>
              <w:jc w:val="center"/>
              <w:rPr>
                <w:rFonts w:ascii="Arial" w:hAnsi="Arial" w:cs="Arial"/>
                <w:b/>
                <w:sz w:val="20"/>
              </w:rPr>
            </w:pPr>
            <w:r>
              <w:rPr>
                <w:rFonts w:cs="Arial" w:ascii="Arial" w:hAnsi="Arial"/>
                <w:b/>
                <w:sz w:val="20"/>
              </w:rPr>
            </w:r>
          </w:p>
        </w:tc>
        <w:tc>
          <w:tcPr>
            <w:tcW w:w="2750" w:type="dxa"/>
            <w:tcBorders/>
          </w:tcPr>
          <w:p>
            <w:pPr>
              <w:pStyle w:val="Normal"/>
              <w:rPr>
                <w:rFonts w:ascii="Arial" w:hAnsi="Arial" w:cs="Arial"/>
                <w:sz w:val="20"/>
              </w:rPr>
            </w:pPr>
            <w:r>
              <w:rPr>
                <w:rFonts w:cs="Arial" w:ascii="Arial" w:hAnsi="Arial"/>
                <w:b/>
                <w:sz w:val="20"/>
              </w:rPr>
              <w:t>Capital Markets</w:t>
            </w:r>
          </w:p>
        </w:tc>
        <w:tc>
          <w:tcPr>
            <w:tcW w:w="526" w:type="dxa"/>
            <w:tcBorders>
              <w:top w:val="single" w:sz="4" w:space="0" w:color="000000"/>
              <w:bottom w:val="single" w:sz="4" w:space="0" w:color="000000"/>
            </w:tcBorders>
          </w:tcPr>
          <w:p>
            <w:pPr>
              <w:pStyle w:val="Normal"/>
              <w:snapToGrid w:val="false"/>
              <w:jc w:val="center"/>
              <w:rPr>
                <w:rFonts w:ascii="Arial" w:hAnsi="Arial" w:cs="Arial"/>
                <w:b/>
                <w:sz w:val="20"/>
              </w:rPr>
            </w:pPr>
            <w:r>
              <w:rPr>
                <w:rFonts w:cs="Arial" w:ascii="Arial" w:hAnsi="Arial"/>
                <w:b/>
                <w:sz w:val="20"/>
              </w:rPr>
            </w:r>
          </w:p>
        </w:tc>
        <w:tc>
          <w:tcPr>
            <w:tcW w:w="2750" w:type="dxa"/>
            <w:tcBorders/>
          </w:tcPr>
          <w:p>
            <w:pPr>
              <w:pStyle w:val="Normal"/>
              <w:rPr>
                <w:rFonts w:ascii="Arial" w:hAnsi="Arial" w:cs="Arial"/>
                <w:sz w:val="20"/>
              </w:rPr>
            </w:pPr>
            <w:r>
              <w:rPr>
                <w:rFonts w:cs="Arial" w:ascii="Arial" w:hAnsi="Arial"/>
                <w:b/>
                <w:sz w:val="20"/>
              </w:rPr>
              <w:t>JEDI 1</w:t>
            </w:r>
          </w:p>
        </w:tc>
      </w:tr>
      <w:tr>
        <w:trPr/>
        <w:tc>
          <w:tcPr>
            <w:tcW w:w="533" w:type="dxa"/>
            <w:tcBorders>
              <w:top w:val="single" w:sz="4" w:space="0" w:color="000000"/>
              <w:bottom w:val="single" w:sz="4" w:space="0" w:color="000000"/>
            </w:tcBorders>
          </w:tcPr>
          <w:p>
            <w:pPr>
              <w:pStyle w:val="Normal"/>
              <w:snapToGrid w:val="false"/>
              <w:jc w:val="center"/>
              <w:rPr>
                <w:rFonts w:ascii="Arial" w:hAnsi="Arial" w:cs="Arial"/>
                <w:b/>
                <w:sz w:val="20"/>
              </w:rPr>
            </w:pPr>
            <w:r>
              <w:rPr>
                <w:rFonts w:cs="Arial" w:ascii="Arial" w:hAnsi="Arial"/>
                <w:b/>
                <w:sz w:val="20"/>
              </w:rPr>
            </w:r>
          </w:p>
        </w:tc>
        <w:tc>
          <w:tcPr>
            <w:tcW w:w="2750" w:type="dxa"/>
            <w:tcBorders/>
          </w:tcPr>
          <w:p>
            <w:pPr>
              <w:pStyle w:val="Normal"/>
              <w:rPr>
                <w:rFonts w:ascii="Arial" w:hAnsi="Arial" w:cs="Arial"/>
                <w:sz w:val="20"/>
              </w:rPr>
            </w:pPr>
            <w:r>
              <w:rPr>
                <w:rFonts w:cs="Arial" w:ascii="Arial" w:hAnsi="Arial"/>
                <w:b/>
                <w:sz w:val="20"/>
              </w:rPr>
              <w:t>JEDI 2</w:t>
            </w:r>
          </w:p>
        </w:tc>
        <w:tc>
          <w:tcPr>
            <w:tcW w:w="526" w:type="dxa"/>
            <w:tcBorders>
              <w:top w:val="single" w:sz="4" w:space="0" w:color="000000"/>
              <w:bottom w:val="single" w:sz="4" w:space="0" w:color="000000"/>
            </w:tcBorders>
          </w:tcPr>
          <w:p>
            <w:pPr>
              <w:pStyle w:val="Normal"/>
              <w:snapToGrid w:val="false"/>
              <w:jc w:val="center"/>
              <w:rPr>
                <w:rFonts w:ascii="Arial" w:hAnsi="Arial" w:cs="Arial"/>
                <w:b/>
                <w:sz w:val="20"/>
              </w:rPr>
            </w:pPr>
            <w:r>
              <w:rPr>
                <w:rFonts w:cs="Arial" w:ascii="Arial" w:hAnsi="Arial"/>
                <w:b/>
                <w:sz w:val="20"/>
              </w:rPr>
            </w:r>
          </w:p>
        </w:tc>
        <w:tc>
          <w:tcPr>
            <w:tcW w:w="2750" w:type="dxa"/>
            <w:tcBorders/>
          </w:tcPr>
          <w:p>
            <w:pPr>
              <w:pStyle w:val="Normal"/>
              <w:rPr>
                <w:rFonts w:ascii="Arial" w:hAnsi="Arial" w:cs="Arial"/>
                <w:sz w:val="20"/>
              </w:rPr>
            </w:pPr>
            <w:r>
              <w:rPr>
                <w:rFonts w:cs="Arial" w:ascii="Arial" w:hAnsi="Arial"/>
                <w:b/>
                <w:sz w:val="20"/>
              </w:rPr>
              <w:t>EnSerCo</w:t>
            </w:r>
          </w:p>
        </w:tc>
      </w:tr>
      <w:tr>
        <w:trPr/>
        <w:tc>
          <w:tcPr>
            <w:tcW w:w="533" w:type="dxa"/>
            <w:tcBorders>
              <w:top w:val="single" w:sz="4" w:space="0" w:color="000000"/>
              <w:bottom w:val="single" w:sz="4" w:space="0" w:color="000000"/>
            </w:tcBorders>
          </w:tcPr>
          <w:p>
            <w:pPr>
              <w:pStyle w:val="Normal"/>
              <w:snapToGrid w:val="false"/>
              <w:jc w:val="center"/>
              <w:rPr>
                <w:rFonts w:ascii="Arial" w:hAnsi="Arial" w:cs="Arial"/>
                <w:b/>
                <w:sz w:val="20"/>
              </w:rPr>
            </w:pPr>
            <w:r>
              <w:rPr>
                <w:rFonts w:cs="Arial" w:ascii="Arial" w:hAnsi="Arial"/>
                <w:b/>
                <w:sz w:val="20"/>
              </w:rPr>
            </w:r>
          </w:p>
        </w:tc>
        <w:tc>
          <w:tcPr>
            <w:tcW w:w="2750" w:type="dxa"/>
            <w:tcBorders/>
          </w:tcPr>
          <w:p>
            <w:pPr>
              <w:pStyle w:val="Normal"/>
              <w:rPr>
                <w:rFonts w:ascii="Arial" w:hAnsi="Arial" w:cs="Arial"/>
                <w:sz w:val="20"/>
              </w:rPr>
            </w:pPr>
            <w:r>
              <w:rPr>
                <w:rFonts w:cs="Arial" w:ascii="Arial" w:hAnsi="Arial"/>
                <w:b/>
                <w:sz w:val="20"/>
              </w:rPr>
              <w:t>LJM 1 or 2</w:t>
            </w:r>
          </w:p>
        </w:tc>
        <w:tc>
          <w:tcPr>
            <w:tcW w:w="526" w:type="dxa"/>
            <w:tcBorders>
              <w:top w:val="single" w:sz="4" w:space="0" w:color="000000"/>
              <w:bottom w:val="single" w:sz="4" w:space="0" w:color="000000"/>
            </w:tcBorders>
          </w:tcPr>
          <w:p>
            <w:pPr>
              <w:pStyle w:val="Normal"/>
              <w:snapToGrid w:val="false"/>
              <w:jc w:val="center"/>
              <w:rPr>
                <w:rFonts w:ascii="Arial" w:hAnsi="Arial" w:cs="Arial"/>
                <w:b/>
                <w:sz w:val="20"/>
              </w:rPr>
            </w:pPr>
            <w:r>
              <w:rPr>
                <w:rFonts w:cs="Arial" w:ascii="Arial" w:hAnsi="Arial"/>
                <w:b/>
                <w:sz w:val="20"/>
              </w:rPr>
            </w:r>
          </w:p>
        </w:tc>
        <w:tc>
          <w:tcPr>
            <w:tcW w:w="2750" w:type="dxa"/>
            <w:tcBorders/>
          </w:tcPr>
          <w:p>
            <w:pPr>
              <w:pStyle w:val="Normal"/>
              <w:rPr>
                <w:rFonts w:ascii="Arial" w:hAnsi="Arial" w:cs="Arial"/>
                <w:sz w:val="20"/>
              </w:rPr>
            </w:pPr>
            <w:r>
              <w:rPr>
                <w:rFonts w:cs="Arial" w:ascii="Arial" w:hAnsi="Arial"/>
                <w:b/>
                <w:sz w:val="20"/>
              </w:rPr>
              <w:t>Condor</w:t>
            </w:r>
          </w:p>
        </w:tc>
      </w:tr>
      <w:tr>
        <w:trPr/>
        <w:tc>
          <w:tcPr>
            <w:tcW w:w="533" w:type="dxa"/>
            <w:tcBorders>
              <w:top w:val="single" w:sz="4" w:space="0" w:color="000000"/>
              <w:bottom w:val="single" w:sz="4" w:space="0" w:color="000000"/>
            </w:tcBorders>
          </w:tcPr>
          <w:p>
            <w:pPr>
              <w:pStyle w:val="Normal"/>
              <w:snapToGrid w:val="false"/>
              <w:jc w:val="center"/>
              <w:rPr>
                <w:rFonts w:ascii="Arial" w:hAnsi="Arial" w:cs="Arial"/>
                <w:b/>
                <w:sz w:val="20"/>
              </w:rPr>
            </w:pPr>
            <w:r>
              <w:rPr>
                <w:rFonts w:cs="Arial" w:ascii="Arial" w:hAnsi="Arial"/>
                <w:b/>
                <w:sz w:val="20"/>
              </w:rPr>
            </w:r>
          </w:p>
        </w:tc>
        <w:tc>
          <w:tcPr>
            <w:tcW w:w="2750" w:type="dxa"/>
            <w:tcBorders/>
          </w:tcPr>
          <w:p>
            <w:pPr>
              <w:pStyle w:val="Normal"/>
              <w:rPr>
                <w:rFonts w:ascii="Arial" w:hAnsi="Arial" w:cs="Arial"/>
                <w:sz w:val="20"/>
              </w:rPr>
            </w:pPr>
            <w:r>
              <w:rPr>
                <w:rFonts w:cs="Arial" w:ascii="Arial" w:hAnsi="Arial"/>
                <w:b/>
                <w:sz w:val="20"/>
              </w:rPr>
              <w:t>Other:</w:t>
            </w:r>
          </w:p>
        </w:tc>
        <w:tc>
          <w:tcPr>
            <w:tcW w:w="526" w:type="dxa"/>
            <w:tcBorders>
              <w:top w:val="single" w:sz="4" w:space="0" w:color="000000"/>
              <w:bottom w:val="single" w:sz="4" w:space="0" w:color="000000"/>
            </w:tcBorders>
          </w:tcPr>
          <w:p>
            <w:pPr>
              <w:pStyle w:val="Normal"/>
              <w:snapToGrid w:val="false"/>
              <w:jc w:val="center"/>
              <w:rPr>
                <w:rFonts w:ascii="Arial" w:hAnsi="Arial" w:cs="Arial"/>
                <w:b/>
                <w:bCs/>
                <w:sz w:val="20"/>
              </w:rPr>
            </w:pPr>
            <w:r>
              <w:rPr>
                <w:rFonts w:cs="Arial" w:ascii="Arial" w:hAnsi="Arial"/>
                <w:b/>
                <w:bCs/>
                <w:sz w:val="20"/>
              </w:rPr>
            </w:r>
          </w:p>
        </w:tc>
        <w:tc>
          <w:tcPr>
            <w:tcW w:w="2750" w:type="dxa"/>
            <w:tcBorders/>
          </w:tcPr>
          <w:p>
            <w:pPr>
              <w:pStyle w:val="Normal"/>
              <w:rPr>
                <w:rFonts w:ascii="Arial" w:hAnsi="Arial" w:cs="Arial"/>
                <w:sz w:val="20"/>
              </w:rPr>
            </w:pPr>
            <w:r>
              <w:rPr>
                <w:rFonts w:cs="Arial" w:ascii="Arial" w:hAnsi="Arial"/>
                <w:b/>
                <w:bCs/>
                <w:sz w:val="20"/>
              </w:rPr>
              <w:t>M</w:t>
            </w:r>
            <w:r>
              <w:rPr>
                <w:rFonts w:cs="Arial" w:ascii="Arial" w:hAnsi="Arial"/>
                <w:b/>
                <w:sz w:val="20"/>
              </w:rPr>
              <w:t>argaux</w:t>
            </w:r>
          </w:p>
        </w:tc>
      </w:tr>
    </w:tbl>
    <w:p>
      <w:pPr>
        <w:pStyle w:val="Normal"/>
        <w:tabs>
          <w:tab w:val="left" w:pos="720" w:leader="none"/>
        </w:tabs>
        <w:ind w:start="360" w:end="0"/>
        <w:rPr/>
      </w:pPr>
      <w:r>
        <w:rPr>
          <w:rFonts w:cs="Arial" w:ascii="Arial" w:hAnsi="Arial"/>
          <w:sz w:val="20"/>
        </w:rPr>
        <w:tab/>
        <w:tab/>
      </w:r>
      <w:r>
        <w:rPr>
          <w:rFonts w:cs="Arial" w:ascii="Arial" w:hAnsi="Arial"/>
          <w:b/>
          <w:sz w:val="20"/>
        </w:rPr>
        <w:tab/>
        <w:tab/>
      </w:r>
    </w:p>
    <w:p>
      <w:pPr>
        <w:pStyle w:val="Normal"/>
        <w:tabs>
          <w:tab w:val="clear" w:pos="720"/>
          <w:tab w:val="left" w:pos="4320" w:leader="none"/>
        </w:tabs>
        <w:rPr/>
      </w:pPr>
      <w:r>
        <w:rPr>
          <w:rFonts w:cs="Arial" w:ascii="Arial" w:hAnsi="Arial"/>
          <w:sz w:val="20"/>
        </w:rPr>
        <w:tab/>
      </w:r>
      <w:r>
        <w:rPr>
          <w:rFonts w:cs="Arial" w:ascii="Arial" w:hAnsi="Arial"/>
          <w:b/>
          <w:sz w:val="20"/>
        </w:rPr>
        <w:tab/>
        <w:tab/>
        <w:tab/>
      </w:r>
    </w:p>
    <w:p>
      <w:pPr>
        <w:pStyle w:val="Normal"/>
        <w:numPr>
          <w:ilvl w:val="0"/>
          <w:numId w:val="6"/>
        </w:numPr>
        <w:rPr>
          <w:rFonts w:ascii="Arial" w:hAnsi="Arial" w:cs="Arial"/>
          <w:sz w:val="20"/>
        </w:rPr>
      </w:pPr>
      <w:r>
        <w:rPr>
          <w:rFonts w:cs="Arial" w:ascii="Arial" w:hAnsi="Arial"/>
          <w:b/>
          <w:sz w:val="20"/>
        </w:rPr>
        <w:t>Is this a JEDI 2 “Qualified Investment”?</w:t>
      </w:r>
      <w:r>
        <w:rPr>
          <w:rFonts w:cs="Arial" w:ascii="Arial" w:hAnsi="Arial"/>
          <w:sz w:val="20"/>
        </w:rPr>
        <w:tab/>
        <w:tab/>
      </w:r>
      <w:r>
        <w:rPr>
          <w:rFonts w:cs="Arial" w:ascii="Arial" w:hAnsi="Arial"/>
          <w:b/>
          <w:bCs/>
          <w:sz w:val="20"/>
        </w:rPr>
        <w:t xml:space="preserve">Yes </w:t>
      </w:r>
      <w:r>
        <w:rPr>
          <w:rFonts w:cs="Arial" w:ascii="Arial" w:hAnsi="Arial"/>
          <w:sz w:val="20"/>
        </w:rPr>
        <w:t>or</w:t>
      </w:r>
      <w:r>
        <w:rPr>
          <w:rFonts w:cs="Arial" w:ascii="Arial" w:hAnsi="Arial"/>
          <w:b/>
          <w:bCs/>
          <w:sz w:val="20"/>
        </w:rPr>
        <w:t xml:space="preserve"> No</w:t>
      </w:r>
    </w:p>
    <w:p>
      <w:pPr>
        <w:pStyle w:val="Normal"/>
        <w:ind w:start="360" w:end="0"/>
        <w:rPr>
          <w:rFonts w:ascii="Arial" w:hAnsi="Arial" w:cs="Arial"/>
          <w:sz w:val="20"/>
        </w:rPr>
      </w:pPr>
      <w:r>
        <w:rPr>
          <w:rFonts w:cs="Arial" w:ascii="Arial" w:hAnsi="Arial"/>
          <w:sz w:val="20"/>
        </w:rPr>
      </w:r>
    </w:p>
    <w:tbl>
      <w:tblPr>
        <w:tblW w:w="10440" w:type="dxa"/>
        <w:jc w:val="start"/>
        <w:tblInd w:w="0" w:type="dxa"/>
        <w:tblLayout w:type="fixed"/>
        <w:tblCellMar>
          <w:top w:w="0" w:type="dxa"/>
          <w:start w:w="108" w:type="dxa"/>
          <w:bottom w:w="0" w:type="dxa"/>
          <w:end w:w="108" w:type="dxa"/>
        </w:tblCellMar>
      </w:tblPr>
      <w:tblGrid>
        <w:gridCol w:w="3078"/>
        <w:gridCol w:w="2970"/>
        <w:gridCol w:w="2880"/>
        <w:gridCol w:w="1512"/>
      </w:tblGrid>
      <w:tr>
        <w:trPr/>
        <w:tc>
          <w:tcPr>
            <w:tcW w:w="3078" w:type="dxa"/>
            <w:tcBorders>
              <w:top w:val="single" w:sz="4" w:space="0" w:color="000000"/>
              <w:start w:val="single" w:sz="4" w:space="0" w:color="000000"/>
              <w:bottom w:val="single" w:sz="4" w:space="0" w:color="000000"/>
              <w:end w:val="single" w:sz="4" w:space="0" w:color="000000"/>
            </w:tcBorders>
          </w:tcPr>
          <w:p>
            <w:pPr>
              <w:pStyle w:val="Heading6"/>
              <w:ind w:hanging="0" w:start="0"/>
              <w:rPr>
                <w:rFonts w:ascii="Arial" w:hAnsi="Arial" w:cs="Arial"/>
              </w:rPr>
            </w:pPr>
            <w:r>
              <w:rPr>
                <w:rFonts w:cs="Arial" w:ascii="Arial" w:hAnsi="Arial"/>
              </w:rPr>
              <w:t>Function</w:t>
            </w:r>
          </w:p>
        </w:tc>
        <w:tc>
          <w:tcPr>
            <w:tcW w:w="297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b/>
                <w:sz w:val="20"/>
              </w:rPr>
            </w:pPr>
            <w:r>
              <w:rPr>
                <w:rFonts w:cs="Arial" w:ascii="Arial" w:hAnsi="Arial"/>
                <w:b/>
                <w:sz w:val="20"/>
              </w:rPr>
              <w:t>Signature</w:t>
            </w:r>
          </w:p>
        </w:tc>
        <w:tc>
          <w:tcPr>
            <w:tcW w:w="288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b/>
                <w:sz w:val="20"/>
              </w:rPr>
            </w:pPr>
            <w:r>
              <w:rPr>
                <w:rFonts w:cs="Arial" w:ascii="Arial" w:hAnsi="Arial"/>
                <w:b/>
                <w:sz w:val="20"/>
              </w:rPr>
              <w:t>Name</w:t>
            </w:r>
          </w:p>
        </w:tc>
        <w:tc>
          <w:tcPr>
            <w:tcW w:w="1512"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b/>
                <w:sz w:val="20"/>
              </w:rPr>
            </w:pPr>
            <w:r>
              <w:rPr>
                <w:rFonts w:cs="Arial" w:ascii="Arial" w:hAnsi="Arial"/>
                <w:b/>
                <w:sz w:val="20"/>
              </w:rPr>
              <w:t>Date</w:t>
            </w:r>
          </w:p>
        </w:tc>
      </w:tr>
      <w:tr>
        <w:trPr>
          <w:trHeight w:val="314" w:hRule="atLeast"/>
        </w:trPr>
        <w:tc>
          <w:tcPr>
            <w:tcW w:w="3078"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b/>
                <w:sz w:val="20"/>
              </w:rPr>
            </w:pPr>
            <w:r>
              <w:rPr>
                <w:rFonts w:cs="Arial" w:ascii="Arial" w:hAnsi="Arial"/>
                <w:b/>
                <w:sz w:val="20"/>
              </w:rPr>
              <w:t>Global Finance Representative</w:t>
            </w:r>
          </w:p>
        </w:tc>
        <w:tc>
          <w:tcPr>
            <w:tcW w:w="297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b/>
                <w:sz w:val="20"/>
              </w:rPr>
            </w:pPr>
            <w:r>
              <w:rPr>
                <w:rFonts w:cs="Arial" w:ascii="Arial" w:hAnsi="Arial"/>
                <w:b/>
                <w:sz w:val="20"/>
              </w:rPr>
            </w:r>
          </w:p>
        </w:tc>
        <w:tc>
          <w:tcPr>
            <w:tcW w:w="288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b/>
                <w:sz w:val="20"/>
              </w:rPr>
            </w:pPr>
            <w:r>
              <w:rPr>
                <w:rFonts w:cs="Arial" w:ascii="Arial" w:hAnsi="Arial"/>
                <w:b/>
                <w:sz w:val="20"/>
              </w:rPr>
            </w:r>
          </w:p>
        </w:tc>
        <w:tc>
          <w:tcPr>
            <w:tcW w:w="1512"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b/>
                <w:sz w:val="20"/>
              </w:rPr>
            </w:pPr>
            <w:r>
              <w:rPr>
                <w:rFonts w:cs="Arial" w:ascii="Arial" w:hAnsi="Arial"/>
                <w:b/>
                <w:sz w:val="20"/>
              </w:rPr>
            </w:r>
          </w:p>
        </w:tc>
      </w:tr>
      <w:tr>
        <w:trPr>
          <w:trHeight w:val="350" w:hRule="atLeast"/>
        </w:trPr>
        <w:tc>
          <w:tcPr>
            <w:tcW w:w="3078"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b/>
                <w:sz w:val="20"/>
              </w:rPr>
            </w:pPr>
            <w:r>
              <w:rPr>
                <w:rFonts w:cs="Arial" w:ascii="Arial" w:hAnsi="Arial"/>
                <w:b/>
                <w:sz w:val="20"/>
              </w:rPr>
              <w:t>Global Finance Legal</w:t>
            </w:r>
          </w:p>
        </w:tc>
        <w:tc>
          <w:tcPr>
            <w:tcW w:w="297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b/>
                <w:sz w:val="20"/>
              </w:rPr>
            </w:pPr>
            <w:r>
              <w:rPr>
                <w:rFonts w:cs="Arial" w:ascii="Arial" w:hAnsi="Arial"/>
                <w:b/>
                <w:sz w:val="20"/>
              </w:rPr>
            </w:r>
          </w:p>
        </w:tc>
        <w:tc>
          <w:tcPr>
            <w:tcW w:w="288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b/>
                <w:sz w:val="20"/>
              </w:rPr>
            </w:pPr>
            <w:r>
              <w:rPr>
                <w:rFonts w:cs="Arial" w:ascii="Arial" w:hAnsi="Arial"/>
                <w:b/>
                <w:sz w:val="20"/>
              </w:rPr>
            </w:r>
          </w:p>
        </w:tc>
        <w:tc>
          <w:tcPr>
            <w:tcW w:w="1512"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b/>
                <w:sz w:val="20"/>
              </w:rPr>
            </w:pPr>
            <w:r>
              <w:rPr>
                <w:rFonts w:cs="Arial" w:ascii="Arial" w:hAnsi="Arial"/>
                <w:b/>
                <w:sz w:val="20"/>
              </w:rPr>
            </w:r>
          </w:p>
        </w:tc>
      </w:tr>
    </w:tbl>
    <w:p>
      <w:pPr>
        <w:pStyle w:val="Normal"/>
        <w:rPr/>
      </w:pPr>
      <w:r>
        <w:rPr/>
      </w:r>
    </w:p>
    <w:sectPr>
      <w:type w:val="continuous"/>
      <w:pgSz w:w="12240" w:h="15840"/>
      <w:pgMar w:left="1008" w:right="1008" w:gutter="0" w:header="720" w:top="776" w:footer="720" w:bottom="776"/>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Fonts w:cs="Arial" w:ascii="Arial" w:hAnsi="Arial"/>
        <w:sz w:val="16"/>
      </w:rPr>
      <w:tab/>
      <w:tab/>
      <w:t xml:space="preserve">Page </w:t>
    </w:r>
    <w:r>
      <w:rPr>
        <w:rStyle w:val="PageNumber"/>
        <w:rFonts w:cs="Arial" w:ascii="Arial" w:hAnsi="Arial"/>
      </w:rPr>
      <w:fldChar w:fldCharType="begin"/>
    </w:r>
    <w:r>
      <w:rPr>
        <w:rStyle w:val="PageNumber"/>
        <w:rFonts w:cs="Arial" w:ascii="Arial" w:hAnsi="Arial"/>
      </w:rPr>
      <w:instrText xml:space="preserve"> PAGE </w:instrText>
    </w:r>
    <w:r>
      <w:rPr>
        <w:rStyle w:val="PageNumber"/>
        <w:rFonts w:cs="Arial" w:ascii="Arial" w:hAnsi="Arial"/>
      </w:rPr>
      <w:fldChar w:fldCharType="separate"/>
    </w:r>
    <w:r>
      <w:rPr>
        <w:rStyle w:val="PageNumber"/>
        <w:rFonts w:cs="Arial" w:ascii="Arial" w:hAnsi="Arial"/>
      </w:rPr>
      <w:t>4</w:t>
    </w:r>
    <w:r>
      <w:rPr>
        <w:rStyle w:val="PageNumber"/>
        <w:rFonts w:cs="Arial" w:ascii="Arial" w:hAnsi="Arial"/>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tabs>
        <w:tab w:val="clear" w:pos="4320"/>
        <w:tab w:val="clear" w:pos="8640"/>
        <w:tab w:val="right" w:pos="7920" w:leader="none"/>
      </w:tabs>
      <w:rPr>
        <w:rFonts w:ascii="Arial" w:hAnsi="Arial" w:cs="Arial"/>
        <w:b/>
      </w:rPr>
    </w:pPr>
    <w:r>
      <w:rPr>
        <w:rFonts w:cs="Arial" w:ascii="Arial" w:hAnsi="Arial"/>
        <w:b/>
      </w:rPr>
      <w:t>RAC Deal Approval Sheet</w:t>
      <w:tab/>
      <w:t xml:space="preserve">                                                                                                               Deal Name: </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t>___________</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35"/>
        </w:tabs>
        <w:ind w:start="735" w:hanging="735"/>
      </w:pPr>
      <w:rPr>
        <w:i w:val="false"/>
        <w:b w:val="false"/>
      </w:rPr>
    </w:lvl>
  </w:abstractNum>
  <w:abstractNum w:abstractNumId="3">
    <w:lvl w:ilvl="0">
      <w:start w:val="1"/>
      <w:numFmt w:val="bullet"/>
      <w:lvlText w:val=""/>
      <w:lvlJc w:val="start"/>
      <w:pPr>
        <w:tabs>
          <w:tab w:val="num" w:pos="702"/>
        </w:tabs>
        <w:ind w:start="702" w:hanging="360"/>
      </w:pPr>
      <w:rPr>
        <w:rFonts w:ascii="Symbol" w:hAnsi="Symbol" w:cs="Symbol" w:hint="default"/>
      </w:rPr>
    </w:lvl>
  </w:abstractNum>
  <w:abstractNum w:abstractNumId="4">
    <w:lvl w:ilvl="0">
      <w:start w:val="6"/>
      <w:numFmt w:val="decimal"/>
      <w:lvlText w:val="%1c."/>
      <w:lvlJc w:val="start"/>
      <w:pPr>
        <w:tabs>
          <w:tab w:val="num" w:pos="360"/>
        </w:tabs>
        <w:ind w:start="360" w:hanging="360"/>
      </w:pPr>
      <w:rPr>
        <w:i w:val="false"/>
        <w:b w:val="false"/>
      </w:rPr>
    </w:lvl>
  </w:abstractNum>
  <w:abstractNum w:abstractNumId="5">
    <w:lvl w:ilvl="0">
      <w:start w:val="6"/>
      <w:numFmt w:val="decimal"/>
      <w:lvlText w:val="%1a."/>
      <w:lvlJc w:val="start"/>
      <w:pPr>
        <w:tabs>
          <w:tab w:val="num" w:pos="360"/>
        </w:tabs>
        <w:ind w:start="360" w:hanging="360"/>
      </w:pPr>
    </w:lvl>
  </w:abstractNum>
  <w:abstractNum w:abstractNumId="6">
    <w:lvl w:ilvl="0">
      <w:start w:val="6"/>
      <w:numFmt w:val="decimal"/>
      <w:lvlText w:val="%1d."/>
      <w:lvlJc w:val="start"/>
      <w:pPr>
        <w:tabs>
          <w:tab w:val="num" w:pos="360"/>
        </w:tabs>
        <w:ind w:start="360" w:hanging="360"/>
      </w:pPr>
    </w:lvl>
  </w:abstractNum>
  <w:abstractNum w:abstractNumId="7">
    <w:lvl w:ilvl="0">
      <w:start w:val="2"/>
      <w:numFmt w:val="decimal"/>
      <w:lvlText w:val="%1."/>
      <w:lvlJc w:val="start"/>
      <w:pPr>
        <w:tabs>
          <w:tab w:val="num" w:pos="360"/>
        </w:tabs>
        <w:ind w:start="360" w:hanging="360"/>
      </w:pPr>
    </w:lvl>
  </w:abstractNum>
  <w:abstractNum w:abstractNumId="8">
    <w:lvl w:ilvl="0">
      <w:start w:val="6"/>
      <w:numFmt w:val="decimal"/>
      <w:lvlText w:val="%1b."/>
      <w:lvlJc w:val="start"/>
      <w:pPr>
        <w:tabs>
          <w:tab w:val="num" w:pos="360"/>
        </w:tabs>
        <w:ind w:start="36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documentProtection w:edit="forms" w:enforcement="tru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b/>
      <w:sz w:val="20"/>
      <w:szCs w:val="20"/>
    </w:rPr>
  </w:style>
  <w:style w:type="paragraph" w:styleId="Heading2">
    <w:name w:val="heading 2"/>
    <w:basedOn w:val="Normal"/>
    <w:next w:val="Normal"/>
    <w:qFormat/>
    <w:pPr>
      <w:keepNext w:val="true"/>
      <w:widowControl w:val="false"/>
      <w:numPr>
        <w:ilvl w:val="1"/>
        <w:numId w:val="1"/>
      </w:numPr>
      <w:outlineLvl w:val="1"/>
    </w:pPr>
    <w:rPr>
      <w:b/>
      <w:i/>
      <w:sz w:val="20"/>
      <w:szCs w:val="20"/>
    </w:rPr>
  </w:style>
  <w:style w:type="paragraph" w:styleId="Heading3">
    <w:name w:val="heading 3"/>
    <w:basedOn w:val="Normal"/>
    <w:next w:val="Normal"/>
    <w:qFormat/>
    <w:pPr>
      <w:keepNext w:val="true"/>
      <w:widowControl w:val="false"/>
      <w:numPr>
        <w:ilvl w:val="2"/>
        <w:numId w:val="1"/>
      </w:numPr>
      <w:ind w:hanging="0" w:start="0" w:end="-1196"/>
      <w:outlineLvl w:val="2"/>
    </w:pPr>
    <w:rPr>
      <w:b/>
      <w:sz w:val="20"/>
      <w:szCs w:val="20"/>
    </w:rPr>
  </w:style>
  <w:style w:type="paragraph" w:styleId="Heading4">
    <w:name w:val="heading 4"/>
    <w:basedOn w:val="Normal"/>
    <w:next w:val="Normal"/>
    <w:qFormat/>
    <w:pPr>
      <w:keepNext w:val="true"/>
      <w:numPr>
        <w:ilvl w:val="3"/>
        <w:numId w:val="1"/>
      </w:numPr>
      <w:pBdr>
        <w:top w:val="single" w:sz="4" w:space="1" w:color="000000"/>
      </w:pBdr>
      <w:tabs>
        <w:tab w:val="clear" w:pos="720"/>
        <w:tab w:val="left" w:pos="9990" w:leader="none"/>
      </w:tabs>
      <w:ind w:hanging="0" w:start="0" w:end="-36"/>
      <w:outlineLvl w:val="3"/>
    </w:pPr>
    <w:rPr>
      <w:b/>
      <w:sz w:val="20"/>
      <w:szCs w:val="20"/>
    </w:rPr>
  </w:style>
  <w:style w:type="paragraph" w:styleId="Heading5">
    <w:name w:val="heading 5"/>
    <w:basedOn w:val="Normal"/>
    <w:next w:val="Normal"/>
    <w:qFormat/>
    <w:pPr>
      <w:keepNext w:val="true"/>
      <w:numPr>
        <w:ilvl w:val="4"/>
        <w:numId w:val="1"/>
      </w:numPr>
      <w:jc w:val="end"/>
      <w:outlineLvl w:val="4"/>
    </w:pPr>
    <w:rPr>
      <w:b/>
      <w:sz w:val="20"/>
      <w:szCs w:val="20"/>
    </w:rPr>
  </w:style>
  <w:style w:type="paragraph" w:styleId="Heading6">
    <w:name w:val="heading 6"/>
    <w:basedOn w:val="Normal"/>
    <w:next w:val="Normal"/>
    <w:qFormat/>
    <w:pPr>
      <w:keepNext w:val="true"/>
      <w:numPr>
        <w:ilvl w:val="5"/>
        <w:numId w:val="1"/>
      </w:numPr>
      <w:jc w:val="center"/>
      <w:outlineLvl w:val="5"/>
    </w:pPr>
    <w:rPr>
      <w:b/>
      <w:sz w:val="20"/>
      <w:szCs w:val="20"/>
    </w:rPr>
  </w:style>
  <w:style w:type="paragraph" w:styleId="Heading7">
    <w:name w:val="heading 7"/>
    <w:basedOn w:val="Normal"/>
    <w:next w:val="Normal"/>
    <w:qFormat/>
    <w:pPr>
      <w:keepNext w:val="true"/>
      <w:numPr>
        <w:ilvl w:val="6"/>
        <w:numId w:val="1"/>
      </w:numPr>
      <w:outlineLvl w:val="6"/>
    </w:pPr>
    <w:rPr>
      <w:rFonts w:ascii="Arial" w:hAnsi="Arial" w:cs="Arial"/>
      <w:sz w:val="20"/>
      <w:u w:val="single"/>
    </w:rPr>
  </w:style>
  <w:style w:type="paragraph" w:styleId="Heading8">
    <w:name w:val="heading 8"/>
    <w:basedOn w:val="Normal"/>
    <w:next w:val="Normal"/>
    <w:qFormat/>
    <w:pPr>
      <w:keepNext w:val="true"/>
      <w:numPr>
        <w:ilvl w:val="7"/>
        <w:numId w:val="1"/>
      </w:numPr>
      <w:jc w:val="center"/>
      <w:outlineLvl w:val="7"/>
    </w:pPr>
    <w:rPr>
      <w:b/>
      <w:sz w:val="32"/>
      <w:szCs w:val="20"/>
    </w:rPr>
  </w:style>
  <w:style w:type="paragraph" w:styleId="Heading9">
    <w:name w:val="heading 9"/>
    <w:basedOn w:val="Normal"/>
    <w:next w:val="Normal"/>
    <w:qFormat/>
    <w:pPr>
      <w:keepNext w:val="true"/>
      <w:widowControl w:val="false"/>
      <w:numPr>
        <w:ilvl w:val="8"/>
        <w:numId w:val="1"/>
      </w:numPr>
      <w:tabs>
        <w:tab w:val="clear" w:pos="720"/>
        <w:tab w:val="left" w:pos="2870" w:leader="none"/>
        <w:tab w:val="left" w:pos="3617" w:leader="none"/>
      </w:tabs>
      <w:ind w:hanging="0" w:start="420" w:end="-217"/>
      <w:outlineLvl w:val="8"/>
    </w:pPr>
    <w:rPr>
      <w:b/>
      <w:sz w:val="20"/>
      <w:szCs w:val="20"/>
    </w:rPr>
  </w:style>
  <w:style w:type="character" w:styleId="WW8Num1z0">
    <w:name w:val="WW8Num1z0"/>
    <w:qFormat/>
    <w:rPr>
      <w:b w:val="false"/>
      <w:i w:val="false"/>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b w:val="false"/>
      <w:i w:val="false"/>
    </w:rPr>
  </w:style>
  <w:style w:type="character" w:styleId="WW8Num5z0">
    <w:name w:val="WW8Num5z0"/>
    <w:qFormat/>
    <w:rPr>
      <w:rFonts w:ascii="Symbol" w:hAnsi="Symbol" w:cs="Symbol"/>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6z0">
    <w:name w:val="WW8Num6z0"/>
    <w:qFormat/>
    <w:rPr>
      <w:rFonts w:ascii="Wingdings" w:hAnsi="Wingdings" w:cs="Wingdings"/>
    </w:rPr>
  </w:style>
  <w:style w:type="character" w:styleId="WW8Num8z0">
    <w:name w:val="WW8Num8z0"/>
    <w:qFormat/>
    <w:rPr>
      <w:rFonts w:ascii="Symbol" w:hAnsi="Symbol" w:cs="Symbol"/>
    </w:rPr>
  </w:style>
  <w:style w:type="character" w:styleId="WW8Num8z1">
    <w:name w:val="WW8Num8z1"/>
    <w:qFormat/>
    <w:rPr>
      <w:rFonts w:ascii="Courier New" w:hAnsi="Courier New" w:cs="Courier New"/>
    </w:rPr>
  </w:style>
  <w:style w:type="character" w:styleId="WW8Num8z2">
    <w:name w:val="WW8Num8z2"/>
    <w:qFormat/>
    <w:rPr>
      <w:rFonts w:ascii="Wingdings" w:hAnsi="Wingdings" w:cs="Wingdings"/>
    </w:rPr>
  </w:style>
  <w:style w:type="character" w:styleId="WW8Num12z0">
    <w:name w:val="WW8Num12z0"/>
    <w:qFormat/>
    <w:rPr/>
  </w:style>
  <w:style w:type="character" w:styleId="WW8Num13z0">
    <w:name w:val="WW8Num13z0"/>
    <w:qFormat/>
    <w:rPr>
      <w:rFonts w:ascii="Symbol" w:hAnsi="Symbol" w:cs="Symbol"/>
    </w:rPr>
  </w:style>
  <w:style w:type="character" w:styleId="WW8Num13z1">
    <w:name w:val="WW8Num13z1"/>
    <w:qFormat/>
    <w:rPr>
      <w:rFonts w:ascii="Courier New" w:hAnsi="Courier New" w:cs="Courier New"/>
    </w:rPr>
  </w:style>
  <w:style w:type="character" w:styleId="WW8Num13z2">
    <w:name w:val="WW8Num13z2"/>
    <w:qFormat/>
    <w:rPr>
      <w:rFonts w:ascii="Wingdings" w:hAnsi="Wingdings" w:cs="Wingdings"/>
    </w:rPr>
  </w:style>
  <w:style w:type="character" w:styleId="DefaultParagraphFont">
    <w:name w:val="Default Paragraph Font"/>
    <w:qFormat/>
    <w:rPr/>
  </w:style>
  <w:style w:type="character" w:styleId="PageNumber">
    <w:name w:val="page number"/>
    <w:basedOn w:val="DefaultParagraphFont"/>
    <w:rPr>
      <w:sz w:val="20"/>
    </w:rPr>
  </w:style>
  <w:style w:type="paragraph" w:styleId="Heading">
    <w:name w:val="Heading"/>
    <w:basedOn w:val="Normal"/>
    <w:next w:val="BodyText"/>
    <w:qFormat/>
    <w:pPr>
      <w:jc w:val="center"/>
    </w:pPr>
    <w:rPr>
      <w:rFonts w:ascii="Arial" w:hAnsi="Arial" w:cs="Arial"/>
      <w:b/>
      <w:sz w:val="32"/>
    </w:rPr>
  </w:style>
  <w:style w:type="paragraph" w:styleId="BodyText">
    <w:name w:val="Body Text"/>
    <w:basedOn w:val="Normal"/>
    <w:pPr>
      <w:jc w:val="both"/>
    </w:pPr>
    <w:rPr>
      <w:rFonts w:ascii="Arial" w:hAnsi="Arial" w:cs="Arial"/>
      <w:sz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widowControl w:val="false"/>
      <w:tabs>
        <w:tab w:val="clear" w:pos="720"/>
        <w:tab w:val="center" w:pos="4320" w:leader="none"/>
        <w:tab w:val="right" w:pos="8640" w:leader="none"/>
      </w:tabs>
    </w:pPr>
    <w:rPr>
      <w:sz w:val="20"/>
      <w:szCs w:val="20"/>
    </w:rPr>
  </w:style>
  <w:style w:type="paragraph" w:styleId="Footer">
    <w:name w:val="footer"/>
    <w:basedOn w:val="Normal"/>
    <w:pPr>
      <w:widowControl w:val="false"/>
      <w:tabs>
        <w:tab w:val="clear" w:pos="720"/>
        <w:tab w:val="center" w:pos="4320" w:leader="none"/>
        <w:tab w:val="right" w:pos="8640" w:leader="none"/>
      </w:tabs>
    </w:pPr>
    <w:rPr>
      <w:sz w:val="20"/>
      <w:szCs w:val="20"/>
    </w:rPr>
  </w:style>
  <w:style w:type="paragraph" w:styleId="BodyText2">
    <w:name w:val="Body Text 2"/>
    <w:basedOn w:val="Normal"/>
    <w:qFormat/>
    <w:pPr/>
    <w:rPr>
      <w:rFonts w:ascii="Arial" w:hAnsi="Arial" w:cs="Arial"/>
      <w:sz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95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2001-08-07T11:12:00Z</dcterms:created>
  <dc:creator>kjolly</dc:creator>
  <dc:description/>
  <dc:language>en-CA</dc:language>
  <cp:lastModifiedBy>Steve Harper</cp:lastModifiedBy>
  <cp:lastPrinted>2001-08-07T12:21:00Z</cp:lastPrinted>
  <dcterms:modified xsi:type="dcterms:W3CDTF">2001-08-07T16:13:00Z</dcterms:modified>
  <cp:revision>10</cp:revision>
  <dc:subject/>
  <dc:title>ENRON RISK ASSESSMENT AND CONTROL</dc:title>
</cp:coreProperties>
</file>