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Index of Agreements</w:t>
      </w:r>
    </w:p>
    <w:p>
      <w:pPr>
        <w:pStyle w:val="Normal"/>
        <w:jc w:val="center"/>
        <w:rPr/>
      </w:pPr>
      <w:r>
        <w:rPr/>
      </w:r>
    </w:p>
    <w:p>
      <w:pPr>
        <w:pStyle w:val="Normal"/>
        <w:rPr>
          <w:b/>
        </w:rPr>
      </w:pPr>
      <w:r>
        <w:rPr>
          <w:b/>
        </w:rPr>
        <w:t>I</w:t>
        <w:tab/>
        <w:t>Enron Midstream Services, LLC (“Enron”)</w:t>
      </w:r>
    </w:p>
    <w:p>
      <w:pPr>
        <w:pStyle w:val="Normal"/>
        <w:rPr>
          <w:b/>
        </w:rPr>
      </w:pPr>
      <w:r>
        <w:rPr>
          <w:b/>
        </w:rPr>
      </w:r>
    </w:p>
    <w:p>
      <w:pPr>
        <w:pStyle w:val="Heading3"/>
        <w:numPr>
          <w:ilvl w:val="0"/>
          <w:numId w:val="6"/>
        </w:numPr>
        <w:ind w:hanging="0" w:start="0"/>
        <w:rPr/>
      </w:pPr>
      <w:r>
        <w:rPr/>
        <w:t>Gathering Services Agreements and Field Services Agreements</w:t>
      </w:r>
    </w:p>
    <w:p>
      <w:pPr>
        <w:pStyle w:val="Normal"/>
        <w:rPr/>
      </w:pPr>
      <w:r>
        <w:rPr/>
      </w:r>
    </w:p>
    <w:p>
      <w:pPr>
        <w:pStyle w:val="Normal"/>
        <w:numPr>
          <w:ilvl w:val="1"/>
          <w:numId w:val="6"/>
        </w:numPr>
        <w:rPr/>
      </w:pPr>
      <w:r>
        <w:rPr/>
        <w:t>Gathering Services Agreement between Enron and MTG Operating Company and Michael T. Guthrie, dated effective October 22, 1999, Document No. 96028152 and 96032160</w:t>
      </w:r>
    </w:p>
    <w:p>
      <w:pPr>
        <w:pStyle w:val="Normal"/>
        <w:numPr>
          <w:ilvl w:val="1"/>
          <w:numId w:val="6"/>
        </w:numPr>
        <w:rPr/>
      </w:pPr>
      <w:r>
        <w:rPr/>
        <w:t>Field Services Agreement between Enron and Westport Oil Company, Inc. dated effective December 1, 1999, Document No. 96034090</w:t>
      </w:r>
    </w:p>
    <w:p>
      <w:pPr>
        <w:pStyle w:val="Normal"/>
        <w:numPr>
          <w:ilvl w:val="1"/>
          <w:numId w:val="6"/>
        </w:numPr>
        <w:rPr/>
      </w:pPr>
      <w:r>
        <w:rPr/>
        <w:t>Gathering Services Agreement between Enron and Petrogulf Corporation, dated effective November 3, 1999, Document No. 96027856</w:t>
      </w:r>
    </w:p>
    <w:p>
      <w:pPr>
        <w:pStyle w:val="Normal"/>
        <w:numPr>
          <w:ilvl w:val="1"/>
          <w:numId w:val="6"/>
        </w:numPr>
        <w:rPr/>
      </w:pPr>
      <w:r>
        <w:rPr/>
        <w:t>Gas Gathering Agreement between Enron and Ocean Energy Resources, Inc., dated effective September 10, 1999, Document No. 96023671.</w:t>
      </w:r>
    </w:p>
    <w:p>
      <w:pPr>
        <w:pStyle w:val="Normal"/>
        <w:numPr>
          <w:ilvl w:val="1"/>
          <w:numId w:val="6"/>
        </w:numPr>
        <w:rPr/>
      </w:pPr>
      <w:r>
        <w:rPr/>
        <w:t>Field Services Agreement between Enron and Sapphire Bay, L.L.C. and Independent Production Company, Inc., dated effective August 31, 1999, Document No. 96023670</w:t>
      </w:r>
    </w:p>
    <w:p>
      <w:pPr>
        <w:pStyle w:val="Normal"/>
        <w:numPr>
          <w:ilvl w:val="1"/>
          <w:numId w:val="6"/>
        </w:numPr>
        <w:rPr/>
      </w:pPr>
      <w:r>
        <w:rPr/>
        <w:t>Gathering Services Agreement between Enron and Wellstar Corporation dated effective October 25, 1999, Document No. 96027282</w:t>
      </w:r>
    </w:p>
    <w:p>
      <w:pPr>
        <w:pStyle w:val="Normal"/>
        <w:numPr>
          <w:ilvl w:val="1"/>
          <w:numId w:val="6"/>
        </w:numPr>
        <w:rPr/>
      </w:pPr>
      <w:r>
        <w:rPr/>
        <w:t xml:space="preserve">Field Service Agreement between Enron and Kennedy Oil dated effective August 27, 1999, Document No. </w:t>
      </w:r>
    </w:p>
    <w:p>
      <w:pPr>
        <w:pStyle w:val="Normal"/>
        <w:numPr>
          <w:ilvl w:val="1"/>
          <w:numId w:val="6"/>
        </w:numPr>
        <w:rPr/>
      </w:pPr>
      <w:r>
        <w:rPr/>
        <w:t>Gathering Services Agreement between Enron and Coleman Oil &amp; Gas, Inc., dated effective February 1, 2000, Document No. 96038204</w:t>
      </w:r>
    </w:p>
    <w:p>
      <w:pPr>
        <w:pStyle w:val="Normal"/>
        <w:numPr>
          <w:ilvl w:val="1"/>
          <w:numId w:val="6"/>
        </w:numPr>
        <w:rPr/>
      </w:pPr>
      <w:r>
        <w:rPr/>
        <w:t>Gathering Services Agreement between Enron and Yates Petroleum Corporation, dated December 1, 1999, Document No. 96030218</w:t>
      </w:r>
    </w:p>
    <w:p>
      <w:pPr>
        <w:pStyle w:val="Normal"/>
        <w:numPr>
          <w:ilvl w:val="1"/>
          <w:numId w:val="6"/>
        </w:numPr>
        <w:rPr/>
      </w:pPr>
      <w:r>
        <w:rPr/>
        <w:t>Gathering Services Agreement between Enron and Quantum Energy, L.L.C and Enernet of Wyoming, L.L.C., dated March 1, 2000, Document No. 96040979</w:t>
      </w:r>
    </w:p>
    <w:p>
      <w:pPr>
        <w:pStyle w:val="Normal"/>
        <w:ind w:start="1440" w:end="0"/>
        <w:rPr/>
      </w:pPr>
      <w:r>
        <w:rPr/>
      </w:r>
    </w:p>
    <w:p>
      <w:pPr>
        <w:pStyle w:val="Heading3"/>
        <w:numPr>
          <w:ilvl w:val="0"/>
          <w:numId w:val="6"/>
        </w:numPr>
        <w:ind w:hanging="0" w:start="0"/>
        <w:rPr>
          <w:bCs w:val="false"/>
        </w:rPr>
      </w:pPr>
      <w:r>
        <w:rPr/>
        <w:t>Master Construction Agreements and Professional Services Agreements</w:t>
      </w:r>
    </w:p>
    <w:p>
      <w:pPr>
        <w:pStyle w:val="Normal"/>
        <w:rPr>
          <w:bCs/>
        </w:rPr>
      </w:pPr>
      <w:r>
        <w:rPr>
          <w:bCs/>
        </w:rPr>
      </w:r>
    </w:p>
    <w:p>
      <w:pPr>
        <w:pStyle w:val="Normal"/>
        <w:numPr>
          <w:ilvl w:val="0"/>
          <w:numId w:val="4"/>
        </w:numPr>
        <w:rPr/>
      </w:pPr>
      <w:r>
        <w:rPr/>
        <w:t>Professional Services Agreement and associated Tasking Letter between Enron and High Mountain Inspections Services, Inc., dated effective November 10, 1999, Document No. 96036724</w:t>
      </w:r>
    </w:p>
    <w:p>
      <w:pPr>
        <w:pStyle w:val="Normal"/>
        <w:numPr>
          <w:ilvl w:val="0"/>
          <w:numId w:val="4"/>
        </w:numPr>
        <w:rPr/>
      </w:pPr>
      <w:r>
        <w:rPr/>
        <w:t>Master Construction Agreement between Enron and Benson Construction, Inc., dated effective December 15, 1999, Document No. 96036771</w:t>
      </w:r>
    </w:p>
    <w:p>
      <w:pPr>
        <w:pStyle w:val="Normal"/>
        <w:numPr>
          <w:ilvl w:val="0"/>
          <w:numId w:val="4"/>
        </w:numPr>
        <w:rPr/>
      </w:pPr>
      <w:r>
        <w:rPr/>
        <w:t>Master Construction Agreement between Enron and Temple &amp; Petty Construction, L.L.C., dated effective March 30, 2000, Document No.</w:t>
      </w:r>
    </w:p>
    <w:p>
      <w:pPr>
        <w:pStyle w:val="Normal"/>
        <w:numPr>
          <w:ilvl w:val="0"/>
          <w:numId w:val="4"/>
        </w:numPr>
        <w:rPr/>
      </w:pPr>
      <w:r>
        <w:rPr/>
        <w:t>Master Construction Agreement between Enron and Ross Rae, Inc., dated effective January 30, 2000, Document No. 96036810.</w:t>
      </w:r>
    </w:p>
    <w:p>
      <w:pPr>
        <w:pStyle w:val="Normal"/>
        <w:numPr>
          <w:ilvl w:val="0"/>
          <w:numId w:val="4"/>
        </w:numPr>
        <w:rPr/>
      </w:pPr>
      <w:r>
        <w:rPr/>
        <w:t>Master Construction Agreement between Enron and Pacific Industrial Electric, Inc., dated effective April 15, 2000, Document No.</w:t>
      </w:r>
    </w:p>
    <w:p>
      <w:pPr>
        <w:pStyle w:val="Normal"/>
        <w:numPr>
          <w:ilvl w:val="0"/>
          <w:numId w:val="4"/>
        </w:numPr>
        <w:rPr/>
      </w:pPr>
      <w:r>
        <w:rPr/>
        <w:t>Master Construction Agreement between Enron and Watkins Construction Co., Inc., dated effective December 15, 1999, Document No. 96036807</w:t>
      </w:r>
    </w:p>
    <w:p>
      <w:pPr>
        <w:pStyle w:val="Normal"/>
        <w:numPr>
          <w:ilvl w:val="0"/>
          <w:numId w:val="4"/>
        </w:numPr>
        <w:rPr/>
      </w:pPr>
      <w:r>
        <w:rPr/>
        <w:t>Master Construction Agreement and associated Work Offer between Enron and Mt. West Fabrication Plants &amp; Stations, Inc., dated effective September 30, 1999, Document No. 96028244</w:t>
      </w:r>
    </w:p>
    <w:p>
      <w:pPr>
        <w:pStyle w:val="Normal"/>
        <w:numPr>
          <w:ilvl w:val="0"/>
          <w:numId w:val="4"/>
        </w:numPr>
        <w:rPr/>
      </w:pPr>
      <w:r>
        <w:rPr/>
        <w:t>General Services Agreement between Okemah Construction, Inc. and Northern Natural Gas Company and Affiliate Work Offers between Enron and Okemah Document No. 94 0210 053</w:t>
      </w:r>
    </w:p>
    <w:p>
      <w:pPr>
        <w:pStyle w:val="Normal"/>
        <w:numPr>
          <w:ilvl w:val="0"/>
          <w:numId w:val="4"/>
        </w:numPr>
        <w:rPr/>
      </w:pPr>
      <w:r>
        <w:rPr/>
        <w:t>General Services Agreement between Flint Engineering &amp; Construction Co. and Transwestern Pipeline Company and Affiliate Work Offers between Enron and Flint</w:t>
      </w:r>
    </w:p>
    <w:p>
      <w:pPr>
        <w:pStyle w:val="Normal"/>
        <w:numPr>
          <w:ilvl w:val="0"/>
          <w:numId w:val="4"/>
        </w:numPr>
        <w:rPr/>
      </w:pPr>
      <w:r>
        <w:rPr/>
        <w:t>General Services &amp; Maintenance Agreement between Gulf Coast Operations and LA-Tex Associates dated June 15, 1996 and Affiliate Work Offers between Enron and LA-TEX. Document No. 96-3274-001-GSMA</w:t>
      </w:r>
    </w:p>
    <w:p>
      <w:pPr>
        <w:pStyle w:val="Normal"/>
        <w:numPr>
          <w:ilvl w:val="0"/>
          <w:numId w:val="4"/>
        </w:numPr>
        <w:rPr/>
      </w:pPr>
      <w:r>
        <w:rPr/>
        <w:t>General Services &amp; Maintenance Agreement between Florida Gas Transmissions et al and Gas Gathering Specialists, Inc. dated January 1, 1995 and Affiliate Work Offers between Enron and Gas Gathering Specialists, Inc.  Document No. 94F-GSMA-0224</w:t>
      </w:r>
    </w:p>
    <w:p>
      <w:pPr>
        <w:pStyle w:val="Normal"/>
        <w:numPr>
          <w:ilvl w:val="0"/>
          <w:numId w:val="4"/>
        </w:numPr>
        <w:rPr/>
      </w:pPr>
      <w:r>
        <w:rPr/>
        <w:t>General Services &amp; Maintenance Agreement between Florida Gas Transmissions et al and Jomax Construction Co., Inc. dated December 15, 1994 and Affiliate Work Offers between Enron and Jomax Construction Co., Inc.  Document No. 94F-GSMA-0256</w:t>
      </w:r>
    </w:p>
    <w:p>
      <w:pPr>
        <w:pStyle w:val="Normal"/>
        <w:numPr>
          <w:ilvl w:val="0"/>
          <w:numId w:val="4"/>
        </w:numPr>
        <w:rPr/>
      </w:pPr>
      <w:r>
        <w:rPr/>
        <w:t>Professional Services Agreement and Tasking Letter between Enron and ForeRunner Corporation, dated September 1, 1999, and Confidentiality Agreement between ECT and ForeRunner dated June 24, 1999.</w:t>
      </w:r>
    </w:p>
    <w:p>
      <w:pPr>
        <w:pStyle w:val="Normal"/>
        <w:numPr>
          <w:ilvl w:val="0"/>
          <w:numId w:val="4"/>
        </w:numPr>
        <w:rPr>
          <w:b/>
          <w:bCs/>
        </w:rPr>
      </w:pPr>
      <w:r>
        <w:rPr>
          <w:b/>
          <w:bCs/>
        </w:rPr>
        <w:t>Professional Services Agreement and Tasking Letter between Enron and Merrick and Company (Unexecuted)</w:t>
      </w:r>
      <w:r>
        <w:br w:type="page"/>
      </w:r>
    </w:p>
    <w:p>
      <w:pPr>
        <w:pStyle w:val="Normal"/>
        <w:ind w:start="1440" w:end="0"/>
        <w:rPr>
          <w:b/>
          <w:bCs/>
        </w:rPr>
      </w:pPr>
      <w:r>
        <w:rPr>
          <w:b/>
          <w:bCs/>
        </w:rPr>
      </w:r>
    </w:p>
    <w:p>
      <w:pPr>
        <w:pStyle w:val="Heading3"/>
        <w:numPr>
          <w:ilvl w:val="0"/>
          <w:numId w:val="6"/>
        </w:numPr>
        <w:ind w:hanging="0" w:start="0"/>
        <w:rPr/>
      </w:pPr>
      <w:r>
        <w:rPr/>
        <w:t>Miscellaneous Documents</w:t>
      </w:r>
    </w:p>
    <w:p>
      <w:pPr>
        <w:pStyle w:val="Normal"/>
        <w:rPr/>
      </w:pPr>
      <w:r>
        <w:rPr/>
      </w:r>
    </w:p>
    <w:p>
      <w:pPr>
        <w:pStyle w:val="Normal"/>
        <w:numPr>
          <w:ilvl w:val="0"/>
          <w:numId w:val="8"/>
        </w:numPr>
        <w:rPr/>
      </w:pPr>
      <w:r>
        <w:rPr/>
        <w:t>Release of Mortgage an Release of Affidavit Affecting Title between Enron and Michael T. Guthrie and MTG Operating Company dated April 6, 2000</w:t>
      </w:r>
    </w:p>
    <w:p>
      <w:pPr>
        <w:pStyle w:val="Normal"/>
        <w:numPr>
          <w:ilvl w:val="0"/>
          <w:numId w:val="8"/>
        </w:numPr>
        <w:rPr/>
      </w:pPr>
      <w:r>
        <w:rPr/>
        <w:t>Mortgage with Assignment of Rents, Security Agreement and Fixture Filing between Enron and Michael T. Guthrie and MTG Operating Company dated August 31, 1999</w:t>
      </w:r>
    </w:p>
    <w:p>
      <w:pPr>
        <w:pStyle w:val="Normal"/>
        <w:numPr>
          <w:ilvl w:val="0"/>
          <w:numId w:val="8"/>
        </w:numPr>
        <w:rPr/>
      </w:pPr>
      <w:r>
        <w:rPr/>
        <w:t>Affidavit Affecting Title to Real Property by Enron dated October 6, 1999</w:t>
      </w:r>
    </w:p>
    <w:p>
      <w:pPr>
        <w:pStyle w:val="Normal"/>
        <w:numPr>
          <w:ilvl w:val="0"/>
          <w:numId w:val="8"/>
        </w:numPr>
        <w:rPr/>
      </w:pPr>
      <w:r>
        <w:rPr/>
        <w:t>Mortgage with Assignment of Rents, Security Agreement and Fixture Filing between Enron and Quantum Energy, L.L.C. and Enernet of Wyoming, L.L.C dated August 31, 1999</w:t>
      </w:r>
    </w:p>
    <w:p>
      <w:pPr>
        <w:pStyle w:val="Normal"/>
        <w:numPr>
          <w:ilvl w:val="0"/>
          <w:numId w:val="8"/>
        </w:numPr>
        <w:rPr/>
      </w:pPr>
      <w:r>
        <w:rPr/>
        <w:t>Lease Agreement between Enron and Black Hills Trucking, Inc., dated effective September 15, 1999, Document No.</w:t>
      </w:r>
    </w:p>
    <w:p>
      <w:pPr>
        <w:pStyle w:val="Normal"/>
        <w:numPr>
          <w:ilvl w:val="0"/>
          <w:numId w:val="8"/>
        </w:numPr>
        <w:rPr/>
      </w:pPr>
      <w:r>
        <w:rPr/>
        <w:t>Commercial Lease and Deposit Receipt between Enron and Elsie M. Sicks dated May 2, 2000</w:t>
      </w:r>
    </w:p>
    <w:p>
      <w:pPr>
        <w:pStyle w:val="Normal"/>
        <w:numPr>
          <w:ilvl w:val="0"/>
          <w:numId w:val="8"/>
        </w:numPr>
        <w:rPr/>
      </w:pPr>
      <w:r>
        <w:rPr/>
        <w:t>Letter Agreement between Enron and MTG Operating Company and Michael T. Guthrie, dated August 31, 1999, Document No. 96032177</w:t>
      </w:r>
    </w:p>
    <w:p>
      <w:pPr>
        <w:pStyle w:val="Normal"/>
        <w:numPr>
          <w:ilvl w:val="0"/>
          <w:numId w:val="8"/>
        </w:numPr>
        <w:rPr/>
      </w:pPr>
      <w:r>
        <w:rPr/>
        <w:t>Collection Facilities Agreement between Enron and MTG Operating Company and Michael T. Guthrie, dated effective August 31, 1999, Document No. 96031795</w:t>
      </w:r>
    </w:p>
    <w:p>
      <w:pPr>
        <w:pStyle w:val="Normal"/>
        <w:numPr>
          <w:ilvl w:val="0"/>
          <w:numId w:val="8"/>
        </w:numPr>
        <w:rPr/>
      </w:pPr>
      <w:r>
        <w:rPr/>
        <w:t>Compression and Facilities Management Agreement between Enron and Hanover Compressor Company, dated effective August 27, 1999, Document No. 96026977</w:t>
      </w:r>
    </w:p>
    <w:p>
      <w:pPr>
        <w:pStyle w:val="Normal"/>
        <w:numPr>
          <w:ilvl w:val="0"/>
          <w:numId w:val="8"/>
        </w:numPr>
        <w:rPr>
          <w:bCs/>
        </w:rPr>
      </w:pPr>
      <w:r>
        <w:rPr/>
        <w:t>Firm Lease of Capacity Agreement between Enron and Maverick Pipeline LLC, dated effective November 18, 1999, Document No. 96032235</w:t>
      </w:r>
    </w:p>
    <w:p>
      <w:pPr>
        <w:pStyle w:val="Normal"/>
        <w:numPr>
          <w:ilvl w:val="0"/>
          <w:numId w:val="8"/>
        </w:numPr>
        <w:rPr>
          <w:bCs/>
        </w:rPr>
      </w:pPr>
      <w:r>
        <w:rPr/>
        <w:t>Compression Administration Agreement between Enron and MTG Operating Company and Michael T. Guthrie dated February 24, 2000.</w:t>
      </w:r>
      <w:r>
        <w:rPr>
          <w:bCs/>
        </w:rPr>
        <w:t xml:space="preserve"> </w:t>
      </w:r>
    </w:p>
    <w:p>
      <w:pPr>
        <w:pStyle w:val="Normal"/>
        <w:ind w:start="720" w:end="0"/>
        <w:rPr>
          <w:bCs/>
        </w:rPr>
      </w:pPr>
      <w:r>
        <w:rPr>
          <w:bCs/>
        </w:rPr>
      </w:r>
    </w:p>
    <w:p>
      <w:pPr>
        <w:pStyle w:val="Heading3"/>
        <w:numPr>
          <w:ilvl w:val="0"/>
          <w:numId w:val="6"/>
        </w:numPr>
        <w:ind w:hanging="0" w:start="0"/>
        <w:rPr/>
      </w:pPr>
      <w:r>
        <w:rPr/>
        <w:t>Corporate Documents</w:t>
      </w:r>
    </w:p>
    <w:p>
      <w:pPr>
        <w:pStyle w:val="Normal"/>
        <w:rPr/>
      </w:pPr>
      <w:r>
        <w:rPr/>
      </w:r>
    </w:p>
    <w:p>
      <w:pPr>
        <w:pStyle w:val="Normal"/>
        <w:numPr>
          <w:ilvl w:val="1"/>
          <w:numId w:val="6"/>
        </w:numPr>
        <w:rPr/>
      </w:pPr>
      <w:r>
        <w:rPr/>
        <w:t>State of Delaware Certificate of Formation, Limited Liability Company Agreement, State of Wyoming Application for Certificate of Authority (Recorded), and Consent of Sole Member (appointment of agent)</w:t>
      </w:r>
    </w:p>
    <w:p>
      <w:pPr>
        <w:pStyle w:val="Normal"/>
        <w:ind w:start="720" w:end="0"/>
        <w:rPr/>
      </w:pPr>
      <w:r>
        <w:rPr/>
      </w:r>
    </w:p>
    <w:p>
      <w:pPr>
        <w:pStyle w:val="Normal"/>
        <w:rPr/>
      </w:pPr>
      <w:r>
        <w:rPr>
          <w:b/>
        </w:rPr>
        <w:t>II</w:t>
        <w:tab/>
        <w:t>Lost Creek Gathering Company, L.L.C. (“Lost Creek”)</w:t>
      </w:r>
      <w:r>
        <w:rPr/>
        <w:t xml:space="preserve"> </w:t>
      </w:r>
    </w:p>
    <w:p>
      <w:pPr>
        <w:pStyle w:val="Normal"/>
        <w:rPr/>
      </w:pPr>
      <w:r>
        <w:rPr/>
        <w:tab/>
      </w:r>
    </w:p>
    <w:p>
      <w:pPr>
        <w:pStyle w:val="Normal"/>
        <w:numPr>
          <w:ilvl w:val="0"/>
          <w:numId w:val="5"/>
        </w:numPr>
        <w:rPr/>
      </w:pPr>
      <w:r>
        <w:rPr/>
        <w:t xml:space="preserve">Master Electric Service Agreement and Facilities Improvements Agreement between Lost Creek and PacifiCorp dated May 4, 2000, Document No. </w:t>
      </w:r>
    </w:p>
    <w:p>
      <w:pPr>
        <w:pStyle w:val="Normal"/>
        <w:numPr>
          <w:ilvl w:val="0"/>
          <w:numId w:val="5"/>
        </w:numPr>
        <w:rPr/>
      </w:pPr>
      <w:r>
        <w:rPr/>
        <w:t>Lost Creek Closing Documents Wind River Project Financing (2 Volumes) (See Attached Index)</w:t>
      </w:r>
    </w:p>
    <w:p>
      <w:pPr>
        <w:pStyle w:val="Normal"/>
        <w:numPr>
          <w:ilvl w:val="0"/>
          <w:numId w:val="5"/>
        </w:numPr>
        <w:rPr/>
      </w:pPr>
      <w:r>
        <w:rPr/>
        <w:t>Lost Creek agreements between ENA and North Central Oil Corporation (1 Volume) (See Attached Index)</w:t>
      </w:r>
    </w:p>
    <w:p>
      <w:pPr>
        <w:pStyle w:val="Normal"/>
        <w:numPr>
          <w:ilvl w:val="0"/>
          <w:numId w:val="5"/>
        </w:numPr>
        <w:rPr/>
      </w:pPr>
      <w:r>
        <w:rPr/>
        <w:t xml:space="preserve">Lost Creek Wind River Construction Agreement between Merrick and Company and Lost Creek dated January 22, 1999. </w:t>
      </w:r>
      <w:r>
        <w:rPr>
          <w:b/>
          <w:bCs/>
        </w:rPr>
        <w:t>As Amended.</w:t>
      </w:r>
    </w:p>
    <w:p>
      <w:pPr>
        <w:pStyle w:val="Normal"/>
        <w:numPr>
          <w:ilvl w:val="0"/>
          <w:numId w:val="5"/>
        </w:numPr>
        <w:rPr/>
      </w:pPr>
      <w:r>
        <w:rPr/>
        <w:t>Phase I Environmental Site Assessment, Lost Creek Gathering System, Merrick Project No. 19013438</w:t>
      </w:r>
    </w:p>
    <w:p>
      <w:pPr>
        <w:pStyle w:val="Normal"/>
        <w:numPr>
          <w:ilvl w:val="0"/>
          <w:numId w:val="5"/>
        </w:numPr>
        <w:rPr/>
      </w:pPr>
      <w:r>
        <w:rPr/>
        <w:t>Environmental Assessment, Lost Creek Gathering System Project, dated October 22, 1999</w:t>
      </w:r>
    </w:p>
    <w:p>
      <w:pPr>
        <w:pStyle w:val="Normal"/>
        <w:numPr>
          <w:ilvl w:val="0"/>
          <w:numId w:val="5"/>
        </w:numPr>
        <w:rPr/>
      </w:pPr>
      <w:r>
        <w:rPr/>
        <w:t>Biological Assessment, Lost Creek Gathering System Project, dated August 24, 1999.</w:t>
      </w:r>
    </w:p>
    <w:p>
      <w:pPr>
        <w:pStyle w:val="Normal"/>
        <w:numPr>
          <w:ilvl w:val="0"/>
          <w:numId w:val="5"/>
        </w:numPr>
        <w:rPr/>
      </w:pPr>
      <w:r>
        <w:rPr/>
        <w:t>Lost Creek Gathering Company, L.L.C. Transaction Documents (closed December 17, 1998) (See Attached Index)</w:t>
      </w:r>
    </w:p>
    <w:p>
      <w:pPr>
        <w:pStyle w:val="Normal"/>
        <w:numPr>
          <w:ilvl w:val="0"/>
          <w:numId w:val="5"/>
        </w:numPr>
        <w:rPr/>
      </w:pPr>
      <w:r>
        <w:rPr/>
        <w:t xml:space="preserve">Lost Creek Gathering Company,  L.L.C. Transaction Document Amendments </w:t>
      </w:r>
      <w:r>
        <w:rPr>
          <w:b/>
          <w:bCs/>
        </w:rPr>
        <w:t>(Unexecuted)</w:t>
      </w:r>
    </w:p>
    <w:p>
      <w:pPr>
        <w:pStyle w:val="Normal"/>
        <w:numPr>
          <w:ilvl w:val="0"/>
          <w:numId w:val="5"/>
        </w:numPr>
        <w:rPr/>
      </w:pPr>
      <w:r>
        <w:rPr/>
        <w:t>Lost Creek Gathering System, Independent Technical Review, Final Report, December 16. 1999.</w:t>
      </w:r>
    </w:p>
    <w:p>
      <w:pPr>
        <w:pStyle w:val="Normal"/>
        <w:numPr>
          <w:ilvl w:val="0"/>
          <w:numId w:val="5"/>
        </w:numPr>
        <w:rPr/>
      </w:pPr>
      <w:r>
        <w:rPr>
          <w:b/>
          <w:bCs/>
        </w:rPr>
        <w:t>Lost Creek Interconnect Agreement with Colorado Interstate Gas Company</w:t>
      </w:r>
      <w:r>
        <w:rPr/>
        <w:t xml:space="preserve"> </w:t>
      </w:r>
      <w:r>
        <w:rPr>
          <w:b/>
          <w:bCs/>
        </w:rPr>
        <w:t>(NA)</w:t>
      </w:r>
    </w:p>
    <w:p>
      <w:pPr>
        <w:pStyle w:val="Normal"/>
        <w:numPr>
          <w:ilvl w:val="0"/>
          <w:numId w:val="5"/>
        </w:numPr>
        <w:rPr/>
      </w:pPr>
      <w:r>
        <w:rPr>
          <w:b/>
          <w:bCs/>
        </w:rPr>
        <w:t>Lost Creek Interconnect Agreement with WYOMING INTERSTATE COMPANY (NA)</w:t>
      </w:r>
    </w:p>
    <w:p>
      <w:pPr>
        <w:pStyle w:val="Normal"/>
        <w:numPr>
          <w:ilvl w:val="0"/>
          <w:numId w:val="5"/>
        </w:numPr>
        <w:rPr/>
      </w:pPr>
      <w:r>
        <w:rPr>
          <w:b/>
          <w:bCs/>
        </w:rPr>
        <w:t>Lost Creek Operational Balancing Agreement with Colorado Interstate Gas Company</w:t>
      </w:r>
      <w:r>
        <w:rPr/>
        <w:t xml:space="preserve"> </w:t>
      </w:r>
      <w:r>
        <w:rPr>
          <w:b/>
          <w:bCs/>
        </w:rPr>
        <w:t>dated August 1, 2000 (Unexecuted)</w:t>
      </w:r>
    </w:p>
    <w:p>
      <w:pPr>
        <w:pStyle w:val="Normal"/>
        <w:numPr>
          <w:ilvl w:val="0"/>
          <w:numId w:val="5"/>
        </w:numPr>
        <w:rPr/>
      </w:pPr>
      <w:r>
        <w:rPr>
          <w:b/>
          <w:bCs/>
        </w:rPr>
        <w:t>Lost Creek Operational Balancing Agreement with WYOMING INTERSTATE COMPANY (NA)</w:t>
      </w:r>
    </w:p>
    <w:p>
      <w:pPr>
        <w:pStyle w:val="Normal"/>
        <w:numPr>
          <w:ilvl w:val="0"/>
          <w:numId w:val="5"/>
        </w:numPr>
        <w:rPr/>
      </w:pPr>
      <w:r>
        <w:rPr>
          <w:b/>
          <w:bCs/>
        </w:rPr>
        <w:t>Lost Creek Crude Oil Condensate Agreement with Big West (NA)</w:t>
      </w:r>
    </w:p>
    <w:p>
      <w:pPr>
        <w:pStyle w:val="Normal"/>
        <w:numPr>
          <w:ilvl w:val="0"/>
          <w:numId w:val="5"/>
        </w:numPr>
        <w:rPr/>
      </w:pPr>
      <w:r>
        <w:rPr>
          <w:b/>
          <w:bCs/>
        </w:rPr>
        <w:t>Lost Creek Operation and Maintenance Agreement with Elkhorn (NA)</w:t>
      </w:r>
    </w:p>
    <w:p>
      <w:pPr>
        <w:pStyle w:val="Normal"/>
        <w:ind w:start="720" w:end="0"/>
        <w:rPr/>
      </w:pPr>
      <w:r>
        <w:rPr/>
      </w:r>
    </w:p>
    <w:p>
      <w:pPr>
        <w:pStyle w:val="Normal"/>
        <w:rPr>
          <w:b/>
        </w:rPr>
      </w:pPr>
      <w:r>
        <w:rPr>
          <w:b/>
        </w:rPr>
        <w:t>III</w:t>
        <w:tab/>
        <w:t>Fort Union Gas Gathering, L.L.C. (“Fort Union”)</w:t>
      </w:r>
    </w:p>
    <w:p>
      <w:pPr>
        <w:pStyle w:val="Normal"/>
        <w:rPr>
          <w:b/>
        </w:rPr>
      </w:pPr>
      <w:r>
        <w:rPr>
          <w:b/>
        </w:rPr>
        <w:tab/>
      </w:r>
    </w:p>
    <w:p>
      <w:pPr>
        <w:pStyle w:val="Normal"/>
        <w:numPr>
          <w:ilvl w:val="0"/>
          <w:numId w:val="2"/>
        </w:numPr>
        <w:rPr/>
      </w:pPr>
      <w:r>
        <w:rPr>
          <w:bCs/>
        </w:rPr>
        <w:t>Limited Liability Company Operating Agreement dated December 17, 1998. Formation Papers for LLC. (1 Volume) (See Attached Index)</w:t>
      </w:r>
    </w:p>
    <w:p>
      <w:pPr>
        <w:pStyle w:val="Normal"/>
        <w:numPr>
          <w:ilvl w:val="0"/>
          <w:numId w:val="2"/>
        </w:numPr>
        <w:rPr/>
      </w:pPr>
      <w:r>
        <w:rPr>
          <w:bCs/>
        </w:rPr>
        <w:t>Fort Union Closing Documents, Term Loan Project Financing (1 Volume) (See Attached Index)</w:t>
      </w:r>
    </w:p>
    <w:p>
      <w:pPr>
        <w:pStyle w:val="Normal"/>
        <w:numPr>
          <w:ilvl w:val="0"/>
          <w:numId w:val="2"/>
        </w:numPr>
        <w:rPr/>
      </w:pPr>
      <w:r>
        <w:rPr>
          <w:bCs/>
        </w:rPr>
        <w:t>Fort Union Term Loan Project Financing Project Conversion</w:t>
      </w:r>
      <w:r>
        <w:rPr/>
        <w:t xml:space="preserve"> (1 Volume) (See Attached Index)</w:t>
      </w:r>
    </w:p>
    <w:p>
      <w:pPr>
        <w:pStyle w:val="Normal"/>
        <w:numPr>
          <w:ilvl w:val="0"/>
          <w:numId w:val="2"/>
        </w:numPr>
        <w:rPr/>
      </w:pPr>
      <w:r>
        <w:rPr/>
        <w:t>Fort Union Gas Gathering System, Independent Technical Review, April 16, 1999.</w:t>
      </w:r>
    </w:p>
    <w:p>
      <w:pPr>
        <w:pStyle w:val="Normal"/>
        <w:numPr>
          <w:ilvl w:val="0"/>
          <w:numId w:val="2"/>
        </w:numPr>
        <w:rPr/>
      </w:pPr>
      <w:r>
        <w:rPr/>
        <w:t>Amine Plant Lease between Fort Union and Dickson and Tryer Engineering Company, Inc.</w:t>
      </w:r>
      <w:r>
        <w:br w:type="page"/>
      </w:r>
    </w:p>
    <w:p>
      <w:pPr>
        <w:pStyle w:val="Normal"/>
        <w:rPr/>
      </w:pPr>
      <w:r>
        <w:rPr>
          <w:b/>
          <w:bCs/>
        </w:rPr>
        <w:t>IV</w:t>
      </w:r>
      <w:r>
        <w:rPr/>
        <w:tab/>
      </w:r>
      <w:r>
        <w:rPr>
          <w:b/>
          <w:bCs/>
        </w:rPr>
        <w:t>Enron Midstream Services, LLC-Environmental Documents</w:t>
      </w:r>
    </w:p>
    <w:p>
      <w:pPr>
        <w:pStyle w:val="Normal"/>
        <w:rPr>
          <w:b/>
          <w:bCs/>
        </w:rPr>
      </w:pPr>
      <w:r>
        <w:rPr>
          <w:b/>
          <w:bCs/>
        </w:rPr>
        <w:tab/>
      </w:r>
    </w:p>
    <w:p>
      <w:pPr>
        <w:pStyle w:val="Normal"/>
        <w:numPr>
          <w:ilvl w:val="0"/>
          <w:numId w:val="7"/>
        </w:numPr>
        <w:rPr>
          <w:bCs/>
        </w:rPr>
      </w:pPr>
      <w:r>
        <w:rPr>
          <w:bCs/>
        </w:rPr>
        <w:t>Site Assessment Proposed Compressor Site, in the Vicinity of True Oil Company’s Facility, Section 32, Township 49 North, Range 75 West Campbell County Wyoming.</w:t>
      </w:r>
    </w:p>
    <w:p>
      <w:pPr>
        <w:pStyle w:val="Normal"/>
        <w:numPr>
          <w:ilvl w:val="0"/>
          <w:numId w:val="7"/>
        </w:numPr>
        <w:rPr>
          <w:bCs/>
        </w:rPr>
      </w:pPr>
      <w:r>
        <w:rPr>
          <w:bCs/>
        </w:rPr>
        <w:t>Box Draw Air Quality Permit</w:t>
      </w:r>
    </w:p>
    <w:p>
      <w:pPr>
        <w:pStyle w:val="Normal"/>
        <w:numPr>
          <w:ilvl w:val="0"/>
          <w:numId w:val="7"/>
        </w:numPr>
        <w:rPr>
          <w:bCs/>
        </w:rPr>
      </w:pPr>
      <w:r>
        <w:rPr>
          <w:bCs/>
        </w:rPr>
        <w:t xml:space="preserve">Maverick Air Quality Permit </w:t>
      </w:r>
    </w:p>
    <w:p>
      <w:pPr>
        <w:pStyle w:val="Normal"/>
        <w:numPr>
          <w:ilvl w:val="0"/>
          <w:numId w:val="7"/>
        </w:numPr>
        <w:rPr>
          <w:bCs/>
        </w:rPr>
      </w:pPr>
      <w:r>
        <w:rPr>
          <w:bCs/>
        </w:rPr>
        <w:t xml:space="preserve">Maverick Air Quality Permit </w:t>
      </w:r>
    </w:p>
    <w:p>
      <w:pPr>
        <w:pStyle w:val="Normal"/>
        <w:numPr>
          <w:ilvl w:val="0"/>
          <w:numId w:val="7"/>
        </w:numPr>
        <w:rPr>
          <w:bCs/>
        </w:rPr>
      </w:pPr>
      <w:r>
        <w:rPr>
          <w:bCs/>
        </w:rPr>
        <w:t>Hannum Air Quality Permit</w:t>
      </w:r>
    </w:p>
    <w:p>
      <w:pPr>
        <w:pStyle w:val="Normal"/>
        <w:numPr>
          <w:ilvl w:val="0"/>
          <w:numId w:val="7"/>
        </w:numPr>
        <w:rPr>
          <w:bCs/>
        </w:rPr>
      </w:pPr>
      <w:r>
        <w:rPr>
          <w:bCs/>
        </w:rPr>
        <w:t>Hannum 3&amp;4 Air Quality Permit</w:t>
      </w:r>
    </w:p>
    <w:p>
      <w:pPr>
        <w:pStyle w:val="Normal"/>
        <w:numPr>
          <w:ilvl w:val="0"/>
          <w:numId w:val="7"/>
        </w:numPr>
        <w:rPr>
          <w:bCs/>
        </w:rPr>
      </w:pPr>
      <w:r>
        <w:rPr>
          <w:bCs/>
        </w:rPr>
        <w:t>House Creek Air Quality Permit</w:t>
      </w:r>
    </w:p>
    <w:p>
      <w:pPr>
        <w:pStyle w:val="Normal"/>
        <w:numPr>
          <w:ilvl w:val="0"/>
          <w:numId w:val="7"/>
        </w:numPr>
        <w:rPr>
          <w:bCs/>
        </w:rPr>
      </w:pPr>
      <w:r>
        <w:rPr>
          <w:bCs/>
        </w:rPr>
        <w:t>Palomino Air Quality Permit</w:t>
      </w:r>
    </w:p>
    <w:p>
      <w:pPr>
        <w:pStyle w:val="Normal"/>
        <w:numPr>
          <w:ilvl w:val="0"/>
          <w:numId w:val="7"/>
        </w:numPr>
        <w:rPr>
          <w:bCs/>
        </w:rPr>
      </w:pPr>
      <w:r>
        <w:rPr>
          <w:bCs/>
        </w:rPr>
        <w:t>Clydesdale Air Quality Permit</w:t>
      </w:r>
    </w:p>
    <w:p>
      <w:pPr>
        <w:pStyle w:val="Normal"/>
        <w:numPr>
          <w:ilvl w:val="0"/>
          <w:numId w:val="7"/>
        </w:numPr>
        <w:rPr>
          <w:bCs/>
        </w:rPr>
      </w:pPr>
      <w:r>
        <w:rPr>
          <w:bCs/>
        </w:rPr>
        <w:t>Quantum Air Quality Permit</w:t>
      </w:r>
    </w:p>
    <w:p>
      <w:pPr>
        <w:pStyle w:val="Normal"/>
        <w:numPr>
          <w:ilvl w:val="0"/>
          <w:numId w:val="7"/>
        </w:numPr>
        <w:rPr>
          <w:bCs/>
        </w:rPr>
      </w:pPr>
      <w:r>
        <w:rPr>
          <w:bCs/>
        </w:rPr>
        <w:t>Yates Air Quality Permit</w:t>
      </w:r>
    </w:p>
    <w:p>
      <w:pPr>
        <w:pStyle w:val="Normal"/>
        <w:numPr>
          <w:ilvl w:val="0"/>
          <w:numId w:val="7"/>
        </w:numPr>
        <w:rPr>
          <w:bCs/>
        </w:rPr>
      </w:pPr>
      <w:r>
        <w:rPr>
          <w:bCs/>
        </w:rPr>
        <w:t>South Kitty Air Quality Permit</w:t>
      </w:r>
    </w:p>
    <w:p>
      <w:pPr>
        <w:pStyle w:val="Normal"/>
        <w:numPr>
          <w:ilvl w:val="0"/>
          <w:numId w:val="7"/>
        </w:numPr>
        <w:rPr/>
      </w:pPr>
      <w:r>
        <w:rPr>
          <w:bCs/>
        </w:rPr>
        <w:t>Hoe Creek Air Quality Permit</w:t>
      </w:r>
    </w:p>
    <w:p>
      <w:pPr>
        <w:pStyle w:val="Normal"/>
        <w:numPr>
          <w:ilvl w:val="0"/>
          <w:numId w:val="7"/>
        </w:numPr>
        <w:rPr/>
      </w:pPr>
      <w:r>
        <w:rPr>
          <w:bCs/>
        </w:rPr>
        <w:t>Coleman Air Quality Permit</w:t>
      </w:r>
    </w:p>
    <w:p>
      <w:pPr>
        <w:pStyle w:val="Normal"/>
        <w:rPr/>
      </w:pPr>
      <w:r>
        <w:rPr/>
      </w:r>
    </w:p>
    <w:p>
      <w:pPr>
        <w:pStyle w:val="Normal"/>
        <w:rPr>
          <w:b/>
          <w:bCs/>
        </w:rPr>
      </w:pPr>
      <w:r>
        <w:rPr>
          <w:b/>
          <w:bCs/>
        </w:rPr>
        <w:t>V.</w:t>
        <w:tab/>
        <w:t>Financial Statements</w:t>
      </w:r>
    </w:p>
    <w:p>
      <w:pPr>
        <w:pStyle w:val="Normal"/>
        <w:rPr>
          <w:rFonts w:eastAsia="Times"/>
          <w:b/>
        </w:rPr>
      </w:pPr>
      <w:r>
        <w:rPr>
          <w:rFonts w:eastAsia="Times"/>
          <w:b/>
        </w:rPr>
        <w:t xml:space="preserve"> </w:t>
      </w:r>
    </w:p>
    <w:p>
      <w:pPr>
        <w:pStyle w:val="Normal"/>
        <w:numPr>
          <w:ilvl w:val="0"/>
          <w:numId w:val="3"/>
        </w:numPr>
        <w:rPr>
          <w:bCs/>
        </w:rPr>
      </w:pPr>
      <w:r>
        <w:rPr>
          <w:bCs/>
        </w:rPr>
        <w:t>Lost Creek Gathering Company, L.L.C.</w:t>
      </w:r>
    </w:p>
    <w:p>
      <w:pPr>
        <w:pStyle w:val="Normal"/>
        <w:numPr>
          <w:ilvl w:val="0"/>
          <w:numId w:val="3"/>
        </w:numPr>
        <w:rPr>
          <w:bCs/>
        </w:rPr>
      </w:pPr>
      <w:r>
        <w:rPr>
          <w:bCs/>
        </w:rPr>
        <w:t>Fort Union Gas Gathering, L.L.C.</w:t>
      </w:r>
    </w:p>
    <w:p>
      <w:pPr>
        <w:pStyle w:val="Normal"/>
        <w:numPr>
          <w:ilvl w:val="0"/>
          <w:numId w:val="3"/>
        </w:numPr>
        <w:rPr>
          <w:bCs/>
        </w:rPr>
      </w:pPr>
      <w:r>
        <w:rPr>
          <w:bCs/>
        </w:rPr>
        <w:t>Big Horn Gas Gathering, L. L. C.</w:t>
      </w:r>
    </w:p>
    <w:p>
      <w:pPr>
        <w:pStyle w:val="Normal"/>
        <w:numPr>
          <w:ilvl w:val="0"/>
          <w:numId w:val="3"/>
        </w:numPr>
        <w:rPr>
          <w:b/>
          <w:bCs/>
        </w:rPr>
      </w:pPr>
      <w:r>
        <w:rPr>
          <w:b/>
          <w:bCs/>
        </w:rPr>
        <w:t xml:space="preserve">Enron Midstream Services, LLC </w:t>
      </w:r>
    </w:p>
    <w:p>
      <w:pPr>
        <w:pStyle w:val="Normal"/>
        <w:rPr>
          <w:b/>
          <w:bCs/>
        </w:rPr>
      </w:pPr>
      <w:r>
        <w:rPr>
          <w:b/>
          <w:bCs/>
        </w:rPr>
      </w:r>
    </w:p>
    <w:p>
      <w:pPr>
        <w:pStyle w:val="Normal"/>
        <w:rPr>
          <w:b/>
          <w:bCs/>
        </w:rPr>
      </w:pPr>
      <w:r>
        <w:rPr>
          <w:b/>
          <w:bCs/>
        </w:rPr>
        <w:t>VI</w:t>
        <w:tab/>
        <w:t>Right-of-Way Documents (indexed separately)</w:t>
      </w:r>
    </w:p>
    <w:sectPr>
      <w:type w:val="nextPage"/>
      <w:pgSz w:w="12240" w:h="15840"/>
      <w:pgMar w:left="1152" w:right="1152" w:gutter="0" w:header="0" w:top="576" w:footer="0" w:bottom="43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50"/>
        </w:tabs>
        <w:ind w:start="1050" w:hanging="360"/>
      </w:pPr>
      <w:rPr/>
    </w:lvl>
  </w:abstractNum>
  <w:abstractNum w:abstractNumId="4">
    <w:lvl w:ilvl="0">
      <w:start w:val="1"/>
      <w:numFmt w:val="lowerLetter"/>
      <w:lvlText w:val="%1."/>
      <w:lvlJc w:val="start"/>
      <w:pPr>
        <w:tabs>
          <w:tab w:val="num" w:pos="1830"/>
        </w:tabs>
        <w:ind w:start="1830" w:hanging="390"/>
      </w:pPr>
      <w:rPr/>
    </w:lvl>
  </w:abstractNum>
  <w:abstractNum w:abstractNumId="5">
    <w:lvl w:ilvl="0">
      <w:start w:val="1"/>
      <w:numFmt w:val="low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0" w:start="720" w:end="0"/>
      <w:outlineLvl w:val="1"/>
    </w:pPr>
    <w:rPr>
      <w:b/>
    </w:rPr>
  </w:style>
  <w:style w:type="paragraph" w:styleId="Heading3">
    <w:name w:val="heading 3"/>
    <w:basedOn w:val="Normal"/>
    <w:next w:val="Normal"/>
    <w:qFormat/>
    <w:pPr>
      <w:keepNext w:val="true"/>
      <w:numPr>
        <w:ilvl w:val="0"/>
        <w:numId w:val="6"/>
      </w:numPr>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Times New Roman" w:hAnsi="Times New Roman" w:cs="Times New Roman"/>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28z0">
    <w:name w:val="WW8Num28z0"/>
    <w:qFormat/>
    <w:rPr>
      <w:b/>
      <w:i/>
    </w:rPr>
  </w:style>
  <w:style w:type="character" w:styleId="WW8Num29z0">
    <w:name w:val="WW8Num29z0"/>
    <w:qFormat/>
    <w:rPr/>
  </w:style>
  <w:style w:type="character" w:styleId="WW8Num30z0">
    <w:name w:val="WW8Num30z0"/>
    <w:qFormat/>
    <w:rPr>
      <w:b/>
    </w:rPr>
  </w:style>
  <w:style w:type="character" w:styleId="WW8Num31z0">
    <w:name w:val="WW8Num31z0"/>
    <w:qFormat/>
    <w:rPr/>
  </w:style>
  <w:style w:type="character" w:styleId="WW8Num32z0">
    <w:name w:val="WW8Num32z0"/>
    <w:qFormat/>
    <w:rPr>
      <w:b/>
    </w:rPr>
  </w:style>
  <w:style w:type="character" w:styleId="WW8Num33z0">
    <w:name w:val="WW8Num33z0"/>
    <w:qFormat/>
    <w:rPr/>
  </w:style>
  <w:style w:type="character" w:styleId="WW8Num34z0">
    <w:name w:val="WW8Num3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2000-05-17T19:50:00Z</dcterms:created>
  <dc:creator>Chuck alvey</dc:creator>
  <dc:description/>
  <dc:language>en-CA</dc:language>
  <cp:lastModifiedBy>rwalker</cp:lastModifiedBy>
  <cp:lastPrinted>2000-08-01T12:16:00Z</cp:lastPrinted>
  <dcterms:modified xsi:type="dcterms:W3CDTF">2000-08-02T12:17:00Z</dcterms:modified>
  <cp:revision>36</cp:revision>
  <dc:subject>termination</dc:subject>
  <dc:title>terminate</dc:title>
</cp:coreProperties>
</file>