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Index of Agreements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</w:t>
        <w:tab/>
        <w:t>Enron Midstream Services, LLC (“Enron”)</w:t>
      </w:r>
    </w:p>
    <w:p>
      <w:pPr>
        <w:pStyle w:val="Normal"/>
        <w:numPr>
          <w:ilvl w:val="0"/>
          <w:numId w:val="2"/>
        </w:numPr>
        <w:rPr/>
      </w:pPr>
      <w:r>
        <w:rPr/>
        <w:t>Commercial Lease and Deposit Receipt between Enron and Elsie M. Sicks dated May 2, 2000</w:t>
      </w:r>
    </w:p>
    <w:p>
      <w:pPr>
        <w:pStyle w:val="Normal"/>
        <w:numPr>
          <w:ilvl w:val="0"/>
          <w:numId w:val="2"/>
        </w:numPr>
        <w:rPr/>
      </w:pPr>
      <w:r>
        <w:rPr/>
        <w:t>Letter Agreement between Enron and MTG Operating Company and Michael T. Guthrie, dated August 31, 1999, Document No. 96032177</w:t>
      </w:r>
    </w:p>
    <w:p>
      <w:pPr>
        <w:pStyle w:val="Normal"/>
        <w:numPr>
          <w:ilvl w:val="0"/>
          <w:numId w:val="2"/>
        </w:numPr>
        <w:rPr/>
      </w:pPr>
      <w:r>
        <w:rPr/>
        <w:t>Collection Facilities Agreement between Enron and MTG Operating Company and Michael T. Guthrie, dated effective August 31, 1999, Document No. 96031795</w:t>
      </w:r>
    </w:p>
    <w:p>
      <w:pPr>
        <w:pStyle w:val="Normal"/>
        <w:numPr>
          <w:ilvl w:val="0"/>
          <w:numId w:val="2"/>
        </w:numPr>
        <w:rPr/>
      </w:pPr>
      <w:r>
        <w:rPr/>
        <w:t>Gathering Services Agreement between Enron and MTG Operating Company and Michael T. Guthrie, dated effective October 22, 1999, Document No. 96028152 and 96032160</w:t>
      </w:r>
    </w:p>
    <w:p>
      <w:pPr>
        <w:pStyle w:val="Normal"/>
        <w:numPr>
          <w:ilvl w:val="0"/>
          <w:numId w:val="2"/>
        </w:numPr>
        <w:rPr/>
      </w:pPr>
      <w:r>
        <w:rPr/>
        <w:t>Field Services Agreement between Enron and Westport Oil Company, Inc. dated effective December 1, 1999, Document No. 96034090</w:t>
      </w:r>
    </w:p>
    <w:p>
      <w:pPr>
        <w:pStyle w:val="Normal"/>
        <w:numPr>
          <w:ilvl w:val="0"/>
          <w:numId w:val="2"/>
        </w:numPr>
        <w:rPr/>
      </w:pPr>
      <w:r>
        <w:rPr/>
        <w:t>Compression and Facilities Management Agreement between Enron and Hanover Compressor Company, dated effective August 27, 1999, Document No. 96026977</w:t>
      </w:r>
    </w:p>
    <w:p>
      <w:pPr>
        <w:pStyle w:val="Normal"/>
        <w:numPr>
          <w:ilvl w:val="0"/>
          <w:numId w:val="2"/>
        </w:numPr>
        <w:rPr/>
      </w:pPr>
      <w:r>
        <w:rPr/>
        <w:t>Gathering Services Agreement between Enron and Petrogulf Corporation, dated effective November 3, 1999, Document No. 96027856</w:t>
      </w:r>
    </w:p>
    <w:p>
      <w:pPr>
        <w:pStyle w:val="Normal"/>
        <w:numPr>
          <w:ilvl w:val="0"/>
          <w:numId w:val="2"/>
        </w:numPr>
        <w:rPr/>
      </w:pPr>
      <w:r>
        <w:rPr/>
        <w:t>Gas Gathering Agreement between Enron and Ocean Energy Resources, Inc., dated effective September 10, 1999, Document No. 96023671.</w:t>
      </w:r>
    </w:p>
    <w:p>
      <w:pPr>
        <w:pStyle w:val="Normal"/>
        <w:numPr>
          <w:ilvl w:val="0"/>
          <w:numId w:val="2"/>
        </w:numPr>
        <w:rPr/>
      </w:pPr>
      <w:r>
        <w:rPr/>
        <w:t>Field Services Agreement between Enron and Sapphire Bay, L.L.C. and Independent Production Company, Inc., dated effective August 31, 1999, Document No. 96023670</w:t>
      </w:r>
    </w:p>
    <w:p>
      <w:pPr>
        <w:pStyle w:val="Normal"/>
        <w:numPr>
          <w:ilvl w:val="0"/>
          <w:numId w:val="2"/>
        </w:numPr>
        <w:rPr/>
      </w:pPr>
      <w:r>
        <w:rPr/>
        <w:t>Firm Lease of Capacity Agreement between Enron and Maverick Pipeline LLC, dated effective November 18, 1999, Document No. 96032235</w:t>
      </w:r>
    </w:p>
    <w:p>
      <w:pPr>
        <w:pStyle w:val="Normal"/>
        <w:numPr>
          <w:ilvl w:val="0"/>
          <w:numId w:val="2"/>
        </w:numPr>
        <w:rPr/>
      </w:pPr>
      <w:r>
        <w:rPr/>
        <w:t>Gathering Services Agreement between Enron and Wellstar Corporation dated effective October 25, 1999, Document No. 96027282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Professional Services Agreement and associated Tasking Letter between Enron and High Mountain Inspections Services, Inc., dated effective November 10, 1999, Document No. 96036724 </w:t>
      </w:r>
    </w:p>
    <w:p>
      <w:pPr>
        <w:pStyle w:val="Normal"/>
        <w:numPr>
          <w:ilvl w:val="0"/>
          <w:numId w:val="2"/>
        </w:numPr>
        <w:rPr/>
      </w:pPr>
      <w:r>
        <w:rPr/>
        <w:t>Master Construction Agreement between Enron and Benson Construction, Inc., dated effective December 15, 1999, Document No. 96036771</w:t>
      </w:r>
    </w:p>
    <w:p>
      <w:pPr>
        <w:pStyle w:val="Normal"/>
        <w:numPr>
          <w:ilvl w:val="0"/>
          <w:numId w:val="2"/>
        </w:numPr>
        <w:rPr/>
      </w:pPr>
      <w:r>
        <w:rPr/>
        <w:t>Master Construction Agreement between Enron and Temple &amp; Petty Construction, L.L.C., dated effective March 30, 2000, Document No.</w:t>
      </w:r>
    </w:p>
    <w:p>
      <w:pPr>
        <w:pStyle w:val="Normal"/>
        <w:numPr>
          <w:ilvl w:val="0"/>
          <w:numId w:val="2"/>
        </w:numPr>
        <w:rPr/>
      </w:pPr>
      <w:r>
        <w:rPr/>
        <w:t>Master Construction Agreement between Enron and Ross Rae, Inc., dated effective January 30, 2000, Document No. 96036810</w:t>
      </w:r>
    </w:p>
    <w:p>
      <w:pPr>
        <w:pStyle w:val="Normal"/>
        <w:numPr>
          <w:ilvl w:val="0"/>
          <w:numId w:val="2"/>
        </w:numPr>
        <w:rPr/>
      </w:pPr>
      <w:r>
        <w:rPr/>
        <w:t>Master Construction Agreement between Enron and Pacific Industrial Electric, Inc., dated effective April 15, 2000, Document No.</w:t>
      </w:r>
    </w:p>
    <w:p>
      <w:pPr>
        <w:pStyle w:val="Normal"/>
        <w:numPr>
          <w:ilvl w:val="0"/>
          <w:numId w:val="2"/>
        </w:numPr>
        <w:rPr/>
      </w:pPr>
      <w:r>
        <w:rPr/>
        <w:t>Master Construction Agreement between Enron and Watkins Construction Co., Inc., dated effective December 15, 1999, Document No. 96036807</w:t>
      </w:r>
    </w:p>
    <w:p>
      <w:pPr>
        <w:pStyle w:val="Normal"/>
        <w:numPr>
          <w:ilvl w:val="0"/>
          <w:numId w:val="2"/>
        </w:numPr>
        <w:rPr/>
      </w:pPr>
      <w:r>
        <w:rPr/>
        <w:t>Master Construction Agreement  and associated Work Offer between Enron and Mt. West Fabrication Plants &amp; Stations, Inc., dated effective September 30, 1999, Document No. 96028244</w:t>
      </w:r>
    </w:p>
    <w:p>
      <w:pPr>
        <w:pStyle w:val="Normal"/>
        <w:numPr>
          <w:ilvl w:val="0"/>
          <w:numId w:val="2"/>
        </w:numPr>
        <w:rPr/>
      </w:pPr>
      <w:r>
        <w:rPr/>
        <w:t>Affiliate Work Offer between Enron and Okemah Construction, Inc. dated October 18, 1999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Field Service Agreement between Enron and Kennedy Oil dated effective August 27, 1999, Document No. </w:t>
      </w:r>
    </w:p>
    <w:p>
      <w:pPr>
        <w:pStyle w:val="Normal"/>
        <w:numPr>
          <w:ilvl w:val="0"/>
          <w:numId w:val="2"/>
        </w:numPr>
        <w:rPr/>
      </w:pPr>
      <w:r>
        <w:rPr/>
        <w:t>Release of Mortgage an Release of Affidavit Affecting Title betweeen Enron and Michael T. Guthrie and MTG Operating Company dated April 6, 2000</w:t>
      </w:r>
    </w:p>
    <w:p>
      <w:pPr>
        <w:pStyle w:val="Normal"/>
        <w:numPr>
          <w:ilvl w:val="0"/>
          <w:numId w:val="2"/>
        </w:numPr>
        <w:rPr/>
      </w:pPr>
      <w:r>
        <w:rPr/>
        <w:t>Mortgage with Assignment of Rents, Security Agreement and Fixture Filing between Enron and Michael T. Guthrie and MTG Operating Company dated August 31, 1999</w:t>
      </w:r>
    </w:p>
    <w:p>
      <w:pPr>
        <w:pStyle w:val="Normal"/>
        <w:numPr>
          <w:ilvl w:val="0"/>
          <w:numId w:val="2"/>
        </w:numPr>
        <w:rPr/>
      </w:pPr>
      <w:r>
        <w:rPr/>
        <w:t>Affidavit Affecting Title to Real Property by Enron dated October 6, 1999</w:t>
      </w:r>
    </w:p>
    <w:p>
      <w:pPr>
        <w:pStyle w:val="Normal"/>
        <w:numPr>
          <w:ilvl w:val="0"/>
          <w:numId w:val="2"/>
        </w:numPr>
        <w:rPr/>
      </w:pPr>
      <w:r>
        <w:rPr/>
        <w:t>Mortgage with Assignment of Rents, Security Agreement and Fixture Filing between Enron and Quantum Energy, L.L.C. and Enernet of Wyoming, L.L.C dated August 31, 1999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II</w:t>
        <w:tab/>
        <w:t>Enron North America Corp. (“ENA”)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MTG Operating Company and Michael T. Guthrie dated October 22, 1999, Document No. 96028270</w:t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Independent Production Company, Inc. and Spphire Bay, L.L.C.,  dated August 31, 1999, Document No. 96023736</w:t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Ocean Energy Resources, Inc., dated September 10, 1999, Document No. 96023737</w:t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Petrogulf Corporation, dated November 3, 1999, Document No. 96028454</w:t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Wellstar Corporation, dated October 25, 1999, Document No. 96027277</w:t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Yates Petroleum Corp., dated December 1, 1999, Document No. 96030216</w:t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Quantum Energy, L.L.C. and Enernet of Wyoming, L.L.C., dated March 1, 2000, Document No.</w:t>
      </w:r>
    </w:p>
    <w:p>
      <w:pPr>
        <w:pStyle w:val="Normal"/>
        <w:numPr>
          <w:ilvl w:val="0"/>
          <w:numId w:val="3"/>
        </w:numPr>
        <w:rPr/>
      </w:pPr>
      <w:r>
        <w:rPr/>
        <w:t>Gas Purchase Agreement between ENA and Coleman Oil &amp; Gas, Inc., dated February 1, 2000, Document No. 96038435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Gas Purchase Agreement between ENA and Kennedy Oil dated August 27, 1999, Document No. </w:t>
      </w:r>
    </w:p>
    <w:sectPr>
      <w:type w:val="nextPage"/>
      <w:pgSz w:w="12240" w:h="15840"/>
      <w:pgMar w:left="1152" w:right="1152" w:gutter="0" w:header="0" w:top="576" w:footer="0" w:bottom="43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2000-05-17T19:50:00Z</dcterms:created>
  <dc:creator>Chuck alvey</dc:creator>
  <dc:description/>
  <dc:language>en-CA</dc:language>
  <cp:lastModifiedBy>rwalker</cp:lastModifiedBy>
  <cp:lastPrinted>2000-05-18T12:41:00Z</cp:lastPrinted>
  <dcterms:modified xsi:type="dcterms:W3CDTF">2000-05-19T17:40:00Z</dcterms:modified>
  <cp:revision>5</cp:revision>
  <dc:subject>termination</dc:subject>
  <dc:title>terminate</dc:title>
</cp:coreProperties>
</file>