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3"/>
        <w:rPr>
          <w:sz w:val="24"/>
          <w:lang w:val="en-US"/>
        </w:rPr>
      </w:pPr>
      <w:r>
        <w:rPr>
          <w:sz w:val="24"/>
          <w:lang w:val="en-US"/>
        </w:rPr>
        <w:t xml:space="preserve">In the City of Buenos Aires, this ___ day of the month of January, 2001, by and between ARCOR S.A.I.C. (hereinafter “Arcor”), domiciled at ________, hereat represented  by Mr. Luis A. Pagani, as President, party of the first part, and Enron América del Sur S.A. (hereinafter “Enron”), domiciled at Av. Eduardo Madero 900, Piso 17, Capital Federal, hereat represented by Mr. Michael F. Guerriero, as President, party of the second part, (Arcor and Enron hereinafter individually called “Party” and collectively “Parties”), this Addenda to the Asset Purchase Agreement entered into between the Parties on June 6, 2000 is executed (hereinafter the "Addenda") :  </w:t>
      </w:r>
    </w:p>
    <w:p>
      <w:pPr>
        <w:pStyle w:val="Normal"/>
        <w:rPr>
          <w:lang w:val="en-US" w:eastAsia="es-ES"/>
        </w:rPr>
      </w:pPr>
      <w:r>
        <w:rPr>
          <w:lang w:val="en-US" w:eastAsia="es-ES"/>
        </w:rPr>
        <w:t>WHEREAS</w:t>
      </w:r>
    </w:p>
    <w:p>
      <w:pPr>
        <w:pStyle w:val="Normal"/>
        <w:rPr>
          <w:lang w:val="en-US" w:eastAsia="es-ES"/>
        </w:rPr>
      </w:pPr>
      <w:r>
        <w:rPr>
          <w:lang w:val="en-US" w:eastAsia="es-ES"/>
        </w:rPr>
        <w:t>I.   On June 6, 2000, the Parties entered into an Asset Purchase Agreement (hereinafter the “Agreement”) regarding the Powerplant Modesto Maranzana owned by Arcor (hereinafter the “Plant”);</w:t>
      </w:r>
    </w:p>
    <w:p>
      <w:pPr>
        <w:pStyle w:val="Normal"/>
        <w:rPr>
          <w:lang w:val="en-US" w:eastAsia="es-ES"/>
        </w:rPr>
      </w:pPr>
      <w:r>
        <w:rPr>
          <w:lang w:val="en-US" w:eastAsia="es-ES"/>
        </w:rPr>
        <w:t>II.  Under the Agreement, the transfer of ownership of the Plant is conditioned upon fulfillment of a series of conditions precedent, among which, that Enron is exempted, regarding the Plant, from taxes and contributions of the Municipality of Río Cuarto (hereinafter the “Municipality), under equal terms as the exemptions enjoyed by Arcor as of the Agreement date (the “Exemption”);</w:t>
      </w:r>
    </w:p>
    <w:p>
      <w:pPr>
        <w:pStyle w:val="Normal"/>
        <w:rPr>
          <w:lang w:val="en-US" w:eastAsia="es-ES"/>
        </w:rPr>
      </w:pPr>
      <w:r>
        <w:rPr>
          <w:lang w:val="en-US" w:eastAsia="es-ES"/>
        </w:rPr>
        <w:t xml:space="preserve">III. To meet the condition precedent mentioned in Whereas Paragraph II, Arcor reached certain agreements with the Municipality and with EPEC included in Ordinance No. 422/00 passed by the Council of the City of Río Cuarto, as corrected, Ordinance No. _____; </w:t>
      </w:r>
    </w:p>
    <w:p>
      <w:pPr>
        <w:pStyle w:val="Normal"/>
        <w:rPr>
          <w:lang w:val="en-US" w:eastAsia="es-ES"/>
        </w:rPr>
      </w:pPr>
      <w:r>
        <w:rPr>
          <w:lang w:val="en-US" w:eastAsia="es-ES"/>
        </w:rPr>
        <w:t>IV.  Despite Enron not being a party to the agreements entered into between Arcor, EPEC and the Municipality supporting Ordinance 422/00, the effects thereof are enforceable thereon as provided for in Sections 2 and 3 of the mentioned Ordinance;</w:t>
      </w:r>
    </w:p>
    <w:p>
      <w:pPr>
        <w:pStyle w:val="Normal"/>
        <w:rPr>
          <w:lang w:val="en-US" w:eastAsia="es-ES"/>
        </w:rPr>
      </w:pPr>
      <w:r>
        <w:rPr>
          <w:lang w:val="en-US" w:eastAsia="es-ES"/>
        </w:rPr>
        <w:t>Therefore, the Parties agree as follows:</w:t>
      </w:r>
    </w:p>
    <w:p>
      <w:pPr>
        <w:pStyle w:val="Normal"/>
        <w:rPr>
          <w:lang w:val="en-US" w:eastAsia="es-ES"/>
        </w:rPr>
      </w:pPr>
      <w:r>
        <w:rPr>
          <w:lang w:val="en-US" w:eastAsia="es-ES"/>
        </w:rPr>
        <w:t xml:space="preserve">I.  Arcor irrevocably undertakes to indemnify, defend, and hold Enron harmless from and against all damages ordered, imposed or incurred directly or indirectly by Enron as well as to compensate and cover all and any risks, damages, penalties, lost profits, losses, fines, interest or expenses of any type incurred or to be incurred by Enron, derived from total or partial cessation of the Exemption, provided such cessation is, fully or partially, attributable to Arcor and/or EPEC (and/or its successor)’s default of its relevant electric energy supply obligations to the Municipality as per the provisions of Ordinance 422/00, as corrected, Ordinance No. ________or for any other reason which, for negligence or fraud, is attributable to Arcor. </w:t>
      </w:r>
    </w:p>
    <w:p>
      <w:pPr>
        <w:pStyle w:val="Normal"/>
        <w:rPr>
          <w:lang w:val="en-US"/>
        </w:rPr>
      </w:pPr>
      <w:r>
        <w:rPr>
          <w:lang w:val="en-US"/>
        </w:rPr>
        <w:t xml:space="preserve">II. All amounts payable hereunder shall be paid in freely available US dollars, free and net from offsets, taxes, withholdings, deductions or charges whatsoever, including fines and interest. Should Arcor make withholdings on amounts liable to be compensated, or should Enron’s tax burden be increased due to impossibility of offsetting the amount liable to be compensated against the damages borne thereby, Arcor shall pay such additional amounts as are necessary so that Enron is compensated for such withholdings or higher tax burden, if any. If, as of the due date of any payment due hereunder, there are legal restrictions forbidding the execution of legal acts in foreign currency or there are restrictions preventing free access to the exchange market for purchase of foreign currency for hoarding, and only while such restrictions prevail, Arcor may, at its discretion, demand delivery of the amount of foreign public debt securities denominated in US dollars, at its discretion, which sold in the New York free market, net from expenses, taxes and fees, result in a sum of US dollars that is sufficient to cover the amount of sums due. </w:t>
      </w:r>
    </w:p>
    <w:p>
      <w:pPr>
        <w:pStyle w:val="Normal"/>
        <w:rPr>
          <w:lang w:val="en-US"/>
        </w:rPr>
      </w:pPr>
      <w:r>
        <w:rPr>
          <w:lang w:val="en-US"/>
        </w:rPr>
        <w:t xml:space="preserve">III.  In the event of objection to any payment demand by Arcor, Arcor shall pay the undisputed amount. If, subsequently, such objection is determined to be inapplicable, Arcor shall pay the Penalty Interest Rate (as defined in the Agreement) from the due date of the payment demand objected to until actual payment.  </w:t>
      </w:r>
    </w:p>
    <w:p>
      <w:pPr>
        <w:pStyle w:val="Normal"/>
        <w:rPr>
          <w:lang w:val="en-US"/>
        </w:rPr>
      </w:pPr>
      <w:r>
        <w:rPr>
          <w:lang w:val="en-US"/>
        </w:rPr>
        <w:t>IV.  The obligation to compensate established in this Addenda shall remain fully effective until the later of (i) one year after expiration of the Exemption or (ii) final settlement of any claim or action under this Addenda based on events or conditions occurring prior to the period referred to in (i) above.</w:t>
      </w:r>
    </w:p>
    <w:p>
      <w:pPr>
        <w:pStyle w:val="Normal"/>
        <w:rPr>
          <w:lang w:val="en-US"/>
        </w:rPr>
      </w:pPr>
      <w:r>
        <w:rPr>
          <w:lang w:val="en-US"/>
        </w:rPr>
        <w:t>V.  Arcor shall deliver, immediately after so being requested by Enron, the funds or guarantees necessary to substitute any attachment, injunction or lien regarding any claim liable to be compensated hereunder.</w:t>
      </w:r>
    </w:p>
    <w:p>
      <w:pPr>
        <w:pStyle w:val="Normal"/>
        <w:rPr>
          <w:lang w:val="en-US"/>
        </w:rPr>
      </w:pPr>
      <w:r>
        <w:rPr>
          <w:lang w:val="en-US"/>
        </w:rPr>
        <w:t>VI.  Should Enron incur any damage or consider it may incur any damage in the future regarding which it is entitled to be compensated hereunder, Enron shall notify Arcor as per the Agreement (the “Notice”). Such Notice shall state, regarding each damage the compensation of which is required,: the compensation amount, the date on which it was incurred or it is estimated to be incurred and the grounds for compensation thereof. Arcor shall indemnify Enron within three business day from the first of (a) Arcor’s acknowledgment of its obligation to compensate (the damage shall be deemed to be acknowledged if Arcor does not notify its opposition within twenty (20) days from notice); (b) the existence of an arbitration award passed under Section 17.2 of the Agreement acknowledging a damage liable to be compensated; or (c) in the case of claims of the Municipality, the existence of a final or firm resolution, judgment or award forcing Enron to bear a damage liable to be compensated by Arcor or the existence of a resolution, judgment or award, although not yet final or firm, the appeal of which does not suspend fulfillment of the obligation.</w:t>
      </w:r>
    </w:p>
    <w:p>
      <w:pPr>
        <w:pStyle w:val="Normal"/>
        <w:rPr>
          <w:lang w:val="en-US" w:eastAsia="es-ES"/>
        </w:rPr>
      </w:pPr>
      <w:r>
        <w:rPr>
          <w:lang w:val="en-US" w:eastAsia="es-ES"/>
        </w:rPr>
        <w:t>VII.  The Parties agree that the terms and conditions hereof are an integral part of the Agreement, and constitute a single document.</w:t>
      </w:r>
    </w:p>
    <w:p>
      <w:pPr>
        <w:pStyle w:val="Normal"/>
        <w:rPr>
          <w:lang w:val="en-US"/>
        </w:rPr>
      </w:pPr>
      <w:r>
        <w:rPr>
          <w:lang w:val="en-US" w:eastAsia="es-ES"/>
        </w:rPr>
        <w:t>IN WITNESS WHEREOF, the Parties entered into this Addenda on the date mentioned above.</w:t>
      </w:r>
    </w:p>
    <w:p>
      <w:pPr>
        <w:pStyle w:val="Normal"/>
        <w:spacing w:before="0" w:after="120"/>
        <w:rPr>
          <w:lang w:val="en-US"/>
        </w:rPr>
      </w:pPr>
      <w:r>
        <w:rPr>
          <w:lang w:val="en-US"/>
        </w:rPr>
        <w:t xml:space="preserve"> </w:t>
      </w:r>
    </w:p>
    <w:sectPr>
      <w:type w:val="nextPage"/>
      <w:pgSz w:w="11906" w:h="16838"/>
      <w:pgMar w:left="1701" w:right="1701" w:gutter="0" w:header="0"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Arrus BT">
    <w:altName w:val="Bookman Old Style"/>
    <w:charset w:val="00" w:characterSet="windows-1252"/>
    <w:family w:val="roman"/>
    <w:pitch w:val="variable"/>
  </w:font>
  <w:font w:name="Marlett">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2130"/>
        </w:tabs>
        <w:ind w:start="213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0" w:after="120"/>
      <w:jc w:val="both"/>
    </w:pPr>
    <w:rPr>
      <w:rFonts w:ascii="Times New Roman" w:hAnsi="Times New Roman" w:eastAsia="Times New Roman" w:cs="Times New Roman"/>
      <w:color w:val="auto"/>
      <w:sz w:val="24"/>
      <w:szCs w:val="20"/>
      <w:lang w:val="es-ES" w:eastAsia="zh-CN" w:bidi="hi-IN"/>
    </w:rPr>
  </w:style>
  <w:style w:type="paragraph" w:styleId="Heading1">
    <w:name w:val="heading 1"/>
    <w:basedOn w:val="Normal"/>
    <w:next w:val="Normal"/>
    <w:qFormat/>
    <w:pPr>
      <w:keepNext w:val="true"/>
      <w:numPr>
        <w:ilvl w:val="0"/>
        <w:numId w:val="1"/>
      </w:numPr>
      <w:jc w:val="both"/>
      <w:outlineLvl w:val="0"/>
    </w:pPr>
    <w:rPr>
      <w:rFonts w:ascii="Arial" w:hAnsi="Arial" w:cs="Arial"/>
      <w:b/>
      <w:sz w:val="24"/>
      <w:u w:val="single"/>
    </w:rPr>
  </w:style>
  <w:style w:type="paragraph" w:styleId="Heading2">
    <w:name w:val="heading 2"/>
    <w:basedOn w:val="Normal"/>
    <w:next w:val="Normal"/>
    <w:qFormat/>
    <w:pPr>
      <w:keepNext w:val="true"/>
      <w:numPr>
        <w:ilvl w:val="1"/>
        <w:numId w:val="1"/>
      </w:numPr>
      <w:ind w:firstLine="708" w:start="0" w:end="0"/>
      <w:jc w:val="both"/>
      <w:outlineLvl w:val="1"/>
    </w:pPr>
    <w:rPr>
      <w:rFonts w:ascii="Arial" w:hAnsi="Arial" w:cs="Arial"/>
      <w:b/>
      <w:sz w:val="22"/>
    </w:rPr>
  </w:style>
  <w:style w:type="paragraph" w:styleId="Heading3">
    <w:name w:val="heading 3"/>
    <w:basedOn w:val="Normal"/>
    <w:next w:val="Normal"/>
    <w:qFormat/>
    <w:pPr>
      <w:keepNext w:val="true"/>
      <w:numPr>
        <w:ilvl w:val="2"/>
        <w:numId w:val="1"/>
      </w:numPr>
      <w:ind w:hanging="0" w:start="708" w:end="0"/>
      <w:jc w:val="both"/>
      <w:outlineLvl w:val="2"/>
    </w:pPr>
    <w:rPr>
      <w:rFonts w:ascii="Arial" w:hAnsi="Arial" w:cs="Arial"/>
      <w:b/>
      <w:sz w:val="22"/>
    </w:rPr>
  </w:style>
  <w:style w:type="paragraph" w:styleId="Heading4">
    <w:name w:val="heading 4"/>
    <w:basedOn w:val="Normal"/>
    <w:next w:val="Normal"/>
    <w:qFormat/>
    <w:pPr>
      <w:keepNext w:val="true"/>
      <w:numPr>
        <w:ilvl w:val="3"/>
        <w:numId w:val="1"/>
      </w:numPr>
      <w:outlineLvl w:val="3"/>
    </w:pPr>
    <w:rPr>
      <w:u w:val="single"/>
    </w:rPr>
  </w:style>
  <w:style w:type="paragraph" w:styleId="Heading5">
    <w:name w:val="heading 5"/>
    <w:basedOn w:val="Normal"/>
    <w:next w:val="Normal"/>
    <w:qFormat/>
    <w:pPr>
      <w:keepNext w:val="true"/>
      <w:numPr>
        <w:ilvl w:val="4"/>
        <w:numId w:val="1"/>
      </w:numPr>
      <w:outlineLvl w:val="4"/>
    </w:pPr>
    <w:rPr>
      <w:sz w:val="24"/>
      <w:lang w:val="en-US"/>
    </w:rPr>
  </w:style>
  <w:style w:type="paragraph" w:styleId="Heading6">
    <w:name w:val="heading 6"/>
    <w:basedOn w:val="Normal"/>
    <w:next w:val="Normal"/>
    <w:qFormat/>
    <w:pPr>
      <w:keepNext w:val="true"/>
      <w:numPr>
        <w:ilvl w:val="5"/>
        <w:numId w:val="1"/>
      </w:numPr>
      <w:outlineLvl w:val="5"/>
    </w:pPr>
    <w:rPr>
      <w:sz w:val="24"/>
      <w:u w:val="single"/>
    </w:rPr>
  </w:style>
  <w:style w:type="paragraph" w:styleId="Heading7">
    <w:name w:val="heading 7"/>
    <w:basedOn w:val="Normal"/>
    <w:next w:val="Normal"/>
    <w:qFormat/>
    <w:pPr>
      <w:keepNext w:val="true"/>
      <w:numPr>
        <w:ilvl w:val="6"/>
        <w:numId w:val="1"/>
      </w:numPr>
      <w:outlineLvl w:val="6"/>
    </w:pPr>
    <w:rPr>
      <w:b/>
      <w:sz w:val="24"/>
    </w:rPr>
  </w:style>
  <w:style w:type="paragraph" w:styleId="Heading8">
    <w:name w:val="heading 8"/>
    <w:basedOn w:val="Normal"/>
    <w:next w:val="Normal"/>
    <w:qFormat/>
    <w:pPr>
      <w:keepNext w:val="true"/>
      <w:numPr>
        <w:ilvl w:val="7"/>
        <w:numId w:val="1"/>
      </w:numPr>
      <w:jc w:val="center"/>
      <w:outlineLvl w:val="7"/>
    </w:pPr>
    <w:rPr>
      <w:b/>
      <w:sz w:val="24"/>
    </w:rPr>
  </w:style>
  <w:style w:type="paragraph" w:styleId="Heading9">
    <w:name w:val="heading 9"/>
    <w:basedOn w:val="Normal"/>
    <w:next w:val="Normal"/>
    <w:qFormat/>
    <w:pPr>
      <w:keepNext w:val="true"/>
      <w:numPr>
        <w:ilvl w:val="8"/>
        <w:numId w:val="1"/>
      </w:numPr>
      <w:jc w:val="center"/>
      <w:outlineLvl w:val="8"/>
    </w:pPr>
    <w:rPr>
      <w:sz w:val="28"/>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rFonts w:ascii="Wingdings" w:hAnsi="Wingdings" w:cs="Wingdings"/>
    </w:rPr>
  </w:style>
  <w:style w:type="character" w:styleId="WW8Num6z0">
    <w:name w:val="WW8Num6z0"/>
    <w:qFormat/>
    <w:rPr/>
  </w:style>
  <w:style w:type="character" w:styleId="WW8Num7z0">
    <w:name w:val="WW8Num7z0"/>
    <w:qFormat/>
    <w:rPr>
      <w:rFonts w:ascii="Wingdings" w:hAnsi="Wingdings" w:cs="Wingdings"/>
    </w:rPr>
  </w:style>
  <w:style w:type="character" w:styleId="WW8Num9z0">
    <w:name w:val="WW8Num9z0"/>
    <w:qFormat/>
    <w:rPr>
      <w:rFonts w:ascii="Times New Roman" w:hAnsi="Times New Roman" w:cs="Times New Roman"/>
    </w:rPr>
  </w:style>
  <w:style w:type="character" w:styleId="WW8Num10z0">
    <w:name w:val="WW8Num10z0"/>
    <w:qFormat/>
    <w:rPr/>
  </w:style>
  <w:style w:type="character" w:styleId="WW8Num11z0">
    <w:name w:val="WW8Num11z0"/>
    <w:qFormat/>
    <w:rPr>
      <w:rFonts w:ascii="Symbol" w:hAnsi="Symbol" w:cs="Symbol"/>
    </w:rPr>
  </w:style>
  <w:style w:type="character" w:styleId="WW8Num12z0">
    <w:name w:val="WW8Num12z0"/>
    <w:qFormat/>
    <w:rPr>
      <w:rFonts w:ascii="Wingdings" w:hAnsi="Wingdings" w:cs="Wingdings"/>
    </w:rPr>
  </w:style>
  <w:style w:type="character" w:styleId="WW8Num13z0">
    <w:name w:val="WW8Num13z0"/>
    <w:qFormat/>
    <w:rPr/>
  </w:style>
  <w:style w:type="character" w:styleId="WW8Num14z0">
    <w:name w:val="WW8Num14z0"/>
    <w:qFormat/>
    <w:rPr>
      <w:rFonts w:ascii="Wingdings" w:hAnsi="Wingdings" w:cs="Wingdings"/>
    </w:rPr>
  </w:style>
  <w:style w:type="character" w:styleId="WW8Num15z0">
    <w:name w:val="WW8Num15z0"/>
    <w:qFormat/>
    <w:rPr>
      <w:rFonts w:ascii="Arrus BT;Bookman Old Style" w:hAnsi="Arrus BT;Bookman Old Style" w:cs="Arrus BT;Bookman Old Style"/>
      <w:b/>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15z1">
    <w:name w:val="WW8Num15z1"/>
    <w:qFormat/>
    <w:rPr>
      <w:rFonts w:ascii="Times New Roman" w:hAnsi="Times New Roman" w:cs="Times New Roman"/>
      <w:b w:val="false"/>
      <w:i w:val="false"/>
      <w:sz w:val="24"/>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rFonts w:ascii="Symbol" w:hAnsi="Symbol" w:cs="Symbol"/>
    </w:rPr>
  </w:style>
  <w:style w:type="character" w:styleId="WW8Num23z0">
    <w:name w:val="WW8Num23z0"/>
    <w:qFormat/>
    <w:rPr/>
  </w:style>
  <w:style w:type="character" w:styleId="WW8Num24z0">
    <w:name w:val="WW8Num24z0"/>
    <w:qFormat/>
    <w:rPr>
      <w:rFonts w:ascii="Marlett" w:hAnsi="Marlett" w:cs="Marlett"/>
      <w:sz w:val="24"/>
    </w:rPr>
  </w:style>
  <w:style w:type="character" w:styleId="WW8Num25z0">
    <w:name w:val="WW8Num25z0"/>
    <w:qFormat/>
    <w:rPr/>
  </w:style>
  <w:style w:type="character" w:styleId="WW8Num26z0">
    <w:name w:val="WW8Num26z0"/>
    <w:qFormat/>
    <w:rPr/>
  </w:style>
  <w:style w:type="character" w:styleId="WW8Num27z0">
    <w:name w:val="WW8Num27z0"/>
    <w:qFormat/>
    <w:rPr>
      <w:rFonts w:ascii="Times New Roman" w:hAnsi="Times New Roman" w:cs="Times New Roman"/>
      <w:b/>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27z1">
    <w:name w:val="WW8Num27z1"/>
    <w:qFormat/>
    <w:rPr>
      <w:rFonts w:ascii="Times New Roman" w:hAnsi="Times New Roman" w:cs="Times New Roman"/>
      <w:b w:val="false"/>
      <w:i w:val="false"/>
      <w:sz w:val="24"/>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rFonts w:ascii="Times New Roman" w:hAnsi="Times New Roman" w:cs="Times New Roman"/>
      <w:b/>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31z1">
    <w:name w:val="WW8Num31z1"/>
    <w:qFormat/>
    <w:rPr>
      <w:rFonts w:ascii="Times New Roman" w:hAnsi="Times New Roman" w:cs="Times New Roman"/>
      <w:b w:val="false"/>
      <w:i w:val="false"/>
      <w:sz w:val="24"/>
    </w:rPr>
  </w:style>
  <w:style w:type="character" w:styleId="WW8Num32z0">
    <w:name w:val="WW8Num32z0"/>
    <w:qFormat/>
    <w:rPr>
      <w:rFonts w:ascii="Symbol" w:hAnsi="Symbol" w:cs="Symbol"/>
    </w:rPr>
  </w:style>
  <w:style w:type="character" w:styleId="WW8Num33z0">
    <w:name w:val="WW8Num33z0"/>
    <w:qFormat/>
    <w:rPr/>
  </w:style>
  <w:style w:type="character" w:styleId="WW8Num34z0">
    <w:name w:val="WW8Num34z0"/>
    <w:qFormat/>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39z0">
    <w:name w:val="WW8Num39z0"/>
    <w:qFormat/>
    <w:rPr>
      <w:rFonts w:ascii="Wingdings" w:hAnsi="Wingdings" w:cs="Wingdings"/>
    </w:rPr>
  </w:style>
  <w:style w:type="character" w:styleId="WW8Num40z0">
    <w:name w:val="WW8Num40z0"/>
    <w:qFormat/>
    <w:rPr/>
  </w:style>
  <w:style w:type="character" w:styleId="WW8Num41z0">
    <w:name w:val="WW8Num41z0"/>
    <w:qFormat/>
    <w:rPr/>
  </w:style>
  <w:style w:type="character" w:styleId="WW8Num42z0">
    <w:name w:val="WW8Num42z0"/>
    <w:qFormat/>
    <w:rPr/>
  </w:style>
  <w:style w:type="character" w:styleId="WW8Num43z0">
    <w:name w:val="WW8Num43z0"/>
    <w:qFormat/>
    <w:rPr/>
  </w:style>
  <w:style w:type="character" w:styleId="WW8Num44z0">
    <w:name w:val="WW8Num44z0"/>
    <w:qFormat/>
    <w:rPr/>
  </w:style>
  <w:style w:type="character" w:styleId="WW8Num45z0">
    <w:name w:val="WW8Num45z0"/>
    <w:qFormat/>
    <w:rPr/>
  </w:style>
  <w:style w:type="character" w:styleId="WW8Num46z0">
    <w:name w:val="WW8Num46z0"/>
    <w:qFormat/>
    <w:rPr>
      <w:rFonts w:ascii="Wingdings" w:hAnsi="Wingdings" w:cs="Wingdings"/>
    </w:rPr>
  </w:style>
  <w:style w:type="character" w:styleId="WW8Num47z0">
    <w:name w:val="WW8Num47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CommentReference">
    <w:name w:val="Comment Reference"/>
    <w:basedOn w:val="DefaultParagraphFont"/>
    <w:qFormat/>
    <w:rPr>
      <w:sz w:val="16"/>
    </w:rPr>
  </w:style>
  <w:style w:type="paragraph" w:styleId="Heading">
    <w:name w:val="Heading"/>
    <w:basedOn w:val="Normal"/>
    <w:next w:val="BodyText"/>
    <w:qFormat/>
    <w:pPr>
      <w:jc w:val="center"/>
    </w:pPr>
    <w:rPr>
      <w:rFonts w:ascii="Arial" w:hAnsi="Arial" w:cs="Arial"/>
      <w:b/>
      <w:sz w:val="22"/>
      <w:u w:val="single"/>
    </w:rPr>
  </w:style>
  <w:style w:type="paragraph" w:styleId="BodyText">
    <w:name w:val="Body Text"/>
    <w:basedOn w:val="Normal"/>
    <w:pPr>
      <w:jc w:val="both"/>
    </w:pPr>
    <w:rPr>
      <w:rFonts w:ascii="Arial" w:hAnsi="Arial" w:cs="Arial"/>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709" w:start="709" w:end="0"/>
      <w:jc w:val="both"/>
    </w:pPr>
    <w:rPr>
      <w:rFonts w:ascii="Arial" w:hAnsi="Arial" w:cs="Arial"/>
      <w:sz w:val="22"/>
    </w:rPr>
  </w:style>
  <w:style w:type="paragraph" w:styleId="BodyTextIndent2">
    <w:name w:val="Body Text Indent 2"/>
    <w:basedOn w:val="Normal"/>
    <w:qFormat/>
    <w:pPr>
      <w:ind w:hanging="710" w:start="1418" w:end="0"/>
      <w:jc w:val="both"/>
    </w:pPr>
    <w:rPr>
      <w:rFonts w:ascii="Arial" w:hAnsi="Arial" w:cs="Arial"/>
      <w:sz w:val="22"/>
    </w:rPr>
  </w:style>
  <w:style w:type="paragraph" w:styleId="BodyTextIndent3">
    <w:name w:val="Body Text Indent 3"/>
    <w:basedOn w:val="Normal"/>
    <w:qFormat/>
    <w:pPr>
      <w:ind w:hanging="705" w:start="705" w:end="0"/>
      <w:jc w:val="both"/>
    </w:pPr>
    <w:rPr>
      <w:rFonts w:ascii="Arial" w:hAnsi="Arial" w:cs="Arial"/>
      <w:sz w:val="22"/>
    </w:rPr>
  </w:style>
  <w:style w:type="paragraph" w:styleId="HeaderandFooter">
    <w:name w:val="Header and Footer"/>
    <w:basedOn w:val="Normal"/>
    <w:qFormat/>
    <w:pPr>
      <w:suppressLineNumbers/>
      <w:tabs>
        <w:tab w:val="clear" w:pos="708"/>
        <w:tab w:val="center" w:pos="4986" w:leader="none"/>
        <w:tab w:val="right" w:pos="9972" w:leader="none"/>
      </w:tabs>
    </w:pPr>
    <w:rPr/>
  </w:style>
  <w:style w:type="paragraph" w:styleId="Header">
    <w:name w:val="header"/>
    <w:basedOn w:val="Normal"/>
    <w:pPr>
      <w:tabs>
        <w:tab w:val="clear" w:pos="708"/>
        <w:tab w:val="center" w:pos="4252" w:leader="none"/>
        <w:tab w:val="right" w:pos="8504" w:leader="none"/>
      </w:tabs>
    </w:pPr>
    <w:rPr/>
  </w:style>
  <w:style w:type="paragraph" w:styleId="Footer">
    <w:name w:val="footer"/>
    <w:basedOn w:val="Normal"/>
    <w:pPr>
      <w:tabs>
        <w:tab w:val="clear" w:pos="708"/>
        <w:tab w:val="center" w:pos="4252" w:leader="none"/>
        <w:tab w:val="right" w:pos="8504" w:leader="none"/>
      </w:tabs>
    </w:pPr>
    <w:rPr/>
  </w:style>
  <w:style w:type="paragraph" w:styleId="FootnoteText">
    <w:name w:val="footnote text"/>
    <w:basedOn w:val="Normal"/>
    <w:pPr/>
    <w:rPr/>
  </w:style>
  <w:style w:type="paragraph" w:styleId="BodyText2">
    <w:name w:val="Body Text 2"/>
    <w:basedOn w:val="Normal"/>
    <w:qFormat/>
    <w:pPr>
      <w:jc w:val="both"/>
    </w:pPr>
    <w:rPr>
      <w:sz w:val="24"/>
      <w:lang w:val="en-US"/>
    </w:rPr>
  </w:style>
  <w:style w:type="paragraph" w:styleId="CommentText">
    <w:name w:val="Comment Text"/>
    <w:basedOn w:val="Normal"/>
    <w:qFormat/>
    <w:pPr/>
    <w:rPr/>
  </w:style>
  <w:style w:type="paragraph" w:styleId="3INDENT">
    <w:name w:val="3 INDENT"/>
    <w:basedOn w:val="Normal"/>
    <w:qFormat/>
    <w:pPr>
      <w:numPr>
        <w:ilvl w:val="0"/>
        <w:numId w:val="2"/>
      </w:numPr>
      <w:spacing w:before="0" w:after="120"/>
      <w:jc w:val="both"/>
    </w:pPr>
    <w:rPr>
      <w:rFonts w:ascii="Arrus BT;Bookman Old Style" w:hAnsi="Arrus BT;Bookman Old Style" w:cs="Arrus BT;Bookman Old Style"/>
      <w:color w:val="000000"/>
      <w:sz w:val="24"/>
      <w:lang w:val="es-AR"/>
    </w:rPr>
  </w:style>
  <w:style w:type="paragraph" w:styleId="BodyText3">
    <w:name w:val="Body Text 3"/>
    <w:basedOn w:val="Normal"/>
    <w:qFormat/>
    <w:pPr/>
    <w:rPr>
      <w:sz w:val="40"/>
      <w:lang w:val="es-AR" w:eastAsia="es-E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2001-01-09T17:14:00Z</dcterms:created>
  <dc:creator>Hernán López Mazzeo</dc:creator>
  <dc:description/>
  <dc:language>en-CA</dc:language>
  <cp:lastModifiedBy>Enron4</cp:lastModifiedBy>
  <cp:lastPrinted>2001-01-11T19:27:00Z</cp:lastPrinted>
  <dcterms:modified xsi:type="dcterms:W3CDTF">2001-01-11T20:00:00Z</dcterms:modified>
  <cp:revision>11</cp:revision>
  <dc:subject/>
  <dc:title>El presente es el listado de la información existente en el data-room, en las oficinas de Central Puerto S</dc:title>
</cp:coreProperties>
</file>