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widowControl/>
        <w:jc w:val="end"/>
        <w:rPr/>
      </w:pPr>
      <w:r>
        <w:rPr/>
        <w:t>MTH&amp;M DRAFT</w:t>
        <w:br/>
        <w:t xml:space="preserve"> </w:t>
      </w:r>
      <w:r>
        <w:rPr>
          <w:strike/>
        </w:rPr>
        <w:t>8/11/00</w:t>
      </w:r>
      <w:r>
        <w:rPr/>
        <w:t xml:space="preserve"> </w:t>
      </w:r>
      <w:r>
        <w:rPr>
          <w:b/>
          <w:bCs/>
          <w:u w:val="double"/>
        </w:rPr>
        <w:t>8/22/00</w:t>
      </w:r>
    </w:p>
    <w:p>
      <w:pPr>
        <w:pStyle w:val="Normal"/>
        <w:keepNext w:val="true"/>
        <w:keepLines/>
        <w:widowControl/>
        <w:jc w:val="end"/>
        <w:rPr/>
      </w:pPr>
      <w:r>
        <w:rPr/>
      </w:r>
    </w:p>
    <w:p>
      <w:pPr>
        <w:pStyle w:val="Normal"/>
        <w:keepNext w:val="true"/>
        <w:keepLines/>
        <w:widowControl/>
        <w:rPr/>
      </w:pPr>
      <w:r>
        <w:rPr/>
      </w:r>
    </w:p>
    <w:p>
      <w:pPr>
        <w:pStyle w:val="Normal"/>
        <w:keepNext w:val="true"/>
        <w:keepLines/>
        <w:widowControl/>
        <w:rPr/>
      </w:pPr>
      <w:r>
        <w:rPr/>
      </w:r>
    </w:p>
    <w:p>
      <w:pPr>
        <w:pStyle w:val="Normal"/>
        <w:widowControl/>
        <w:rPr/>
      </w:pPr>
      <w:r>
        <w:rPr/>
        <w:tab/>
        <w:tab/>
        <w:t xml:space="preserve">This </w:t>
      </w:r>
      <w:r>
        <w:rPr>
          <w:b/>
          <w:bCs/>
        </w:rPr>
        <w:t>INDEMNIFICATION AGREEMENT</w:t>
      </w:r>
      <w:r>
        <w:rPr/>
        <w:t xml:space="preserve"> (this "</w:t>
      </w:r>
      <w:r>
        <w:rPr>
          <w:u w:val="single"/>
        </w:rPr>
        <w:t>Agreement</w:t>
      </w:r>
      <w:r>
        <w:rPr/>
        <w:t xml:space="preserve">") is made as of August </w:t>
      </w:r>
      <w:r>
        <w:rPr>
          <w:strike/>
        </w:rPr>
        <w:t>[__]</w:t>
      </w:r>
      <w:r>
        <w:rPr/>
        <w:t xml:space="preserve"> </w:t>
      </w:r>
      <w:r>
        <w:rPr>
          <w:b/>
          <w:bCs/>
          <w:u w:val="double"/>
        </w:rPr>
        <w:t>25</w:t>
      </w:r>
      <w:r>
        <w:rPr/>
        <w:t>, 2000 by and among:</w:t>
      </w:r>
    </w:p>
    <w:p>
      <w:pPr>
        <w:pStyle w:val="Normal"/>
        <w:widowControl/>
        <w:rPr/>
      </w:pPr>
      <w:r>
        <w:rPr/>
      </w:r>
    </w:p>
    <w:p>
      <w:pPr>
        <w:pStyle w:val="Normal"/>
        <w:widowControl/>
        <w:ind w:firstLine="720" w:start="720" w:end="0"/>
        <w:rPr/>
      </w:pPr>
      <w:r>
        <w:rPr/>
        <w:t xml:space="preserve">(A)  </w:t>
      </w:r>
      <w:r>
        <w:rPr>
          <w:b/>
          <w:bCs/>
        </w:rPr>
        <w:t>ENRON CORP.</w:t>
      </w:r>
      <w:r>
        <w:rPr/>
        <w:t>, an Oregon corporation ("</w:t>
      </w:r>
      <w:r>
        <w:rPr>
          <w:u w:val="single"/>
        </w:rPr>
        <w:t>Enron</w:t>
      </w:r>
      <w:r>
        <w:rPr/>
        <w:t>"); and</w:t>
      </w:r>
    </w:p>
    <w:p>
      <w:pPr>
        <w:pStyle w:val="Normal"/>
        <w:widowControl/>
        <w:ind w:firstLine="720" w:start="720" w:end="0"/>
        <w:rPr/>
      </w:pPr>
      <w:r>
        <w:rPr/>
      </w:r>
    </w:p>
    <w:p>
      <w:pPr>
        <w:pStyle w:val="Normal"/>
        <w:widowControl/>
        <w:ind w:firstLine="720" w:start="720" w:end="0"/>
        <w:rPr/>
      </w:pPr>
      <w:r>
        <w:rPr/>
        <w:t xml:space="preserve">(B)  </w:t>
      </w:r>
      <w:r>
        <w:rPr>
          <w:b/>
          <w:bCs/>
        </w:rPr>
        <w:t>UNITED STATES TRUST COMPANY OF NEW YORK</w:t>
      </w:r>
      <w:r>
        <w:rPr/>
        <w:t xml:space="preserve">, as </w:t>
      </w:r>
      <w:r>
        <w:rPr>
          <w:strike/>
        </w:rPr>
        <w:t>collateral</w:t>
      </w:r>
      <w:r>
        <w:rPr/>
        <w:t xml:space="preserve"> </w:t>
      </w:r>
      <w:r>
        <w:rPr>
          <w:b/>
          <w:bCs/>
          <w:u w:val="double"/>
        </w:rPr>
        <w:t>paying</w:t>
      </w:r>
      <w:r>
        <w:rPr/>
        <w:t xml:space="preserve"> agent </w:t>
      </w:r>
      <w:r>
        <w:rPr>
          <w:strike/>
        </w:rPr>
        <w:t>and</w:t>
      </w:r>
      <w:r>
        <w:rPr>
          <w:b/>
          <w:bCs/>
          <w:u w:val="double"/>
        </w:rPr>
        <w:t>,</w:t>
      </w:r>
      <w:r>
        <w:rPr/>
        <w:t xml:space="preserve"> securities intermediary </w:t>
      </w:r>
      <w:r>
        <w:rPr>
          <w:b/>
          <w:bCs/>
          <w:u w:val="double"/>
        </w:rPr>
        <w:t>and collateral agent</w:t>
      </w:r>
      <w:r>
        <w:rPr/>
        <w:t xml:space="preserve"> (in such capacities, the </w:t>
      </w:r>
      <w:r>
        <w:rPr>
          <w:strike/>
        </w:rPr>
        <w:t>"Collateral</w:t>
      </w:r>
      <w:r>
        <w:rPr>
          <w:b/>
          <w:bCs/>
          <w:u w:val="double"/>
        </w:rPr>
        <w:t>"Paying</w:t>
      </w:r>
      <w:r>
        <w:rPr>
          <w:u w:val="single"/>
        </w:rPr>
        <w:t xml:space="preserve"> Agent</w:t>
      </w:r>
      <w:r>
        <w:rPr/>
        <w:t>").</w:t>
      </w:r>
    </w:p>
    <w:p>
      <w:pPr>
        <w:pStyle w:val="Normal"/>
        <w:widowControl/>
        <w:ind w:firstLine="720" w:start="720" w:end="0"/>
        <w:rPr/>
      </w:pPr>
      <w:r>
        <w:rPr/>
      </w:r>
    </w:p>
    <w:p>
      <w:pPr>
        <w:pStyle w:val="Normal"/>
        <w:widowControl/>
        <w:rPr/>
      </w:pPr>
      <w:r>
        <w:rPr/>
        <w:tab/>
        <w:tab/>
        <w:t xml:space="preserve">On the date hereof, the </w:t>
      </w:r>
      <w:r>
        <w:rPr>
          <w:strike/>
        </w:rPr>
        <w:t>Collateral</w:t>
      </w:r>
      <w:r>
        <w:rPr/>
        <w:t xml:space="preserve"> </w:t>
      </w:r>
      <w:r>
        <w:rPr>
          <w:b/>
          <w:bCs/>
          <w:u w:val="double"/>
        </w:rPr>
        <w:t>Paying</w:t>
      </w:r>
      <w:r>
        <w:rPr/>
        <w:t xml:space="preserve"> Agent has entered into a </w:t>
      </w:r>
      <w:r>
        <w:rPr>
          <w:strike/>
        </w:rPr>
        <w:t>Security</w:t>
      </w:r>
      <w:r>
        <w:rPr/>
        <w:t xml:space="preserve"> </w:t>
      </w:r>
      <w:r>
        <w:rPr>
          <w:b/>
          <w:bCs/>
          <w:u w:val="double"/>
        </w:rPr>
        <w:t>Paying Agency</w:t>
      </w:r>
      <w:r>
        <w:rPr/>
        <w:t xml:space="preserve"> Agreement dated as of August </w:t>
      </w:r>
      <w:r>
        <w:rPr>
          <w:strike/>
        </w:rPr>
        <w:t>[__]</w:t>
      </w:r>
      <w:r>
        <w:rPr/>
        <w:t xml:space="preserve"> </w:t>
      </w:r>
      <w:r>
        <w:rPr>
          <w:b/>
          <w:bCs/>
          <w:u w:val="double"/>
        </w:rPr>
        <w:t>25</w:t>
      </w:r>
      <w:r>
        <w:rPr/>
        <w:t xml:space="preserve">, 2000 (as from time to time amended, the </w:t>
      </w:r>
      <w:r>
        <w:rPr>
          <w:strike/>
        </w:rPr>
        <w:t>"Security</w:t>
      </w:r>
      <w:r>
        <w:rPr>
          <w:b/>
          <w:bCs/>
          <w:u w:val="double"/>
        </w:rPr>
        <w:t>"Paying Agency</w:t>
      </w:r>
      <w:r>
        <w:rPr>
          <w:u w:val="single"/>
        </w:rPr>
        <w:t xml:space="preserve"> Agreement</w:t>
      </w:r>
      <w:r>
        <w:rPr/>
        <w:t xml:space="preserve">") with respect to a commodity swap transaction entered into by </w:t>
      </w:r>
      <w:r>
        <w:rPr>
          <w:strike/>
        </w:rPr>
        <w:t>and between Citibank, N.A. and</w:t>
      </w:r>
      <w:r>
        <w:rPr/>
        <w:t xml:space="preserve"> Delta Energy Corporation.  To induce the </w:t>
      </w:r>
      <w:r>
        <w:rPr>
          <w:strike/>
        </w:rPr>
        <w:t>Collateral</w:t>
      </w:r>
      <w:r>
        <w:rPr/>
        <w:t xml:space="preserve"> </w:t>
      </w:r>
      <w:r>
        <w:rPr>
          <w:b/>
          <w:bCs/>
          <w:u w:val="double"/>
        </w:rPr>
        <w:t>Paying</w:t>
      </w:r>
      <w:r>
        <w:rPr/>
        <w:t xml:space="preserve"> Agent to enter into the </w:t>
      </w:r>
      <w:r>
        <w:rPr>
          <w:strike/>
        </w:rPr>
        <w:t>Security</w:t>
      </w:r>
      <w:r>
        <w:rPr/>
        <w:t xml:space="preserve"> </w:t>
      </w:r>
      <w:r>
        <w:rPr>
          <w:b/>
          <w:bCs/>
          <w:u w:val="double"/>
        </w:rPr>
        <w:t>Paying Agency</w:t>
      </w:r>
      <w:r>
        <w:rPr/>
        <w:t xml:space="preserve"> Agreement, Enron has agreed to enter into this Agreement.</w:t>
      </w:r>
    </w:p>
    <w:p>
      <w:pPr>
        <w:pStyle w:val="Normal"/>
        <w:widowControl/>
        <w:ind w:hanging="720" w:start="720" w:end="0"/>
        <w:rPr/>
      </w:pPr>
      <w:r>
        <w:rPr/>
      </w:r>
    </w:p>
    <w:p>
      <w:pPr>
        <w:pStyle w:val="Normal"/>
        <w:widowControl/>
        <w:rPr/>
      </w:pPr>
      <w:r>
        <w:rPr/>
        <w:tab/>
        <w:tab/>
        <w:t>Accordingly, for good and valuable consideration, the receipt and sufficiency of which are hereby acknowledged, the parties hereto hereby agree as follows:</w:t>
      </w:r>
    </w:p>
    <w:p>
      <w:pPr>
        <w:pStyle w:val="Normal"/>
        <w:widowControl/>
        <w:rPr/>
      </w:pPr>
      <w:r>
        <w:rPr/>
      </w:r>
    </w:p>
    <w:p>
      <w:pPr>
        <w:pStyle w:val="Normal"/>
        <w:widowControl/>
        <w:rPr/>
      </w:pPr>
      <w:r>
        <w:rPr/>
        <w:tab/>
        <w:tab/>
        <w:t xml:space="preserve">SECTION 1.  </w:t>
      </w:r>
      <w:r>
        <w:rPr>
          <w:u w:val="single"/>
        </w:rPr>
        <w:t>Definitions</w:t>
      </w:r>
      <w:r>
        <w:rPr/>
        <w:t xml:space="preserve">.  Terms used herein and not otherwise defined have the meanings assigned to such terms in the </w:t>
      </w:r>
      <w:r>
        <w:rPr>
          <w:strike/>
        </w:rPr>
        <w:t>Security</w:t>
      </w:r>
      <w:r>
        <w:rPr/>
        <w:t xml:space="preserve"> </w:t>
      </w:r>
      <w:r>
        <w:rPr>
          <w:b/>
          <w:bCs/>
          <w:u w:val="double"/>
        </w:rPr>
        <w:t>Paying Agency</w:t>
      </w:r>
      <w:r>
        <w:rPr/>
        <w:t xml:space="preserve"> Agreement.</w:t>
      </w:r>
    </w:p>
    <w:p>
      <w:pPr>
        <w:pStyle w:val="Normal"/>
        <w:keepNext w:val="true"/>
        <w:keepLines/>
        <w:widowControl/>
        <w:rPr/>
      </w:pPr>
      <w:r>
        <w:rPr/>
      </w:r>
    </w:p>
    <w:p>
      <w:pPr>
        <w:pStyle w:val="Normal"/>
        <w:widowControl/>
        <w:rPr/>
      </w:pPr>
      <w:r>
        <w:rPr/>
        <w:tab/>
        <w:tab/>
        <w:t xml:space="preserve">SECTION 2.  </w:t>
      </w:r>
      <w:r>
        <w:rPr>
          <w:u w:val="single"/>
        </w:rPr>
        <w:t xml:space="preserve">Indemnification and Fees of the </w:t>
      </w:r>
      <w:r>
        <w:rPr>
          <w:strike/>
          <w:u w:val="single"/>
        </w:rPr>
        <w:t>Collateral</w:t>
      </w:r>
      <w:r>
        <w:rPr>
          <w:u w:val="single"/>
        </w:rPr>
        <w:t xml:space="preserve"> </w:t>
      </w:r>
      <w:r>
        <w:rPr>
          <w:b/>
          <w:bCs/>
          <w:u w:val="double"/>
        </w:rPr>
        <w:t>Paying</w:t>
      </w:r>
      <w:r>
        <w:rPr>
          <w:u w:val="single"/>
        </w:rPr>
        <w:t xml:space="preserve"> Agent</w:t>
      </w:r>
      <w:r>
        <w:rPr/>
        <w:t>.</w:t>
      </w:r>
    </w:p>
    <w:p>
      <w:pPr>
        <w:pStyle w:val="Normal"/>
        <w:keepNext w:val="true"/>
        <w:keepLines/>
        <w:widowControl/>
        <w:rPr/>
      </w:pPr>
      <w:r>
        <w:rPr/>
      </w:r>
    </w:p>
    <w:p>
      <w:pPr>
        <w:pStyle w:val="Normal"/>
        <w:widowControl/>
        <w:ind w:hanging="720" w:start="720" w:end="0"/>
        <w:rPr/>
      </w:pPr>
      <w:r>
        <w:rPr/>
        <w:tab/>
        <w:tab/>
        <w:t xml:space="preserve">(a)  </w:t>
      </w:r>
      <w:r>
        <w:rPr>
          <w:u w:val="single"/>
        </w:rPr>
        <w:t>Indemnity</w:t>
      </w:r>
      <w:r>
        <w:rPr/>
        <w:t xml:space="preserve">.  Enron hereby agrees to assume liability for, and indemnify, protect, save and keep harmless the </w:t>
      </w:r>
      <w:r>
        <w:rPr>
          <w:strike/>
        </w:rPr>
        <w:t>Collateral</w:t>
      </w:r>
      <w:r>
        <w:rPr/>
        <w:t xml:space="preserve"> </w:t>
      </w:r>
      <w:r>
        <w:rPr>
          <w:b/>
          <w:bCs/>
          <w:u w:val="double"/>
        </w:rPr>
        <w:t>Paying</w:t>
      </w:r>
      <w:r>
        <w:rPr/>
        <w:t xml:space="preserve"> Agent and its legal representatives, agents and servants, from and against any and all liabilities, obligations, losses, damages, penalties, claims, actions, suits, costs, expenses or disbursements (including, without limitation, reasonable legal fees and expenses) of any kind and nature whatsoever (other than loss of profits and Taxes) ("</w:t>
      </w:r>
      <w:r>
        <w:rPr>
          <w:u w:val="single"/>
        </w:rPr>
        <w:t>Losses</w:t>
      </w:r>
      <w:r>
        <w:rPr/>
        <w:t xml:space="preserve">") which may be imposed on, incurred by or asserted against the </w:t>
      </w:r>
      <w:r>
        <w:rPr>
          <w:strike/>
        </w:rPr>
        <w:t>Collateral</w:t>
      </w:r>
      <w:r>
        <w:rPr/>
        <w:t xml:space="preserve"> </w:t>
      </w:r>
      <w:r>
        <w:rPr>
          <w:b/>
          <w:bCs/>
          <w:u w:val="double"/>
        </w:rPr>
        <w:t>Paying</w:t>
      </w:r>
      <w:r>
        <w:rPr/>
        <w:t xml:space="preserve"> Agent in any way relating to or arising out of the </w:t>
      </w:r>
      <w:r>
        <w:rPr>
          <w:strike/>
        </w:rPr>
        <w:t>Security</w:t>
      </w:r>
      <w:r>
        <w:rPr/>
        <w:t xml:space="preserve"> </w:t>
      </w:r>
      <w:r>
        <w:rPr>
          <w:b/>
          <w:bCs/>
          <w:u w:val="double"/>
        </w:rPr>
        <w:t>Paying Agency</w:t>
      </w:r>
      <w:r>
        <w:rPr/>
        <w:t xml:space="preserve"> Agreement or any of the transactions contemplated hereby or thereby except to the extent any Losses are imposed, incurred or asserted as a result of the bad faith, gross negligence or willful misconduct by any Person entitled to seek indemnification (as conclusively determined by a court of competent jurisdiction); </w:t>
      </w:r>
      <w:r>
        <w:rPr>
          <w:i/>
          <w:iCs/>
        </w:rPr>
        <w:t>provided</w:t>
      </w:r>
      <w:r>
        <w:rPr/>
        <w:t xml:space="preserve"> that Enron shall not be liable for consequential, punitive, exemplary or treble damages.  Notwithstanding the foregoing proviso, the obligation of Enron to assume liability for an indemnity as provided herein will include consequential, punitive, exemplary or treble damages to the extent imposed on or paid by a Person to be indemnified under this Section 2(a).</w:t>
      </w:r>
    </w:p>
    <w:p>
      <w:pPr>
        <w:pStyle w:val="Normal"/>
        <w:widowControl/>
        <w:rPr/>
      </w:pPr>
      <w:r>
        <w:rPr/>
      </w:r>
    </w:p>
    <w:p>
      <w:pPr>
        <w:pStyle w:val="Normal"/>
        <w:widowControl/>
        <w:ind w:hanging="720" w:start="720" w:end="0"/>
        <w:rPr/>
      </w:pPr>
      <w:r>
        <w:rPr/>
        <w:tab/>
        <w:tab/>
        <w:t xml:space="preserve">(b)  </w:t>
      </w:r>
      <w:r>
        <w:rPr>
          <w:u w:val="single"/>
        </w:rPr>
        <w:t>Out-of-Pocket Expenses</w:t>
      </w:r>
      <w:r>
        <w:rPr/>
        <w:t xml:space="preserve">.  Enron shall pay to the </w:t>
      </w:r>
      <w:r>
        <w:rPr>
          <w:strike/>
        </w:rPr>
        <w:t>Collateral</w:t>
      </w:r>
      <w:r>
        <w:rPr/>
        <w:t xml:space="preserve"> </w:t>
      </w:r>
      <w:r>
        <w:rPr>
          <w:b/>
          <w:bCs/>
          <w:u w:val="double"/>
        </w:rPr>
        <w:t>Paying</w:t>
      </w:r>
      <w:r>
        <w:rPr/>
        <w:t xml:space="preserve"> Agent the amount of any and all reasonable out-of-pocket expenses, including the reasonable fees and expenses of one special counsel (and any local counsel) </w:t>
      </w:r>
      <w:r>
        <w:rPr>
          <w:b/>
          <w:bCs/>
          <w:u w:val="double"/>
        </w:rPr>
        <w:t>for the Paying Agent</w:t>
      </w:r>
      <w:r>
        <w:rPr/>
        <w:t xml:space="preserve"> and of any experts and agents, which the </w:t>
      </w:r>
      <w:r>
        <w:rPr>
          <w:strike/>
        </w:rPr>
        <w:t>Collateral</w:t>
      </w:r>
      <w:r>
        <w:rPr/>
        <w:t xml:space="preserve"> </w:t>
      </w:r>
      <w:r>
        <w:rPr>
          <w:b/>
          <w:bCs/>
          <w:u w:val="double"/>
        </w:rPr>
        <w:t>Paying</w:t>
      </w:r>
      <w:r>
        <w:rPr/>
        <w:t xml:space="preserve"> Agent may incur in connection with its duties under the </w:t>
      </w:r>
      <w:r>
        <w:rPr>
          <w:strike/>
        </w:rPr>
        <w:t>Security</w:t>
      </w:r>
      <w:r>
        <w:rPr/>
        <w:t xml:space="preserve"> </w:t>
      </w:r>
      <w:r>
        <w:rPr>
          <w:b/>
          <w:bCs/>
          <w:u w:val="double"/>
        </w:rPr>
        <w:t>Paying Agency</w:t>
      </w:r>
      <w:r>
        <w:rPr/>
        <w:t xml:space="preserve"> Agreement. </w:t>
      </w:r>
    </w:p>
    <w:p>
      <w:pPr>
        <w:pStyle w:val="Normal"/>
        <w:widowControl/>
        <w:rPr/>
      </w:pPr>
      <w:r>
        <w:rPr/>
      </w:r>
    </w:p>
    <w:p>
      <w:pPr>
        <w:pStyle w:val="Normal"/>
        <w:widowControl/>
        <w:ind w:hanging="720" w:start="720" w:end="0"/>
        <w:rPr/>
      </w:pPr>
      <w:r>
        <w:rPr/>
        <w:tab/>
        <w:tab/>
        <w:t xml:space="preserve">(c)  </w:t>
      </w:r>
      <w:r>
        <w:rPr>
          <w:u w:val="single"/>
        </w:rPr>
        <w:t>Annual Fees</w:t>
      </w:r>
      <w:r>
        <w:rPr/>
        <w:t xml:space="preserve">.  Enron agrees to pay to the </w:t>
      </w:r>
      <w:r>
        <w:rPr>
          <w:strike/>
        </w:rPr>
        <w:t>Collateral</w:t>
      </w:r>
      <w:r>
        <w:rPr/>
        <w:t xml:space="preserve"> </w:t>
      </w:r>
      <w:r>
        <w:rPr>
          <w:b/>
          <w:bCs/>
          <w:u w:val="double"/>
        </w:rPr>
        <w:t>Paying</w:t>
      </w:r>
      <w:r>
        <w:rPr/>
        <w:t xml:space="preserve"> Agent an annual fee in advance, on the date hereof and on each anniversary of the date hereof, unless any such anniversary shall be the date on which this Agreement terminates.  Any fee paid for a period of less than one year shall be pro-rated for such period.</w:t>
      </w:r>
    </w:p>
    <w:p>
      <w:pPr>
        <w:pStyle w:val="Normal"/>
        <w:widowControl/>
        <w:rPr/>
      </w:pPr>
      <w:r>
        <w:rPr/>
      </w:r>
    </w:p>
    <w:p>
      <w:pPr>
        <w:pStyle w:val="Normal"/>
        <w:widowControl/>
        <w:ind w:hanging="720" w:start="720" w:end="0"/>
        <w:rPr/>
      </w:pPr>
      <w:r>
        <w:rPr/>
        <w:tab/>
        <w:tab/>
        <w:t xml:space="preserve">(d)  </w:t>
      </w:r>
      <w:r>
        <w:rPr>
          <w:u w:val="single"/>
        </w:rPr>
        <w:t>Survival</w:t>
      </w:r>
      <w:r>
        <w:rPr/>
        <w:t xml:space="preserve">.  The provisions of Sections 2(a) and (b) shall survive termination of this Agreement and the resignation or removal of the </w:t>
      </w:r>
      <w:r>
        <w:rPr>
          <w:strike/>
        </w:rPr>
        <w:t>Collateral</w:t>
      </w:r>
      <w:r>
        <w:rPr/>
        <w:t xml:space="preserve"> </w:t>
      </w:r>
      <w:r>
        <w:rPr>
          <w:b/>
          <w:bCs/>
          <w:u w:val="double"/>
        </w:rPr>
        <w:t>Paying</w:t>
      </w:r>
      <w:r>
        <w:rPr/>
        <w:t xml:space="preserve"> Agent.</w:t>
      </w:r>
    </w:p>
    <w:p>
      <w:pPr>
        <w:pStyle w:val="Normal"/>
        <w:widowControl/>
        <w:rPr/>
      </w:pPr>
      <w:r>
        <w:rPr/>
      </w:r>
    </w:p>
    <w:p>
      <w:pPr>
        <w:pStyle w:val="Normal"/>
        <w:widowControl/>
        <w:rPr/>
      </w:pPr>
      <w:r>
        <w:rPr/>
        <w:tab/>
        <w:tab/>
        <w:t xml:space="preserve">SECTION 3.  </w:t>
      </w:r>
      <w:r>
        <w:rPr>
          <w:u w:val="single"/>
        </w:rPr>
        <w:t>Effect of Headings</w:t>
      </w:r>
      <w:r>
        <w:rPr/>
        <w:t>.  The headings of the Sections, subsections, clauses and paragraphs hereof are for convenience of reference only, and shall not affect the construction or interpretation of this Agreement.</w:t>
      </w:r>
    </w:p>
    <w:p>
      <w:pPr>
        <w:pStyle w:val="Normal"/>
        <w:widowControl/>
        <w:rPr/>
      </w:pPr>
      <w:r>
        <w:rPr/>
      </w:r>
    </w:p>
    <w:p>
      <w:pPr>
        <w:pStyle w:val="Normal"/>
        <w:widowControl/>
        <w:rPr/>
      </w:pPr>
      <w:r>
        <w:rPr/>
        <w:tab/>
        <w:tab/>
        <w:t xml:space="preserve">SECTION 4.  </w:t>
      </w:r>
      <w:r>
        <w:rPr>
          <w:u w:val="single"/>
        </w:rPr>
        <w:t>Counterparts</w:t>
      </w:r>
      <w:r>
        <w:rPr/>
        <w:t>.  This Agreement may be executed in any number of counterparts, each of which shall be an original; but all such counterparts shall together constitute but one and the same instrument.</w:t>
      </w:r>
    </w:p>
    <w:p>
      <w:pPr>
        <w:pStyle w:val="Normal"/>
        <w:widowControl/>
        <w:rPr/>
      </w:pPr>
      <w:r>
        <w:rPr/>
      </w:r>
    </w:p>
    <w:p>
      <w:pPr>
        <w:pStyle w:val="Normal"/>
        <w:widowControl/>
        <w:rPr/>
      </w:pPr>
      <w:r>
        <w:rPr/>
        <w:tab/>
        <w:tab/>
        <w:t xml:space="preserve">SECTION 5.  </w:t>
      </w:r>
      <w:r>
        <w:rPr>
          <w:u w:val="single"/>
        </w:rPr>
        <w:t>Governing Law</w:t>
      </w:r>
      <w:r>
        <w:rPr/>
        <w:t>.  THE RIGHTS AND OBLIGATIONS OF EACH OF THE PARTIES UNDER THIS AGREEMENT SHALL, PURSUANT TO NEW YORK GENERAL OBLIGATIONS LAW SECTION 5-1401, BE GOVERNED BY AND CONSTRUED IN ACCORDANCE WITH THE LAW OF THE STATE OF NEW YORK.</w:t>
      </w:r>
    </w:p>
    <w:p>
      <w:pPr>
        <w:pStyle w:val="Normal"/>
        <w:widowControl/>
        <w:rPr/>
      </w:pPr>
      <w:r>
        <w:rPr/>
      </w:r>
    </w:p>
    <w:p>
      <w:pPr>
        <w:pStyle w:val="Normal"/>
        <w:widowControl/>
        <w:rPr/>
      </w:pPr>
      <w:r>
        <w:rPr/>
        <w:tab/>
        <w:tab/>
        <w:t xml:space="preserve">SECTION 6.  </w:t>
      </w:r>
      <w:r>
        <w:rPr>
          <w:u w:val="single"/>
        </w:rPr>
        <w:t>Benefit of Agreement</w:t>
      </w:r>
      <w:r>
        <w:rPr/>
        <w:t xml:space="preserve">.  All agreements, representations, warranties and indemnities in this Agreement and in any agreement, document or certificate delivered pursuant hereto shall be binding upon the Person making the same and its successors and assigns and shall inure to the benefit of and be enforceable by the Person for whom made and its successors and assigns.  The </w:t>
      </w:r>
      <w:r>
        <w:rPr>
          <w:strike/>
        </w:rPr>
        <w:t>Collateral</w:t>
      </w:r>
      <w:r>
        <w:rPr/>
        <w:t xml:space="preserve"> </w:t>
      </w:r>
      <w:r>
        <w:rPr>
          <w:b/>
          <w:bCs/>
          <w:u w:val="double"/>
        </w:rPr>
        <w:t>Paying</w:t>
      </w:r>
      <w:r>
        <w:rPr/>
        <w:t xml:space="preserve"> Agent may not assign or transfer any of its rights or obligations hereunder without the prior written consent of Enron.  This Agreement is for the sole benefit of the </w:t>
      </w:r>
      <w:r>
        <w:rPr>
          <w:strike/>
        </w:rPr>
        <w:t>Collateral</w:t>
      </w:r>
      <w:r>
        <w:rPr/>
        <w:t xml:space="preserve"> </w:t>
      </w:r>
      <w:r>
        <w:rPr>
          <w:b/>
          <w:bCs/>
          <w:u w:val="double"/>
        </w:rPr>
        <w:t>Paying</w:t>
      </w:r>
      <w:r>
        <w:rPr/>
        <w:t xml:space="preserve"> Agent,</w:t>
      </w:r>
      <w:r>
        <w:rPr>
          <w:strike/>
        </w:rPr>
        <w:t>,</w:t>
      </w:r>
      <w:r>
        <w:rPr/>
        <w:t xml:space="preserve"> all indemnified persons hereunder and each of their respective successors and assigns.</w:t>
      </w:r>
    </w:p>
    <w:p>
      <w:pPr>
        <w:pStyle w:val="Normal"/>
        <w:widowControl/>
        <w:rPr/>
      </w:pPr>
      <w:r>
        <w:rPr/>
      </w:r>
    </w:p>
    <w:p>
      <w:pPr>
        <w:pStyle w:val="Normal"/>
        <w:widowControl/>
        <w:rPr/>
      </w:pPr>
      <w:r>
        <w:rPr/>
        <w:tab/>
        <w:tab/>
        <w:t xml:space="preserve">SECTION 7.  </w:t>
      </w:r>
      <w:r>
        <w:rPr>
          <w:u w:val="single"/>
        </w:rPr>
        <w:t>Amendments</w:t>
      </w:r>
      <w:r>
        <w:rPr/>
        <w:t>.  This Agreement may be amended or modified only by the written consent of each of the parties hereto.</w:t>
      </w:r>
    </w:p>
    <w:p>
      <w:pPr>
        <w:pStyle w:val="Normal"/>
        <w:widowControl/>
        <w:rPr/>
      </w:pPr>
      <w:r>
        <w:rPr/>
      </w:r>
    </w:p>
    <w:p>
      <w:pPr>
        <w:pStyle w:val="Normal"/>
        <w:widowControl/>
        <w:jc w:val="center"/>
        <w:rPr/>
      </w:pPr>
      <w:r>
        <w:rPr/>
        <w:t>[remainder of page intentionally blank]</w:t>
      </w:r>
    </w:p>
    <w:p>
      <w:pPr>
        <w:pStyle w:val="Normal"/>
        <w:widowControl/>
        <w:rPr/>
      </w:pPr>
      <w:r>
        <w:rPr/>
      </w:r>
      <w:r>
        <w:br w:type="page"/>
      </w:r>
    </w:p>
    <w:p>
      <w:pPr>
        <w:pStyle w:val="Normal"/>
        <w:widowControl/>
        <w:rPr/>
      </w:pPr>
      <w:r>
        <w:rPr/>
      </w:r>
    </w:p>
    <w:p>
      <w:pPr>
        <w:pStyle w:val="Normal"/>
        <w:widowControl/>
        <w:rPr/>
      </w:pPr>
      <w:r>
        <w:rPr/>
        <w:tab/>
        <w:tab/>
      </w:r>
      <w:r>
        <w:rPr>
          <w:b/>
          <w:bCs/>
        </w:rPr>
        <w:t>IN WITNESS WHEREOF</w:t>
      </w:r>
      <w:r>
        <w:rPr/>
        <w:t>, the parties hereto have duly executed this Agreement as of the date first set forth above.</w:t>
      </w:r>
    </w:p>
    <w:p>
      <w:pPr>
        <w:pStyle w:val="Normal"/>
        <w:widowControl/>
        <w:rPr/>
      </w:pPr>
      <w:r>
        <w:rPr/>
      </w:r>
    </w:p>
    <w:p>
      <w:pPr>
        <w:pStyle w:val="Normal"/>
        <w:widowControl/>
        <w:ind w:start="4320" w:end="0"/>
        <w:rPr/>
      </w:pPr>
      <w:r>
        <w:rPr/>
        <w:t>ENRON CORP.</w:t>
      </w:r>
    </w:p>
    <w:p>
      <w:pPr>
        <w:pStyle w:val="Normal"/>
        <w:widowControl/>
        <w:rPr/>
      </w:pPr>
      <w:r>
        <w:rPr/>
      </w:r>
    </w:p>
    <w:p>
      <w:pPr>
        <w:pStyle w:val="Normal"/>
        <w:widowControl/>
        <w:rPr/>
      </w:pPr>
      <w:r>
        <w:rPr/>
      </w:r>
    </w:p>
    <w:p>
      <w:pPr>
        <w:pStyle w:val="Normal"/>
        <w:widowControl/>
        <w:rPr/>
      </w:pPr>
      <w:r>
        <w:rPr/>
      </w:r>
    </w:p>
    <w:p>
      <w:pPr>
        <w:pStyle w:val="Normal"/>
        <w:widowControl/>
        <w:ind w:firstLine="720" w:start="3600" w:end="0"/>
        <w:rPr/>
      </w:pPr>
      <w:r>
        <w:rPr/>
        <w:t>By:_________________________________</w:t>
      </w:r>
    </w:p>
    <w:p>
      <w:pPr>
        <w:pStyle w:val="Normal"/>
        <w:widowControl/>
        <w:ind w:firstLine="1080" w:start="3600" w:end="0"/>
        <w:rPr/>
      </w:pPr>
      <w:r>
        <w:rPr/>
        <w:t>Name:</w:t>
      </w:r>
    </w:p>
    <w:p>
      <w:pPr>
        <w:pStyle w:val="Normal"/>
        <w:widowControl/>
        <w:ind w:firstLine="1080" w:start="3600" w:end="0"/>
        <w:rPr/>
      </w:pPr>
      <w:r>
        <w:rPr/>
        <w:t>Title</w:t>
      </w:r>
      <w:r>
        <w:rPr>
          <w:color w:val="000000"/>
        </w:rPr>
        <w:t>:</w:t>
      </w:r>
    </w:p>
    <w:p>
      <w:pPr>
        <w:pStyle w:val="Normal"/>
        <w:widowControl/>
        <w:rPr>
          <w:color w:val="000000"/>
        </w:rPr>
      </w:pPr>
      <w:r>
        <w:rPr>
          <w:color w:val="000000"/>
        </w:rPr>
      </w:r>
    </w:p>
    <w:p>
      <w:pPr>
        <w:pStyle w:val="Normal"/>
        <w:widowControl/>
        <w:rPr>
          <w:color w:val="000000"/>
        </w:rPr>
      </w:pPr>
      <w:r>
        <w:rPr>
          <w:color w:val="000000"/>
        </w:rPr>
      </w:r>
    </w:p>
    <w:p>
      <w:pPr>
        <w:pStyle w:val="Normal"/>
        <w:widowControl/>
        <w:rPr>
          <w:color w:val="000000"/>
        </w:rPr>
      </w:pPr>
      <w:r>
        <w:rPr>
          <w:color w:val="000000"/>
        </w:rPr>
      </w:r>
    </w:p>
    <w:p>
      <w:pPr>
        <w:pStyle w:val="Normal"/>
        <w:widowControl/>
        <w:ind w:start="4320" w:end="0"/>
        <w:rPr/>
      </w:pPr>
      <w:r>
        <w:rPr/>
        <w:t xml:space="preserve">UNITED STATES TRUST COMPANY </w:t>
      </w:r>
    </w:p>
    <w:p>
      <w:pPr>
        <w:pStyle w:val="Normal"/>
        <w:widowControl/>
        <w:ind w:start="4320" w:end="0"/>
        <w:rPr/>
      </w:pPr>
      <w:r>
        <w:rPr/>
        <w:t xml:space="preserve">  </w:t>
      </w:r>
      <w:r>
        <w:rPr/>
        <w:t xml:space="preserve">OF NEW YORK, as </w:t>
      </w:r>
      <w:r>
        <w:rPr>
          <w:b/>
          <w:bCs/>
          <w:u w:val="double"/>
        </w:rPr>
        <w:t>Paying Agent</w:t>
      </w:r>
      <w:r>
        <w:rPr/>
        <w:t xml:space="preserve"> </w:t>
      </w:r>
      <w:r>
        <w:rPr>
          <w:strike/>
        </w:rPr>
        <w:t>Collateral Agent and</w:t>
      </w:r>
    </w:p>
    <w:p>
      <w:pPr>
        <w:pStyle w:val="Normal"/>
        <w:widowControl/>
        <w:ind w:start="4320" w:end="0"/>
        <w:rPr>
          <w:strike/>
        </w:rPr>
      </w:pPr>
      <w:r>
        <w:rPr>
          <w:strike/>
        </w:rPr>
        <w:t>Securities Intermediary</w:t>
      </w:r>
    </w:p>
    <w:p>
      <w:pPr>
        <w:pStyle w:val="Normal"/>
        <w:widowControl/>
        <w:rPr/>
      </w:pPr>
      <w:r>
        <w:rPr/>
      </w:r>
    </w:p>
    <w:p>
      <w:pPr>
        <w:pStyle w:val="Normal"/>
        <w:widowControl/>
        <w:rPr/>
      </w:pPr>
      <w:r>
        <w:rPr/>
      </w:r>
    </w:p>
    <w:p>
      <w:pPr>
        <w:pStyle w:val="Normal"/>
        <w:widowControl/>
        <w:ind w:firstLine="720" w:start="3600" w:end="0"/>
        <w:rPr/>
      </w:pPr>
      <w:r>
        <w:rPr/>
        <w:t>By:________________________________</w:t>
      </w:r>
    </w:p>
    <w:p>
      <w:pPr>
        <w:pStyle w:val="Normal"/>
        <w:widowControl/>
        <w:ind w:firstLine="1080" w:start="3600" w:end="0"/>
        <w:rPr/>
      </w:pPr>
      <w:r>
        <w:rPr/>
        <w:t>Name:</w:t>
      </w:r>
    </w:p>
    <w:p>
      <w:pPr>
        <w:pStyle w:val="Normal"/>
        <w:widowControl/>
        <w:ind w:firstLine="1080" w:start="3600" w:end="0"/>
        <w:rPr/>
      </w:pPr>
      <w:r>
        <w:rPr/>
        <w:t>Title</w:t>
      </w:r>
      <w:r>
        <w:rPr>
          <w:color w:val="000000"/>
        </w:rPr>
        <w:t>:</w:t>
      </w:r>
      <w:r>
        <w:br w:type="page"/>
      </w:r>
    </w:p>
    <w:p>
      <w:pPr>
        <w:pStyle w:val="Normal"/>
        <w:widowControl/>
        <w:rPr>
          <w:color w:val="000000"/>
        </w:rPr>
      </w:pPr>
      <w:r>
        <w:rPr>
          <w:color w:val="000000"/>
        </w:rPr>
      </w:r>
    </w:p>
    <w:p>
      <w:pPr>
        <w:pStyle w:val="Normal"/>
        <w:widowControl/>
        <w:rPr>
          <w:color w:val="000000"/>
        </w:rPr>
      </w:pPr>
      <w:r>
        <w:rPr>
          <w:color w:val="000000"/>
        </w:rPr>
      </w:r>
    </w:p>
    <w:p>
      <w:pPr>
        <w:pStyle w:val="Normal"/>
        <w:widowControl/>
        <w:rPr>
          <w:color w:val="000000"/>
        </w:rPr>
      </w:pPr>
      <w:r>
        <w:rPr>
          <w:color w:val="000000"/>
        </w:rPr>
        <w:t xml:space="preserve">This redlined draft, generated by CompareRite (TM) - The Instant Redliner, shows the differences between - </w:t>
      </w:r>
    </w:p>
    <w:p>
      <w:pPr>
        <w:pStyle w:val="Normal"/>
        <w:widowControl/>
        <w:rPr>
          <w:color w:val="000000"/>
        </w:rPr>
      </w:pPr>
      <w:r>
        <w:rPr>
          <w:color w:val="000000"/>
        </w:rPr>
        <w:t>original document   : F:\DOCS\NY3\JFALZON\AGRMNT\4BD2Y02!.DOC</w:t>
      </w:r>
    </w:p>
    <w:p>
      <w:pPr>
        <w:pStyle w:val="Normal"/>
        <w:widowControl/>
        <w:rPr>
          <w:color w:val="000000"/>
        </w:rPr>
      </w:pPr>
      <w:r>
        <w:rPr>
          <w:color w:val="000000"/>
        </w:rPr>
        <w:t>and revised document: F:\DOCS\NY3\JFALZON\AGRMNT\4BD2Y03!.DOC</w:t>
      </w:r>
    </w:p>
    <w:p>
      <w:pPr>
        <w:pStyle w:val="Normal"/>
        <w:widowControl/>
        <w:rPr>
          <w:color w:val="000000"/>
        </w:rPr>
      </w:pPr>
      <w:r>
        <w:rPr>
          <w:color w:val="000000"/>
        </w:rPr>
      </w:r>
    </w:p>
    <w:p>
      <w:pPr>
        <w:pStyle w:val="Normal"/>
        <w:widowControl/>
        <w:rPr>
          <w:color w:val="000000"/>
        </w:rPr>
      </w:pPr>
      <w:r>
        <w:rPr>
          <w:color w:val="000000"/>
        </w:rPr>
        <w:t>CompareRite found   28 change(s) in the text</w:t>
      </w:r>
    </w:p>
    <w:p>
      <w:pPr>
        <w:pStyle w:val="Normal"/>
        <w:widowControl/>
        <w:rPr>
          <w:color w:val="000000"/>
        </w:rPr>
      </w:pPr>
      <w:r>
        <w:rPr>
          <w:color w:val="000000"/>
        </w:rPr>
      </w:r>
    </w:p>
    <w:p>
      <w:pPr>
        <w:pStyle w:val="Normal"/>
        <w:widowControl/>
        <w:rPr>
          <w:color w:val="000000"/>
        </w:rPr>
      </w:pPr>
      <w:r>
        <w:rPr>
          <w:color w:val="000000"/>
        </w:rPr>
        <w:t xml:space="preserve">Deletions appear as Overstrike text </w:t>
      </w:r>
    </w:p>
    <w:p>
      <w:pPr>
        <w:pStyle w:val="Normal"/>
        <w:widowControl/>
        <w:rPr>
          <w:color w:val="000000"/>
        </w:rPr>
      </w:pPr>
      <w:r>
        <w:rPr>
          <w:color w:val="000000"/>
        </w:rPr>
        <w:t xml:space="preserve">Additions appear as Bold+Dbl Underline text </w:t>
      </w:r>
    </w:p>
    <w:sectPr>
      <w:headerReference w:type="default" r:id="rId2"/>
      <w:headerReference w:type="first" r:id="rId3"/>
      <w:footerReference w:type="default" r:id="rId4"/>
      <w:footerReference w:type="first" r:id="rId5"/>
      <w:type w:val="nextPage"/>
      <w:pgSz w:w="12240" w:h="15840"/>
      <w:pgMar w:left="1440" w:right="1440" w:gutter="0" w:header="720" w:top="1008" w:footer="432"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Times New Roman Bold">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24"/>
        <w:szCs w:val="24"/>
      </w:rPr>
    </w:pPr>
    <w:r>
      <w:rPr>
        <w:sz w:val="24"/>
        <w:szCs w:val="24"/>
      </w:rPr>
    </w:r>
  </w:p>
  <w:p>
    <w:pPr>
      <w:pStyle w:val="Footer"/>
      <w:widowControl/>
      <w:jc w:val="center"/>
      <w:rPr>
        <w:rFonts w:ascii="Times New Roman Bold" w:hAnsi="Times New Roman Bold" w:eastAsia="Times New Roman Bold" w:cs="Times New Roman Bold"/>
        <w:b/>
        <w:bCs/>
        <w:smallCaps/>
      </w:rPr>
    </w:pPr>
    <w:r>
      <w:rPr>
        <w:rFonts w:eastAsia="Times New Roman Bold" w:cs="Times New Roman Bold" w:ascii="Times New Roman Bold" w:hAnsi="Times New Roman Bold"/>
        <w:b/>
        <w:bCs/>
        <w:smallCaps/>
      </w:rPr>
      <w:t>Indemnification Agreement</w:t>
    </w:r>
  </w:p>
  <w:p>
    <w:pPr>
      <w:pStyle w:val="Footer"/>
      <w:widowControl/>
      <w:spacing w:lineRule="exact" w:line="200"/>
      <w:rPr/>
    </w:pPr>
    <w:r>
      <w:rPr>
        <w:rStyle w:val="zzmpTrailerItem"/>
      </w:rPr>
      <w:t>NY3:#7248634v3</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Fonts w:ascii="Times New Roman Bold" w:hAnsi="Times New Roman Bold" w:eastAsia="Times New Roman Bold" w:cs="Times New Roman Bold"/>
        <w:b/>
        <w:bCs/>
        <w:smallCaps/>
      </w:rPr>
    </w:pPr>
    <w:r>
      <w:rPr>
        <w:rFonts w:eastAsia="Times New Roman Bold" w:cs="Times New Roman Bold" w:ascii="Times New Roman Bold" w:hAnsi="Times New Roman Bold"/>
        <w:b/>
        <w:bCs/>
        <w:smallCaps/>
      </w:rPr>
      <w:tab/>
      <w:t>Indemnification Agreement</w:t>
    </w:r>
  </w:p>
  <w:p>
    <w:pPr>
      <w:pStyle w:val="Footer"/>
      <w:widowControl/>
      <w:spacing w:lineRule="exact" w:line="200"/>
      <w:rPr/>
    </w:pPr>
    <w:r>
      <w:rPr>
        <w:rStyle w:val="zzmpTrailerItem"/>
      </w:rPr>
      <w:t>NY3:#7248634v3</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r>
      <mc:AlternateContent>
        <mc:Choice Requires="wps">
          <w:drawing>
            <wp:anchor behindDoc="0" distT="0" distB="0" distL="0" distR="0" simplePos="0" locked="0" layoutInCell="0" allowOverlap="1" relativeHeight="4">
              <wp:simplePos x="0" y="0"/>
              <wp:positionH relativeFrom="page">
                <wp:posOffset>3841115</wp:posOffset>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Head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302.45pt;mso-position-horizontal-relative:page">
              <v:fill opacity="0f"/>
              <v:textbox inset="0in,0in,0in,0in">
                <w:txbxContent>
                  <w:p>
                    <w:pPr>
                      <w:pStyle w:val="Head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720" w:start="720" w:end="720"/>
      <w:outlineLvl w:val="0"/>
    </w:pPr>
    <w:rPr>
      <w:b/>
      <w:bCs/>
      <w:caps/>
    </w:rPr>
  </w:style>
  <w:style w:type="paragraph" w:styleId="Heading2">
    <w:name w:val="heading 2"/>
    <w:basedOn w:val="Normal"/>
    <w:next w:val="BodyText"/>
    <w:qFormat/>
    <w:pPr>
      <w:keepNext w:val="true"/>
      <w:keepLines/>
      <w:numPr>
        <w:ilvl w:val="1"/>
        <w:numId w:val="1"/>
      </w:numPr>
      <w:spacing w:lineRule="exact" w:line="240" w:before="240" w:after="0"/>
      <w:ind w:hanging="720" w:start="1440" w:end="720"/>
      <w:outlineLvl w:val="1"/>
    </w:pPr>
    <w:rPr>
      <w:b/>
      <w:bCs/>
    </w:rPr>
  </w:style>
  <w:style w:type="paragraph" w:styleId="Heading3">
    <w:name w:val="heading 3"/>
    <w:basedOn w:val="Normal"/>
    <w:next w:val="BodyText"/>
    <w:qFormat/>
    <w:pPr>
      <w:keepNext w:val="true"/>
      <w:keepLines/>
      <w:numPr>
        <w:ilvl w:val="2"/>
        <w:numId w:val="1"/>
      </w:numPr>
      <w:spacing w:lineRule="exact" w:line="240" w:before="240" w:after="0"/>
      <w:ind w:hanging="720" w:start="216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720" w:start="288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720" w:start="360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720" w:start="432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720" w:start="504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720" w:start="576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720" w:start="6480" w:end="720"/>
      <w:outlineLvl w:val="8"/>
    </w:pPr>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z w:val="20"/>
      <w:szCs w:val="20"/>
      <w:vertAlign w:val="superscript"/>
    </w:rPr>
  </w:style>
  <w:style w:type="character" w:styleId="ParagraphNumber">
    <w:name w:val="ParagraphNumber"/>
    <w:basedOn w:val="DefaultParagraphFont"/>
    <w:qFormat/>
    <w:rPr>
      <w:sz w:val="20"/>
      <w:szCs w:val="20"/>
    </w:rPr>
  </w:style>
  <w:style w:type="character" w:styleId="zzmpTrailerItem">
    <w:name w:val="zzmpTrailerItem"/>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szCs w:val="20"/>
    </w:rPr>
  </w:style>
  <w:style w:type="paragraph" w:styleId="BodyText2">
    <w:name w:val="Body Text 2"/>
    <w:basedOn w:val="BodyText"/>
    <w:next w:val="BodyText"/>
    <w:qFormat/>
    <w:pPr>
      <w:spacing w:lineRule="auto" w:line="240"/>
      <w:ind w:hanging="0" w:start="720" w:end="0"/>
    </w:pPr>
    <w:rPr/>
  </w:style>
  <w:style w:type="paragraph" w:styleId="Quote">
    <w:name w:val="Quote"/>
    <w:basedOn w:val="Normal"/>
    <w:next w:val="BodyTextContinued"/>
    <w:qFormat/>
    <w:pPr>
      <w:spacing w:lineRule="exact" w:line="240" w:before="240" w:after="0"/>
      <w:ind w:hanging="0" w:start="1440" w:end="1440"/>
    </w:pPr>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lineRule="exact" w:line="240" w:before="0" w:after="240"/>
      <w:jc w:val="center"/>
    </w:pPr>
    <w:rPr/>
  </w:style>
  <w:style w:type="paragraph" w:styleId="FootnoteText">
    <w:name w:val="footnote text"/>
    <w:basedOn w:val="Normal"/>
    <w:pPr/>
    <w:rPr>
      <w:sz w:val="22"/>
      <w:szCs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18"/>
      <w:lang w:val="en-US" w:eastAsia="zh-CN" w:bidi="hi-IN"/>
    </w:rPr>
  </w:style>
  <w:style w:type="paragraph" w:styleId="NormalIndent">
    <w:name w:val="Normal Indent"/>
    <w:basedOn w:val="Normal"/>
    <w:qFormat/>
    <w:pPr>
      <w:spacing w:lineRule="exact" w:line="240"/>
      <w:ind w:hanging="0" w:start="720" w:end="720"/>
    </w:pPr>
    <w:rPr/>
  </w:style>
  <w:style w:type="paragraph" w:styleId="PleadingSignature">
    <w:name w:val="Pleading Signature"/>
    <w:basedOn w:val="Normal"/>
    <w:qFormat/>
    <w:pPr>
      <w:keepNext w:val="true"/>
      <w:keepLines/>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bCs/>
    </w:rPr>
  </w:style>
  <w:style w:type="paragraph" w:styleId="TableofAuthorities">
    <w:name w:val="Table of Authorities"/>
    <w:basedOn w:val="Normal"/>
    <w:next w:val="Normal"/>
    <w:qFormat/>
    <w:pPr>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spacing w:lineRule="exact" w:line="240" w:before="120" w:after="120"/>
      <w:jc w:val="center"/>
    </w:pPr>
    <w:rPr>
      <w:b/>
      <w:bCs/>
      <w:caps/>
    </w:rPr>
  </w:style>
  <w:style w:type="paragraph" w:styleId="Heading1Para">
    <w:name w:val="Heading1Para"/>
    <w:basedOn w:val="BodyText"/>
    <w:next w:val="BodyText"/>
    <w:qFormat/>
    <w:pPr>
      <w:spacing w:lineRule="auto" w:line="240" w:before="0" w:after="240"/>
      <w:ind w:hanging="0" w:start="0" w:end="0"/>
      <w:jc w:val="center"/>
    </w:pPr>
    <w:rPr/>
  </w:style>
  <w:style w:type="paragraph" w:styleId="Heading2Para">
    <w:name w:val="Heading2Para"/>
    <w:basedOn w:val="BodyText"/>
    <w:next w:val="BodyText"/>
    <w:qFormat/>
    <w:pPr>
      <w:spacing w:lineRule="auto" w:line="240" w:before="0" w:after="240"/>
      <w:ind w:hanging="0" w:start="0" w:end="0"/>
    </w:pPr>
    <w:rPr/>
  </w:style>
  <w:style w:type="paragraph" w:styleId="Heading3Para">
    <w:name w:val="Heading3Para"/>
    <w:basedOn w:val="BodyText"/>
    <w:next w:val="BodyText"/>
    <w:qFormat/>
    <w:pPr>
      <w:spacing w:lineRule="auto" w:line="240" w:before="0" w:after="240"/>
    </w:pPr>
    <w:rPr/>
  </w:style>
  <w:style w:type="paragraph" w:styleId="Heading4Para">
    <w:name w:val="Heading4Para"/>
    <w:basedOn w:val="BodyText"/>
    <w:next w:val="BodyText"/>
    <w:qFormat/>
    <w:pPr>
      <w:spacing w:lineRule="auto" w:line="240" w:before="0" w:after="240"/>
      <w:ind w:firstLine="2160" w:start="0" w:end="0"/>
    </w:pPr>
    <w:rPr/>
  </w:style>
  <w:style w:type="paragraph" w:styleId="Heading5Para">
    <w:name w:val="Heading5Para"/>
    <w:basedOn w:val="BodyText"/>
    <w:next w:val="BodyText"/>
    <w:qFormat/>
    <w:pPr>
      <w:spacing w:lineRule="auto" w:line="240" w:before="0" w:after="240"/>
      <w:ind w:firstLine="2880" w:start="0" w:end="0"/>
    </w:pPr>
    <w:rPr/>
  </w:style>
  <w:style w:type="paragraph" w:styleId="Heading6Para">
    <w:name w:val="Heading6Para"/>
    <w:basedOn w:val="BodyText"/>
    <w:next w:val="BodyText"/>
    <w:qFormat/>
    <w:pPr>
      <w:spacing w:lineRule="auto" w:line="240" w:before="0" w:after="240"/>
      <w:ind w:firstLine="3600" w:start="0" w:end="0"/>
    </w:pPr>
    <w:rPr/>
  </w:style>
  <w:style w:type="paragraph" w:styleId="Heading7Para">
    <w:name w:val="Heading7Para"/>
    <w:basedOn w:val="BodyText"/>
    <w:next w:val="BodyText"/>
    <w:qFormat/>
    <w:pPr>
      <w:spacing w:lineRule="auto" w:line="240" w:before="0" w:after="240"/>
      <w:ind w:firstLine="4320" w:start="0" w:end="0"/>
    </w:pPr>
    <w:rPr/>
  </w:style>
  <w:style w:type="paragraph" w:styleId="Heading8Para">
    <w:name w:val="Heading8Para"/>
    <w:basedOn w:val="BodyText"/>
    <w:next w:val="BodyText"/>
    <w:qFormat/>
    <w:pPr>
      <w:spacing w:lineRule="auto" w:line="240" w:before="0" w:after="240"/>
      <w:ind w:firstLine="5040" w:start="0" w:end="0"/>
    </w:pPr>
    <w:rPr/>
  </w:style>
  <w:style w:type="paragraph" w:styleId="Heading9Para">
    <w:name w:val="Heading9Para"/>
    <w:basedOn w:val="BodyText"/>
    <w:next w:val="BodyText"/>
    <w:qFormat/>
    <w:pPr>
      <w:spacing w:lineRule="auto" w:line="240" w:before="0" w:after="240"/>
      <w:ind w:firstLine="5760" w:start="0" w:end="0"/>
    </w:pPr>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SDP">
    <w:name w:val="SDP"/>
    <w:basedOn w:val="Normal"/>
    <w:next w:val="Normal"/>
    <w:qFormat/>
    <w:pPr>
      <w:spacing w:before="240" w:after="0"/>
    </w:pPr>
    <w:rPr>
      <w:b/>
      <w:bCs/>
      <w:cap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2000-08-23T04:48:00Z</dcterms:created>
  <dc:creator>EMixon</dc:creator>
  <dc:description/>
  <dc:language>en-CA</dc:language>
  <cp:lastModifiedBy>richard francis cosentino</cp:lastModifiedBy>
  <cp:lastPrinted>2000-08-23T03:17:00Z</cp:lastPrinted>
  <dcterms:modified xsi:type="dcterms:W3CDTF">2000-08-23T04:48:00Z</dcterms:modified>
  <cp:revision>2</cp:revision>
  <dc:subject/>
  <dc:title>EXECUTION</dc:title>
</cp:coreProperties>
</file>