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Inability of NERC to enforce Policy 5 compliance with AEP/Cinergy Inadvertent</w:t>
      </w:r>
    </w:p>
    <w:p>
      <w:pPr>
        <w:pStyle w:val="Normal"/>
        <w:rPr/>
      </w:pPr>
      <w:r>
        <w:rPr/>
      </w:r>
    </w:p>
    <w:p>
      <w:pPr>
        <w:pStyle w:val="Heading1"/>
        <w:rPr/>
      </w:pPr>
      <w:r>
        <w:rPr/>
        <w:t>July 1999 Inadvertent Data</w:t>
      </w:r>
    </w:p>
    <w:p>
      <w:pPr>
        <w:pStyle w:val="Normal"/>
        <w:ind w:start="720" w:end="0"/>
        <w:rPr/>
      </w:pPr>
      <w:r>
        <w:rPr/>
      </w:r>
    </w:p>
    <w:p>
      <w:pPr>
        <w:pStyle w:val="Normal"/>
        <w:ind w:start="720" w:end="0"/>
        <w:rPr/>
      </w:pPr>
      <w:r>
        <w:rPr/>
        <w:tab/>
        <w:t xml:space="preserve">CINergy accumulated 9,907MWH of negative inadvertent during the month of July.  This energy represents energy they were supposed to generate, but did not.  Based on the </w:t>
      </w:r>
      <w:r>
        <w:rPr>
          <w:i/>
          <w:iCs/>
        </w:rPr>
        <w:t>average</w:t>
      </w:r>
      <w:r>
        <w:rPr/>
        <w:t xml:space="preserve"> price of power in CINergy for July, this translates to $2.86m.  However, their infractions occurred at times where power prices were high, with daily averages ranging from $160 per MW to $1,720 per MW.  Based on these numbers, the value of the inadvertent energy was closer to $7.45m.</w:t>
      </w:r>
    </w:p>
    <w:p>
      <w:pPr>
        <w:pStyle w:val="Normal"/>
        <w:ind w:start="720" w:end="0"/>
        <w:rPr/>
      </w:pPr>
      <w:r>
        <w:rPr/>
        <w:t xml:space="preserve">  </w:t>
      </w:r>
    </w:p>
    <w:p>
      <w:pPr>
        <w:pStyle w:val="Normal"/>
        <w:ind w:start="720" w:end="0"/>
        <w:rPr/>
      </w:pPr>
      <w:r>
        <w:rPr/>
        <w:tab/>
        <w:t>NERC’s response to this situation was issuing the following two resolutions at the November 1999 Operating Committee meeting:</w:t>
      </w:r>
    </w:p>
    <w:p>
      <w:pPr>
        <w:pStyle w:val="Normal"/>
        <w:rPr/>
      </w:pPr>
      <w:r>
        <w:rPr/>
      </w:r>
    </w:p>
    <w:p>
      <w:pPr>
        <w:pStyle w:val="BodyTextIndent"/>
        <w:rPr/>
      </w:pPr>
      <w:r>
        <w:rPr/>
        <w:t>“</w:t>
      </w:r>
      <w:r>
        <w:rPr/>
        <w:t>Be it resolved that NERC shall monitor and collect real-time Area Control Error data for all Control Areas effective on May 1, 2000. NERC should accomplish this monitoring through the Regional Councils or their Security Coordinators.”</w:t>
      </w:r>
    </w:p>
    <w:p>
      <w:pPr>
        <w:pStyle w:val="BodyTextIndent"/>
        <w:rPr/>
      </w:pPr>
      <w:r>
        <w:rPr/>
      </w:r>
    </w:p>
    <w:p>
      <w:pPr>
        <w:pStyle w:val="Normal"/>
        <w:autoSpaceDE w:val="false"/>
        <w:ind w:start="720" w:end="0"/>
        <w:rPr>
          <w:sz w:val="22"/>
          <w:szCs w:val="22"/>
        </w:rPr>
      </w:pPr>
      <w:r>
        <w:rPr>
          <w:sz w:val="22"/>
          <w:szCs w:val="22"/>
        </w:rPr>
        <w:t>“</w:t>
      </w:r>
      <w:r>
        <w:rPr>
          <w:sz w:val="22"/>
          <w:szCs w:val="22"/>
        </w:rPr>
        <w:t>Be it resolved that the Security Committee condemns the actions of Control Areas who intentionally use inadvertent in lieu of adjusting their generation, load, or scheduled interchange. Furthermore, the Security Committee is extremely concerned with the unacceptable operation by one or more Control Areas during the period July 22–30, 1999, and furthermore, the Security Committee endorses the ECAR Executive Board’s actions to mitigate this unacceptable operation within the ECAR Region.”</w:t>
      </w:r>
    </w:p>
    <w:p>
      <w:pPr>
        <w:pStyle w:val="Normal"/>
        <w:autoSpaceDE w:val="false"/>
        <w:ind w:start="720" w:end="0"/>
        <w:rPr>
          <w:sz w:val="22"/>
          <w:szCs w:val="22"/>
        </w:rPr>
      </w:pPr>
      <w:r>
        <w:rPr>
          <w:sz w:val="22"/>
          <w:szCs w:val="22"/>
        </w:rPr>
      </w:r>
    </w:p>
    <w:p>
      <w:pPr>
        <w:pStyle w:val="Normal"/>
        <w:autoSpaceDE w:val="false"/>
        <w:ind w:start="720" w:end="0"/>
        <w:rPr>
          <w:sz w:val="22"/>
          <w:szCs w:val="22"/>
        </w:rPr>
      </w:pPr>
      <w:r>
        <w:rPr>
          <w:sz w:val="22"/>
          <w:szCs w:val="22"/>
        </w:rPr>
        <w:t>The ECAR Executive Board’s actions were as follows:</w:t>
      </w:r>
    </w:p>
    <w:p>
      <w:pPr>
        <w:pStyle w:val="Normal"/>
        <w:numPr>
          <w:ilvl w:val="0"/>
          <w:numId w:val="2"/>
        </w:numPr>
        <w:autoSpaceDE w:val="false"/>
        <w:rPr>
          <w:sz w:val="22"/>
          <w:szCs w:val="22"/>
        </w:rPr>
      </w:pPr>
      <w:r>
        <w:rPr>
          <w:sz w:val="22"/>
          <w:szCs w:val="22"/>
        </w:rPr>
        <w:t>Deliver reprimand letters as appropriate</w:t>
      </w:r>
    </w:p>
    <w:p>
      <w:pPr>
        <w:pStyle w:val="Normal"/>
        <w:numPr>
          <w:ilvl w:val="0"/>
          <w:numId w:val="2"/>
        </w:numPr>
        <w:autoSpaceDE w:val="false"/>
        <w:rPr>
          <w:sz w:val="22"/>
          <w:szCs w:val="22"/>
        </w:rPr>
      </w:pPr>
      <w:r>
        <w:rPr>
          <w:sz w:val="22"/>
          <w:szCs w:val="22"/>
        </w:rPr>
        <w:t>Develop a sanction mechanism no later than Summer 2000</w:t>
      </w:r>
    </w:p>
    <w:p>
      <w:pPr>
        <w:pStyle w:val="Normal"/>
        <w:numPr>
          <w:ilvl w:val="0"/>
          <w:numId w:val="2"/>
        </w:numPr>
        <w:autoSpaceDE w:val="false"/>
        <w:rPr>
          <w:sz w:val="22"/>
          <w:szCs w:val="22"/>
        </w:rPr>
      </w:pPr>
      <w:r>
        <w:rPr>
          <w:sz w:val="22"/>
          <w:szCs w:val="22"/>
        </w:rPr>
        <w:t>Ask NERC to address the issue</w:t>
      </w:r>
    </w:p>
    <w:p>
      <w:pPr>
        <w:pStyle w:val="Normal"/>
        <w:numPr>
          <w:ilvl w:val="0"/>
          <w:numId w:val="2"/>
        </w:numPr>
        <w:autoSpaceDE w:val="false"/>
        <w:rPr>
          <w:sz w:val="22"/>
          <w:szCs w:val="22"/>
        </w:rPr>
      </w:pPr>
      <w:r>
        <w:rPr>
          <w:sz w:val="22"/>
          <w:szCs w:val="22"/>
        </w:rPr>
        <w:t>Develop a procedure for decertifying a Control Area</w:t>
      </w:r>
    </w:p>
    <w:p>
      <w:pPr>
        <w:pStyle w:val="Normal"/>
        <w:numPr>
          <w:ilvl w:val="0"/>
          <w:numId w:val="2"/>
        </w:numPr>
        <w:autoSpaceDE w:val="false"/>
        <w:rPr>
          <w:sz w:val="22"/>
          <w:szCs w:val="22"/>
        </w:rPr>
      </w:pPr>
      <w:r>
        <w:rPr>
          <w:sz w:val="22"/>
          <w:szCs w:val="22"/>
        </w:rPr>
        <w:t>Review the ECAR Coordination Agreement for needed changes</w:t>
      </w:r>
    </w:p>
    <w:p>
      <w:pPr>
        <w:pStyle w:val="Normal"/>
        <w:autoSpaceDE w:val="false"/>
        <w:ind w:start="720" w:end="0"/>
        <w:rPr>
          <w:sz w:val="22"/>
          <w:szCs w:val="22"/>
        </w:rPr>
      </w:pPr>
      <w:r>
        <w:rPr>
          <w:sz w:val="22"/>
          <w:szCs w:val="22"/>
        </w:rPr>
      </w:r>
    </w:p>
    <w:p>
      <w:pPr>
        <w:pStyle w:val="Normal"/>
        <w:autoSpaceDE w:val="false"/>
        <w:ind w:start="720" w:end="0"/>
        <w:rPr/>
      </w:pPr>
      <w:r>
        <w:rPr/>
        <w:t>Currently, it appears real-time ACE data is not being collected.  The 2001 Inadvertent accounting reports are approximately 5-7 months behind schedule (the last Eastern report was filed for March; for the West, January).  ECAR’s sanction procedure is in place; it provides for a maximum of $10 per MWH of penalties for the most severe violations made by repeat offenders.  It should be noted that this is equal to less than 4% of the average cost of power during the time of the July incidents, and less than 1% of the highest average daily cost on July 19, 1999.  In other words, the maximum penalty that could have been imposed had this system been in place would have been $99,070.</w:t>
      </w:r>
    </w:p>
    <w:p>
      <w:pPr>
        <w:pStyle w:val="Normal"/>
        <w:ind w:start="720" w:end="0"/>
        <w:rPr/>
      </w:pPr>
      <w:r>
        <w:rPr/>
      </w:r>
    </w:p>
    <w:p>
      <w:pPr>
        <w:pStyle w:val="Normal"/>
        <w:autoSpaceDE w:val="false"/>
        <w:ind w:start="720" w:end="0"/>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pPr>
    <w:rPr>
      <w:sz w:val="22"/>
      <w:szCs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2001-08-07T19:27:00Z</dcterms:created>
  <dc:creator>arodriqu</dc:creator>
  <dc:description/>
  <dc:language>en-CA</dc:language>
  <cp:lastModifiedBy>arodriqu</cp:lastModifiedBy>
  <dcterms:modified xsi:type="dcterms:W3CDTF">2001-08-07T20:34:00Z</dcterms:modified>
  <cp:revision>1</cp:revision>
  <dc:subject/>
  <dc:title>Inability of NERC to enforce Policy 5 compliance with AEP/Cinergy Inadvertent</dc:title>
</cp:coreProperties>
</file>