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In response to your findings:</w:t>
      </w:r>
    </w:p>
    <w:p>
      <w:pPr>
        <w:pStyle w:val="Normal"/>
        <w:rPr>
          <w:sz w:val="24"/>
        </w:rPr>
      </w:pPr>
      <w:r>
        <w:rPr>
          <w:sz w:val="24"/>
        </w:rPr>
      </w:r>
    </w:p>
    <w:p>
      <w:pPr>
        <w:pStyle w:val="Normal"/>
        <w:numPr>
          <w:ilvl w:val="0"/>
          <w:numId w:val="1"/>
        </w:numPr>
        <w:rPr>
          <w:sz w:val="24"/>
        </w:rPr>
      </w:pPr>
      <w:r>
        <w:rPr>
          <w:sz w:val="24"/>
        </w:rPr>
        <w:t>Enron did not “put into place a plan or device to activate” the CAISO congestion management process.  Enron did “submit scheduling information which activated” this process.</w:t>
      </w:r>
    </w:p>
    <w:p>
      <w:pPr>
        <w:pStyle w:val="Normal"/>
        <w:numPr>
          <w:ilvl w:val="0"/>
          <w:numId w:val="1"/>
        </w:numPr>
        <w:rPr>
          <w:sz w:val="24"/>
        </w:rPr>
      </w:pPr>
      <w:r>
        <w:rPr>
          <w:sz w:val="24"/>
        </w:rPr>
        <w:t>Enron never intended to withdraw its supply bid submissions.</w:t>
      </w:r>
    </w:p>
    <w:p>
      <w:pPr>
        <w:pStyle w:val="Normal"/>
        <w:numPr>
          <w:ilvl w:val="0"/>
          <w:numId w:val="1"/>
        </w:numPr>
        <w:rPr>
          <w:sz w:val="24"/>
        </w:rPr>
      </w:pPr>
      <w:r>
        <w:rPr>
          <w:sz w:val="24"/>
        </w:rPr>
        <w:t>Enron did not submit any “intentionally inaccurate” information.</w:t>
      </w:r>
    </w:p>
    <w:p>
      <w:pPr>
        <w:pStyle w:val="Normal"/>
        <w:numPr>
          <w:ilvl w:val="0"/>
          <w:numId w:val="1"/>
        </w:numPr>
        <w:rPr>
          <w:sz w:val="24"/>
        </w:rPr>
      </w:pPr>
      <w:r>
        <w:rPr>
          <w:sz w:val="24"/>
        </w:rPr>
        <w:t>This finding claims that Enron’s actions were the principal cause of an average price increase on the day in question.  While it is possible that Enron’s actions caused an unrealistically low preliminary Unconstrained Market Clearing Price, Enron’s actions should have had no effect on the final zonal price.</w:t>
      </w:r>
    </w:p>
    <w:p>
      <w:pPr>
        <w:pStyle w:val="Normal"/>
        <w:numPr>
          <w:ilvl w:val="0"/>
          <w:numId w:val="1"/>
        </w:numPr>
        <w:rPr>
          <w:sz w:val="24"/>
        </w:rPr>
      </w:pPr>
      <w:r>
        <w:rPr>
          <w:sz w:val="24"/>
        </w:rPr>
        <w:t>This finding has three parts detailing the negative market consequences of Enron’s actions.  We disagree with all three.  1)  This is the same as finding 4.  Enron’s actions alone could not have caused prices to be higher than they otherwise would have been.  2)  Demand could not have been shifted to the real time market.  A demand curve portrays the quantity demanded at different price levels.  The quantity differential between a $27 price and a $44 price represents demand which simply doesn’t exist at the new price level.  If those who were unwilling to buy power in the day ahead market at $44.31/MWh were actually willing to pay higher prices in the real time market, some new event must have affected their demand function in the real time market.  3)  If any CalPX participants had energy bids which were pushed out of the preliminary UMCP day ahead market,  their bids should have been accepted in the day ahead market to determine the final zonal price.  Even if some bizarre construct prevented them from being accepted in this market,  the real time market offered these participants the opportunity to achieve even higher revenues in the real time market.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1999-12-27T16:00:00Z</dcterms:created>
  <dc:creator>gwhalle</dc:creator>
  <dc:description/>
  <dc:language>en-CA</dc:language>
  <cp:lastModifiedBy>gwhalle</cp:lastModifiedBy>
  <cp:lastPrinted>1999-12-27T13:31:00Z</cp:lastPrinted>
  <dcterms:modified xsi:type="dcterms:W3CDTF">1999-12-27T17:03:00Z</dcterms:modified>
  <cp:revision>2</cp:revision>
  <dc:subject/>
  <dc:title>In response to your findings:</dc:title>
</cp:coreProperties>
</file>