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Implied Merging Probability</w:t>
      </w:r>
    </w:p>
    <w:p>
      <w:pPr>
        <w:pStyle w:val="Normal"/>
        <w:rPr/>
      </w:pPr>
      <w:r>
        <w:rPr/>
        <w:t>Chonawee Supatgiat, Enron Research, 11/19/2001</w:t>
      </w:r>
    </w:p>
    <w:p>
      <w:pPr>
        <w:pStyle w:val="Normal"/>
        <w:rPr/>
      </w:pPr>
      <w:r>
        <w:rPr/>
      </w:r>
    </w:p>
    <w:p>
      <w:pPr>
        <w:pStyle w:val="Normal"/>
        <w:jc w:val="both"/>
        <w:rPr/>
      </w:pPr>
      <w:r>
        <w:rPr/>
        <w:t xml:space="preserve">Let </w:t>
      </w:r>
      <w:r>
        <w:rPr>
          <w:i/>
          <w:iCs/>
        </w:rPr>
        <w:t>U</w:t>
      </w:r>
      <w:r>
        <w:rPr>
          <w:i/>
          <w:iCs/>
          <w:vertAlign w:val="subscript"/>
        </w:rPr>
        <w:t>ENE</w:t>
      </w:r>
      <w:r>
        <w:rPr/>
        <w:t xml:space="preserve"> and </w:t>
      </w:r>
      <w:r>
        <w:rPr>
          <w:i/>
          <w:iCs/>
        </w:rPr>
        <w:t>U</w:t>
      </w:r>
      <w:r>
        <w:rPr>
          <w:i/>
          <w:iCs/>
          <w:vertAlign w:val="subscript"/>
        </w:rPr>
        <w:t>DYN</w:t>
      </w:r>
      <w:r>
        <w:rPr/>
        <w:t xml:space="preserve"> be the current shares prices before a merger announcement of Enron and Dynegy, respectively. Their expected rates of return on the stocks, or market capital rates, are </w:t>
      </w:r>
      <w:r>
        <w:rPr>
          <w:i/>
          <w:iCs/>
        </w:rPr>
        <w:t>r</w:t>
      </w:r>
      <w:r>
        <w:rPr>
          <w:i/>
          <w:iCs/>
          <w:vertAlign w:val="subscript"/>
        </w:rPr>
        <w:t>ENE</w:t>
      </w:r>
      <w:r>
        <w:rPr/>
        <w:t xml:space="preserve"> and </w:t>
      </w:r>
      <w:r>
        <w:rPr>
          <w:i/>
          <w:iCs/>
        </w:rPr>
        <w:t>r</w:t>
      </w:r>
      <w:r>
        <w:rPr>
          <w:i/>
          <w:iCs/>
          <w:vertAlign w:val="subscript"/>
        </w:rPr>
        <w:t>DYN</w:t>
      </w:r>
      <w:r>
        <w:rPr/>
        <w:t>. These rates can be calculated using CAPM model, i.e.</w:t>
      </w:r>
    </w:p>
    <w:p>
      <w:pPr>
        <w:pStyle w:val="Normal"/>
        <w:jc w:val="both"/>
        <w:rPr/>
      </w:pPr>
      <w:r>
        <w:rPr/>
      </w:r>
    </w:p>
    <w:p>
      <w:pPr>
        <w:pStyle w:val="Normal"/>
        <w:jc w:val="center"/>
        <w:rPr/>
      </w:pPr>
      <w:r>
        <w:rPr>
          <w:i/>
          <w:iCs/>
        </w:rPr>
        <w:t>r</w:t>
      </w:r>
      <w:r>
        <w:rPr>
          <w:i/>
          <w:iCs/>
          <w:vertAlign w:val="subscript"/>
        </w:rPr>
        <w:t>ENE</w:t>
      </w:r>
      <w:r>
        <w:rPr>
          <w:i/>
          <w:iCs/>
        </w:rPr>
        <w:t xml:space="preserve"> = r</w:t>
      </w:r>
      <w:r>
        <w:rPr>
          <w:i/>
          <w:iCs/>
          <w:vertAlign w:val="subscript"/>
        </w:rPr>
        <w:t>f</w:t>
      </w:r>
      <w:r>
        <w:rPr>
          <w:i/>
          <w:iCs/>
        </w:rPr>
        <w:t xml:space="preserve"> + </w:t>
      </w:r>
      <w:r>
        <w:rPr>
          <w:rFonts w:cs="Symbol" w:ascii="Symbol" w:hAnsi="Symbol"/>
          <w:i/>
          <w:iCs/>
        </w:rPr>
        <w:sym w:font="Symbol" w:char="f062"/>
      </w:r>
      <w:r>
        <w:rPr>
          <w:i/>
          <w:iCs/>
          <w:vertAlign w:val="subscript"/>
        </w:rPr>
        <w:t>ENE</w:t>
      </w:r>
      <w:r>
        <w:rPr>
          <w:i/>
          <w:iCs/>
        </w:rPr>
        <w:t>(r</w:t>
      </w:r>
      <w:r>
        <w:rPr>
          <w:i/>
          <w:iCs/>
          <w:vertAlign w:val="subscript"/>
        </w:rPr>
        <w:t>m</w:t>
      </w:r>
      <w:r>
        <w:rPr>
          <w:i/>
          <w:iCs/>
        </w:rPr>
        <w:t>-r</w:t>
      </w:r>
      <w:r>
        <w:rPr>
          <w:i/>
          <w:iCs/>
          <w:vertAlign w:val="subscript"/>
        </w:rPr>
        <w:t>f</w:t>
      </w:r>
      <w:r>
        <w:rPr>
          <w:i/>
          <w:iCs/>
        </w:rPr>
        <w:t>),</w:t>
      </w:r>
    </w:p>
    <w:p>
      <w:pPr>
        <w:pStyle w:val="Normal"/>
        <w:jc w:val="center"/>
        <w:rPr/>
      </w:pPr>
      <w:r>
        <w:rPr>
          <w:i/>
          <w:iCs/>
        </w:rPr>
        <w:t>r</w:t>
      </w:r>
      <w:r>
        <w:rPr>
          <w:i/>
          <w:iCs/>
          <w:vertAlign w:val="subscript"/>
        </w:rPr>
        <w:t>DYN</w:t>
      </w:r>
      <w:r>
        <w:rPr>
          <w:i/>
          <w:iCs/>
        </w:rPr>
        <w:t xml:space="preserve"> = r</w:t>
      </w:r>
      <w:r>
        <w:rPr>
          <w:i/>
          <w:iCs/>
          <w:vertAlign w:val="subscript"/>
        </w:rPr>
        <w:t>f</w:t>
      </w:r>
      <w:r>
        <w:rPr>
          <w:i/>
          <w:iCs/>
        </w:rPr>
        <w:t xml:space="preserve"> + </w:t>
      </w:r>
      <w:r>
        <w:rPr>
          <w:rFonts w:cs="Symbol" w:ascii="Symbol" w:hAnsi="Symbol"/>
          <w:i/>
          <w:iCs/>
        </w:rPr>
        <w:sym w:font="Symbol" w:char="f062"/>
      </w:r>
      <w:r>
        <w:rPr>
          <w:i/>
          <w:iCs/>
          <w:vertAlign w:val="subscript"/>
        </w:rPr>
        <w:t>DYN</w:t>
      </w:r>
      <w:r>
        <w:rPr>
          <w:i/>
          <w:iCs/>
        </w:rPr>
        <w:t>(r</w:t>
      </w:r>
      <w:r>
        <w:rPr>
          <w:i/>
          <w:iCs/>
          <w:vertAlign w:val="subscript"/>
        </w:rPr>
        <w:t>m</w:t>
      </w:r>
      <w:r>
        <w:rPr>
          <w:i/>
          <w:iCs/>
        </w:rPr>
        <w:t>-r</w:t>
      </w:r>
      <w:r>
        <w:rPr>
          <w:i/>
          <w:iCs/>
          <w:vertAlign w:val="subscript"/>
        </w:rPr>
        <w:t>f</w:t>
      </w:r>
      <w:r>
        <w:rPr>
          <w:i/>
          <w:iCs/>
        </w:rPr>
        <w:t>),</w:t>
      </w:r>
    </w:p>
    <w:p>
      <w:pPr>
        <w:pStyle w:val="Normal"/>
        <w:jc w:val="both"/>
        <w:rPr>
          <w:i/>
          <w:i/>
          <w:iCs/>
        </w:rPr>
      </w:pPr>
      <w:r>
        <w:rPr>
          <w:i/>
          <w:iCs/>
        </w:rPr>
      </w:r>
    </w:p>
    <w:p>
      <w:pPr>
        <w:pStyle w:val="Normal"/>
        <w:jc w:val="both"/>
        <w:rPr/>
      </w:pPr>
      <w:r>
        <w:rPr/>
        <w:t xml:space="preserve">where </w:t>
      </w:r>
      <w:r>
        <w:rPr>
          <w:i/>
          <w:iCs/>
        </w:rPr>
        <w:t>r</w:t>
      </w:r>
      <w:r>
        <w:rPr>
          <w:i/>
          <w:iCs/>
          <w:vertAlign w:val="subscript"/>
        </w:rPr>
        <w:t>f</w:t>
      </w:r>
      <w:r>
        <w:rPr/>
        <w:t xml:space="preserve"> is the risk free rate, </w:t>
      </w:r>
      <w:r>
        <w:rPr>
          <w:i/>
          <w:iCs/>
        </w:rPr>
        <w:t>r</w:t>
      </w:r>
      <w:r>
        <w:rPr>
          <w:i/>
          <w:iCs/>
          <w:vertAlign w:val="subscript"/>
        </w:rPr>
        <w:t>m</w:t>
      </w:r>
      <w:r>
        <w:rPr/>
        <w:t xml:space="preserve"> is the market rate of return, and </w:t>
      </w:r>
      <w:r>
        <w:rPr>
          <w:rFonts w:cs="Symbol" w:ascii="Symbol" w:hAnsi="Symbol"/>
          <w:i/>
          <w:iCs/>
        </w:rPr>
        <w:sym w:font="Symbol" w:char="f062"/>
      </w:r>
      <w:r>
        <w:rPr>
          <w:i/>
          <w:iCs/>
          <w:vertAlign w:val="subscript"/>
        </w:rPr>
        <w:t>ENE</w:t>
      </w:r>
      <w:r>
        <w:rPr/>
        <w:t xml:space="preserve"> is the beta of Enron stock.</w:t>
      </w:r>
    </w:p>
    <w:p>
      <w:pPr>
        <w:pStyle w:val="Normal"/>
        <w:jc w:val="both"/>
        <w:rPr/>
      </w:pPr>
      <w:r>
        <w:rPr/>
      </w:r>
    </w:p>
    <w:p>
      <w:pPr>
        <w:pStyle w:val="Normal"/>
        <w:jc w:val="both"/>
        <w:rPr/>
      </w:pPr>
      <w:r>
        <w:rPr/>
        <w:t>Usually, both companies agree to merge because it creates synergy. It is expected that the value of the combined company will be higher than the sum of the current values of each company. After the merger announcement, their total market cap should increase. And if the merger deal is fairly arranged, the market cap of each company should increase in the same proportion.</w:t>
      </w:r>
    </w:p>
    <w:p>
      <w:pPr>
        <w:pStyle w:val="Normal"/>
        <w:jc w:val="both"/>
        <w:rPr/>
      </w:pPr>
      <w:r>
        <w:rPr/>
      </w:r>
    </w:p>
    <w:p>
      <w:pPr>
        <w:pStyle w:val="Normal"/>
        <w:jc w:val="both"/>
        <w:rPr/>
      </w:pPr>
      <w:r>
        <w:rPr/>
        <w:t xml:space="preserve">Given that the merger deal will go through with certainty, let the expected share prices of Enron and Dynegy at the time of merging be </w:t>
      </w:r>
      <w:r>
        <w:rPr>
          <w:i/>
          <w:iCs/>
        </w:rPr>
        <w:t>M</w:t>
      </w:r>
      <w:r>
        <w:rPr>
          <w:i/>
          <w:iCs/>
          <w:vertAlign w:val="subscript"/>
        </w:rPr>
        <w:t>ENE</w:t>
      </w:r>
      <w:r>
        <w:rPr/>
        <w:t xml:space="preserve"> and </w:t>
      </w:r>
      <w:r>
        <w:rPr>
          <w:i/>
          <w:iCs/>
        </w:rPr>
        <w:t>M</w:t>
      </w:r>
      <w:r>
        <w:rPr>
          <w:i/>
          <w:iCs/>
          <w:vertAlign w:val="subscript"/>
        </w:rPr>
        <w:t>DYN</w:t>
      </w:r>
      <w:r>
        <w:rPr/>
        <w:t xml:space="preserve">, respectively. Under the current agreement, the merging ratio is 0.2685 hence we have that, </w:t>
      </w:r>
    </w:p>
    <w:p>
      <w:pPr>
        <w:pStyle w:val="Normal"/>
        <w:jc w:val="both"/>
        <w:rPr/>
      </w:pPr>
      <w:r>
        <w:rPr/>
      </w:r>
    </w:p>
    <w:p>
      <w:pPr>
        <w:pStyle w:val="Normal"/>
        <w:jc w:val="end"/>
        <w:rPr/>
      </w:pPr>
      <w:r>
        <w:rPr>
          <w:i/>
          <w:iCs/>
        </w:rPr>
        <w:t>M</w:t>
      </w:r>
      <w:r>
        <w:rPr>
          <w:i/>
          <w:iCs/>
          <w:vertAlign w:val="subscript"/>
        </w:rPr>
        <w:t>ENE</w:t>
      </w:r>
      <w:r>
        <w:rPr/>
        <w:t xml:space="preserve"> = 0.2685 </w:t>
      </w:r>
      <w:r>
        <w:rPr>
          <w:i/>
          <w:iCs/>
        </w:rPr>
        <w:t>M</w:t>
      </w:r>
      <w:r>
        <w:rPr>
          <w:i/>
          <w:iCs/>
          <w:vertAlign w:val="subscript"/>
        </w:rPr>
        <w:t>DYN</w:t>
        <w:tab/>
        <w:tab/>
        <w:tab/>
        <w:tab/>
        <w:tab/>
      </w:r>
      <w:r>
        <w:rPr/>
        <w:t>(1)</w:t>
      </w:r>
    </w:p>
    <w:p>
      <w:pPr>
        <w:pStyle w:val="Normal"/>
        <w:jc w:val="both"/>
        <w:rPr/>
      </w:pPr>
      <w:r>
        <w:rPr/>
      </w:r>
    </w:p>
    <w:p>
      <w:pPr>
        <w:pStyle w:val="Normal"/>
        <w:jc w:val="both"/>
        <w:rPr/>
      </w:pPr>
      <w:r>
        <w:rPr/>
        <w:t xml:space="preserve">In reality, however, there are many other factors that can obstruct the merging. We let </w:t>
      </w:r>
      <w:r>
        <w:rPr>
          <w:i/>
          <w:iCs/>
        </w:rPr>
        <w:t>p</w:t>
      </w:r>
      <w:r>
        <w:rPr/>
        <w:t xml:space="preserve"> be the probability that the deal will go through and let </w:t>
      </w:r>
      <w:r>
        <w:rPr>
          <w:i/>
          <w:iCs/>
        </w:rPr>
        <w:t>t</w:t>
      </w:r>
      <w:r>
        <w:rPr/>
        <w:t xml:space="preserve"> be the number of days until the merging result is announced. After merger agreement announcement, we observe the market and find that the current share prices are </w:t>
      </w:r>
      <w:r>
        <w:rPr>
          <w:i/>
          <w:iCs/>
        </w:rPr>
        <w:t>S</w:t>
      </w:r>
      <w:r>
        <w:rPr>
          <w:i/>
          <w:iCs/>
          <w:vertAlign w:val="subscript"/>
        </w:rPr>
        <w:t>ENE</w:t>
      </w:r>
      <w:r>
        <w:rPr/>
        <w:t xml:space="preserve"> and </w:t>
      </w:r>
      <w:r>
        <w:rPr>
          <w:i/>
          <w:iCs/>
        </w:rPr>
        <w:t>S</w:t>
      </w:r>
      <w:r>
        <w:rPr>
          <w:i/>
          <w:iCs/>
          <w:vertAlign w:val="subscript"/>
        </w:rPr>
        <w:t>DYN</w:t>
      </w:r>
      <w:r>
        <w:rPr/>
        <w:t>.</w:t>
      </w:r>
    </w:p>
    <w:p>
      <w:pPr>
        <w:pStyle w:val="Normal"/>
        <w:jc w:val="both"/>
        <w:rPr/>
      </w:pPr>
      <w:r>
        <w:rPr/>
      </w:r>
    </w:p>
    <w:p>
      <w:pPr>
        <w:pStyle w:val="Normal"/>
        <w:jc w:val="both"/>
        <w:rPr/>
      </w:pPr>
      <w:r>
        <w:rPr/>
        <w:t>Assuming that the merger risk is a unique risk, not depending on the overall market, we have that the betas of both Enron and Dynegy stocks should remain the same. Moreover, we know that the current share price should be equal to the discounted future expected share price, i.e.</w:t>
      </w:r>
    </w:p>
    <w:p>
      <w:pPr>
        <w:pStyle w:val="Normal"/>
        <w:jc w:val="both"/>
        <w:rPr/>
      </w:pPr>
      <w:r>
        <w:rPr/>
      </w:r>
    </w:p>
    <w:p>
      <w:pPr>
        <w:pStyle w:val="Normal"/>
        <w:jc w:val="end"/>
        <w:rPr>
          <w:vertAlign w:val="superscript"/>
        </w:rPr>
      </w:pPr>
      <w:r>
        <w:rPr/>
        <w:tab/>
        <w:tab/>
        <w:tab/>
      </w:r>
      <w:r>
        <w:rPr>
          <w:i/>
          <w:iCs/>
        </w:rPr>
        <w:t>S</w:t>
      </w:r>
      <w:r>
        <w:rPr>
          <w:i/>
          <w:iCs/>
          <w:vertAlign w:val="subscript"/>
        </w:rPr>
        <w:t>ENE</w:t>
      </w:r>
      <w:r>
        <w:rPr>
          <w:i/>
          <w:iCs/>
        </w:rPr>
        <w:t xml:space="preserve"> = p M</w:t>
      </w:r>
      <w:r>
        <w:rPr>
          <w:i/>
          <w:iCs/>
          <w:vertAlign w:val="subscript"/>
        </w:rPr>
        <w:t>ENE</w:t>
      </w:r>
      <w:r>
        <w:rPr>
          <w:i/>
          <w:iCs/>
        </w:rPr>
        <w:t xml:space="preserve"> e</w:t>
      </w:r>
      <w:r>
        <w:rPr>
          <w:i/>
          <w:iCs/>
          <w:vertAlign w:val="superscript"/>
        </w:rPr>
        <w:t>(-r</w:t>
      </w:r>
      <w:r>
        <w:rPr>
          <w:i/>
          <w:iCs/>
          <w:sz w:val="12"/>
        </w:rPr>
        <w:t>ENE</w:t>
      </w:r>
      <w:r>
        <w:rPr>
          <w:i/>
          <w:iCs/>
          <w:vertAlign w:val="superscript"/>
        </w:rPr>
        <w:t xml:space="preserve"> t)</w:t>
      </w:r>
      <w:r>
        <w:rPr>
          <w:i/>
          <w:iCs/>
        </w:rPr>
        <w:t>+ (1-p) U</w:t>
      </w:r>
      <w:r>
        <w:rPr>
          <w:i/>
          <w:iCs/>
          <w:vertAlign w:val="subscript"/>
        </w:rPr>
        <w:t>ENE</w:t>
      </w:r>
      <w:r>
        <w:rPr>
          <w:i/>
          <w:iCs/>
        </w:rPr>
        <w:t xml:space="preserve"> </w:t>
        <w:tab/>
        <w:tab/>
        <w:tab/>
        <w:tab/>
      </w:r>
      <w:r>
        <w:rPr/>
        <w:t>(2)</w:t>
      </w:r>
    </w:p>
    <w:p>
      <w:pPr>
        <w:pStyle w:val="Normal"/>
        <w:jc w:val="end"/>
        <w:rPr>
          <w:i/>
          <w:i/>
          <w:iCs/>
          <w:vertAlign w:val="superscript"/>
        </w:rPr>
      </w:pPr>
      <w:r>
        <w:rPr/>
        <w:tab/>
        <w:tab/>
        <w:tab/>
      </w:r>
      <w:r>
        <w:rPr>
          <w:i/>
          <w:iCs/>
        </w:rPr>
        <w:t>S</w:t>
      </w:r>
      <w:r>
        <w:rPr>
          <w:i/>
          <w:iCs/>
          <w:vertAlign w:val="subscript"/>
        </w:rPr>
        <w:t>DYN</w:t>
      </w:r>
      <w:r>
        <w:rPr>
          <w:i/>
          <w:iCs/>
        </w:rPr>
        <w:t xml:space="preserve"> = p M</w:t>
      </w:r>
      <w:r>
        <w:rPr>
          <w:i/>
          <w:iCs/>
          <w:vertAlign w:val="subscript"/>
        </w:rPr>
        <w:t>DYN</w:t>
      </w:r>
      <w:r>
        <w:rPr>
          <w:i/>
          <w:iCs/>
        </w:rPr>
        <w:t xml:space="preserve"> e</w:t>
      </w:r>
      <w:r>
        <w:rPr>
          <w:i/>
          <w:iCs/>
          <w:vertAlign w:val="superscript"/>
        </w:rPr>
        <w:t>(-r</w:t>
      </w:r>
      <w:r>
        <w:rPr>
          <w:i/>
          <w:iCs/>
          <w:sz w:val="12"/>
        </w:rPr>
        <w:t>DYN</w:t>
      </w:r>
      <w:r>
        <w:rPr>
          <w:i/>
          <w:iCs/>
          <w:vertAlign w:val="superscript"/>
        </w:rPr>
        <w:t xml:space="preserve"> t)</w:t>
      </w:r>
      <w:r>
        <w:rPr>
          <w:i/>
          <w:iCs/>
        </w:rPr>
        <w:t>+ (1-p) U</w:t>
      </w:r>
      <w:r>
        <w:rPr>
          <w:i/>
          <w:iCs/>
          <w:vertAlign w:val="subscript"/>
        </w:rPr>
        <w:t>DYN</w:t>
      </w:r>
      <w:r>
        <w:rPr>
          <w:i/>
          <w:iCs/>
        </w:rPr>
        <w:t xml:space="preserve"> </w:t>
        <w:tab/>
        <w:tab/>
        <w:tab/>
        <w:tab/>
      </w:r>
      <w:r>
        <w:rPr/>
        <w:t>(3)</w:t>
      </w:r>
    </w:p>
    <w:p>
      <w:pPr>
        <w:pStyle w:val="Normal"/>
        <w:jc w:val="both"/>
        <w:rPr>
          <w:i/>
          <w:i/>
          <w:iCs/>
          <w:vertAlign w:val="superscript"/>
        </w:rPr>
      </w:pPr>
      <w:r>
        <w:rPr>
          <w:i/>
          <w:iCs/>
          <w:vertAlign w:val="superscript"/>
        </w:rPr>
      </w:r>
    </w:p>
    <w:p>
      <w:pPr>
        <w:pStyle w:val="Normal"/>
        <w:jc w:val="both"/>
        <w:rPr/>
      </w:pPr>
      <w:r>
        <w:rPr/>
        <w:t xml:space="preserve">Solving the system of equations (1)-(3), we obtain the implied probability of the deal going through, </w:t>
      </w:r>
      <w:r>
        <w:rPr>
          <w:i/>
          <w:iCs/>
        </w:rPr>
        <w:t>p</w:t>
      </w:r>
      <w:r>
        <w:rPr/>
        <w:t xml:space="preserve">, and the expected current prices of ENE and DYN with certainty merging, </w:t>
      </w:r>
      <w:r>
        <w:rPr>
          <w:i/>
          <w:iCs/>
        </w:rPr>
        <w:t>M</w:t>
      </w:r>
      <w:r>
        <w:rPr>
          <w:i/>
          <w:iCs/>
          <w:vertAlign w:val="subscript"/>
        </w:rPr>
        <w:t>ENE</w:t>
      </w:r>
      <w:r>
        <w:rPr>
          <w:i/>
          <w:iCs/>
        </w:rPr>
        <w:t xml:space="preserve"> e</w:t>
      </w:r>
      <w:r>
        <w:rPr>
          <w:i/>
          <w:iCs/>
          <w:vertAlign w:val="superscript"/>
        </w:rPr>
        <w:t>(-r</w:t>
      </w:r>
      <w:r>
        <w:rPr>
          <w:i/>
          <w:iCs/>
          <w:sz w:val="12"/>
        </w:rPr>
        <w:t>ENE</w:t>
      </w:r>
      <w:r>
        <w:rPr>
          <w:i/>
          <w:iCs/>
          <w:vertAlign w:val="superscript"/>
        </w:rPr>
        <w:t xml:space="preserve"> t) </w:t>
      </w:r>
      <w:r>
        <w:rPr/>
        <w:t xml:space="preserve">and </w:t>
      </w:r>
      <w:r>
        <w:rPr>
          <w:i/>
          <w:iCs/>
        </w:rPr>
        <w:t>M</w:t>
      </w:r>
      <w:r>
        <w:rPr>
          <w:i/>
          <w:iCs/>
          <w:vertAlign w:val="subscript"/>
        </w:rPr>
        <w:t>DYN</w:t>
      </w:r>
      <w:r>
        <w:rPr>
          <w:i/>
          <w:iCs/>
        </w:rPr>
        <w:t xml:space="preserve"> e</w:t>
      </w:r>
      <w:r>
        <w:rPr>
          <w:i/>
          <w:iCs/>
          <w:vertAlign w:val="superscript"/>
        </w:rPr>
        <w:t>(-r</w:t>
      </w:r>
      <w:r>
        <w:rPr>
          <w:i/>
          <w:iCs/>
          <w:sz w:val="12"/>
        </w:rPr>
        <w:t>DYN</w:t>
      </w:r>
      <w:r>
        <w:rPr>
          <w:i/>
          <w:iCs/>
          <w:vertAlign w:val="superscript"/>
        </w:rPr>
        <w:t xml:space="preserve"> t)</w:t>
      </w:r>
      <w:r>
        <w:rPr/>
        <w:t>, respectively.</w:t>
      </w:r>
    </w:p>
    <w:p>
      <w:pPr>
        <w:pStyle w:val="Normal"/>
        <w:jc w:val="both"/>
        <w:rPr/>
      </w:pPr>
      <w:r>
        <w:rPr/>
      </w:r>
    </w:p>
    <w:p>
      <w:pPr>
        <w:pStyle w:val="Normal"/>
        <w:jc w:val="both"/>
        <w:rPr/>
      </w:pPr>
      <w:r>
        <w:rPr/>
        <w:t xml:space="preserve">In another model, (credits go to Vince Kaminski), we let the user input the expected future price of the new company, </w:t>
      </w:r>
      <w:r>
        <w:rPr>
          <w:i/>
          <w:iCs/>
        </w:rPr>
        <w:t>M</w:t>
      </w:r>
      <w:r>
        <w:rPr>
          <w:i/>
          <w:iCs/>
          <w:vertAlign w:val="subscript"/>
        </w:rPr>
        <w:t>DYN</w:t>
      </w:r>
      <w:r>
        <w:rPr>
          <w:i/>
          <w:iCs/>
        </w:rPr>
        <w:t xml:space="preserve"> </w:t>
      </w:r>
      <w:r>
        <w:rPr/>
        <w:t>directly</w:t>
      </w:r>
      <w:r>
        <w:rPr>
          <w:i/>
          <w:iCs/>
        </w:rPr>
        <w:t>.</w:t>
      </w:r>
      <w:r>
        <w:rPr/>
        <w:t xml:space="preserve"> Using equation (1), we can solve for </w:t>
      </w:r>
      <w:r>
        <w:rPr>
          <w:i/>
          <w:iCs/>
        </w:rPr>
        <w:t>M</w:t>
      </w:r>
      <w:r>
        <w:rPr>
          <w:i/>
          <w:iCs/>
          <w:vertAlign w:val="subscript"/>
        </w:rPr>
        <w:t>ENE</w:t>
      </w:r>
      <w:r>
        <w:rPr>
          <w:i/>
          <w:iCs/>
        </w:rPr>
        <w:t>.</w:t>
      </w:r>
      <w:r>
        <w:rPr/>
        <w:t xml:space="preserve"> Given the expected Enron share price if not merge, </w:t>
      </w:r>
      <w:r>
        <w:rPr>
          <w:i/>
          <w:iCs/>
        </w:rPr>
        <w:t>U</w:t>
      </w:r>
      <w:r>
        <w:rPr>
          <w:i/>
          <w:iCs/>
          <w:vertAlign w:val="subscript"/>
        </w:rPr>
        <w:t>ENE</w:t>
      </w:r>
      <w:r>
        <w:rPr/>
        <w:t xml:space="preserve"> , the implied probability </w:t>
      </w:r>
      <w:r>
        <w:rPr>
          <w:i/>
          <w:iCs/>
        </w:rPr>
        <w:t>p</w:t>
      </w:r>
      <w:r>
        <w:rPr/>
        <w:t xml:space="preserve"> can then be calculate from equation (2) directly.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2001-11-19T18:17:00Z</dcterms:created>
  <dc:creator>csupatg</dc:creator>
  <dc:description/>
  <dc:language>en-CA</dc:language>
  <cp:lastModifiedBy>csupatg</cp:lastModifiedBy>
  <cp:lastPrinted>2001-11-19T16:05:00Z</cp:lastPrinted>
  <dcterms:modified xsi:type="dcterms:W3CDTF">2001-11-19T19:43:00Z</dcterms:modified>
  <cp:revision>34</cp:revision>
  <dc:subject/>
  <dc:title>Implied Merging Probability</dc:title>
</cp:coreProperties>
</file>