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80"/>
        </w:pBdr>
        <w:rPr>
          <w:rFonts w:ascii="Arial" w:hAnsi="Arial" w:cs="Arial"/>
          <w:b/>
          <w:color w:val="000080"/>
          <w:sz w:val="48"/>
        </w:rPr>
      </w:pPr>
      <w:r>
        <w:rPr>
          <w:rFonts w:cs="Arial" w:ascii="Arial" w:hAnsi="Arial"/>
          <w:b/>
          <w:color w:val="000080"/>
          <w:sz w:val="48"/>
        </w:rPr>
        <w:t>Technical Corner</w:t>
      </w:r>
    </w:p>
    <w:p>
      <w:pPr>
        <w:pStyle w:val="BodyText"/>
        <w:rPr>
          <w:rFonts w:ascii="Arial" w:hAnsi="Arial" w:cs="Arial"/>
          <w:b/>
          <w:color w:val="000080"/>
          <w:sz w:val="28"/>
        </w:rPr>
      </w:pPr>
      <w:r>
        <w:rPr>
          <w:rFonts w:cs="Arial" w:ascii="Arial" w:hAnsi="Arial"/>
          <w:b/>
          <w:color w:val="000080"/>
          <w:sz w:val="28"/>
        </w:rPr>
      </w:r>
    </w:p>
    <w:p>
      <w:pPr>
        <w:pStyle w:val="Heading"/>
        <w:jc w:val="start"/>
        <w:rPr/>
      </w:pPr>
      <w:r>
        <w:rPr/>
        <w:t>Implied Probability Distributions from Option Prices</w:t>
      </w:r>
    </w:p>
    <w:p>
      <w:pPr>
        <w:pStyle w:val="Normal"/>
        <w:jc w:val="center"/>
        <w:rPr>
          <w:sz w:val="28"/>
        </w:rPr>
      </w:pPr>
      <w:r>
        <w:rPr>
          <w:sz w:val="28"/>
        </w:rPr>
      </w:r>
    </w:p>
    <w:p>
      <w:pPr>
        <w:pStyle w:val="Subtitle"/>
        <w:jc w:val="both"/>
        <w:rPr>
          <w:b w:val="false"/>
          <w:sz w:val="24"/>
        </w:rPr>
      </w:pPr>
      <w:r>
        <w:rPr>
          <w:b w:val="false"/>
          <w:sz w:val="24"/>
        </w:rPr>
        <w:t xml:space="preserve">By Kenneth Parkhill </w:t>
      </w:r>
    </w:p>
    <w:p>
      <w:pPr>
        <w:pStyle w:val="Normal"/>
        <w:jc w:val="both"/>
        <w:rPr>
          <w:b/>
          <w:sz w:val="24"/>
        </w:rPr>
      </w:pPr>
      <w:r>
        <w:rPr>
          <w:b/>
          <w:sz w:val="24"/>
        </w:rPr>
      </w:r>
    </w:p>
    <w:p>
      <w:pPr>
        <w:pStyle w:val="Normal"/>
        <w:jc w:val="both"/>
        <w:rPr/>
      </w:pPr>
      <w:r>
        <w:rPr/>
        <w:t>The Black-Scholes formula for option prices assumes that future prices are log-normally distributed.  Markets however, do not impose this restriction on future prices.  Extreme events occur with much greater regularity than the lognormal hypothesis would suggest.  Prices for options on futures are directly related to the market’s view of possible futures prices.  This article presents an approach for estimating the implied probability density function (</w:t>
      </w:r>
      <w:r>
        <w:rPr>
          <w:i/>
          <w:iCs/>
        </w:rPr>
        <w:t>pdf</w:t>
      </w:r>
      <w:r>
        <w:rPr/>
        <w:t xml:space="preserve">) for futures prices from option prices observed in the market.  </w:t>
      </w:r>
    </w:p>
    <w:p>
      <w:pPr>
        <w:pStyle w:val="Normal"/>
        <w:jc w:val="both"/>
        <w:rPr/>
      </w:pPr>
      <w:r>
        <w:rPr/>
      </w:r>
    </w:p>
    <w:p>
      <w:pPr>
        <w:pStyle w:val="Normal"/>
        <w:jc w:val="both"/>
        <w:rPr/>
      </w:pPr>
      <w:r>
        <w:rPr/>
        <w:t>At expiry the values of call or put options (</w:t>
      </w:r>
      <w:r>
        <w:rPr>
          <w:i/>
          <w:iCs/>
        </w:rPr>
        <w:t>c</w:t>
      </w:r>
      <w:r>
        <w:rPr/>
        <w:t xml:space="preserve"> and </w:t>
      </w:r>
      <w:r>
        <w:rPr>
          <w:i/>
          <w:iCs/>
        </w:rPr>
        <w:t>p</w:t>
      </w:r>
      <w:r>
        <w:rPr/>
        <w:t>, respectively) depend only on the futures price (</w:t>
      </w:r>
      <w:r>
        <w:rPr>
          <w:i/>
          <w:iCs/>
        </w:rPr>
        <w:t>F</w:t>
      </w:r>
      <w:r>
        <w:rPr/>
        <w:t>) and the option strike price (</w:t>
      </w:r>
      <w:r>
        <w:rPr>
          <w:i/>
          <w:iCs/>
        </w:rPr>
        <w:t>K</w:t>
      </w:r>
      <w:r>
        <w:rPr/>
        <w:t xml:space="preserve">).  </w:t>
      </w:r>
    </w:p>
    <w:p>
      <w:pPr>
        <w:pStyle w:val="Normal"/>
        <w:jc w:val="center"/>
        <w:rPr/>
      </w:pPr>
      <w:r>
        <w:rPr/>
      </w:r>
      <m:oMathPara xmlns:m="http://schemas.openxmlformats.org/officeDocument/2006/math">
        <m:oMathParaPr>
          <m:jc m:val="center"/>
        </m:oMathParaPr>
        <m:oMath>
          <m:eqArr>
            <m:e>
              <m:r>
                <m:t xml:space="preserve">c</m:t>
              </m:r>
              <m:r>
                <m:t xml:space="preserve">=</m:t>
              </m:r>
              <m:r>
                <m:rPr>
                  <m:lit/>
                  <m:nor/>
                </m:rPr>
                <m:t xml:space="preserve">MAX</m:t>
              </m:r>
              <m:d>
                <m:dPr>
                  <m:begChr m:val="("/>
                  <m:endChr m:val=")"/>
                </m:dPr>
                <m:e>
                  <m:r>
                    <m:t xml:space="preserve">0</m:t>
                  </m:r>
                  <m:r>
                    <m:t xml:space="preserve">,</m:t>
                  </m:r>
                  <m:r>
                    <m:t xml:space="preserve">F</m:t>
                  </m:r>
                  <m:r>
                    <m:t xml:space="preserve">−</m:t>
                  </m:r>
                  <m:r>
                    <m:t xml:space="preserve">K</m:t>
                  </m:r>
                </m:e>
              </m:d>
            </m:e>
            <m:e>
              <m:r>
                <m:t xml:space="preserve">p</m:t>
              </m:r>
              <m:r>
                <m:t xml:space="preserve">=</m:t>
              </m:r>
              <m:r>
                <m:rPr>
                  <m:lit/>
                  <m:nor/>
                </m:rPr>
                <m:t xml:space="preserve">MAX</m:t>
              </m:r>
              <m:d>
                <m:dPr>
                  <m:begChr m:val="("/>
                  <m:endChr m:val=")"/>
                </m:dPr>
                <m:e>
                  <m:r>
                    <m:t xml:space="preserve">0</m:t>
                  </m:r>
                  <m:r>
                    <m:t xml:space="preserve">,</m:t>
                  </m:r>
                  <m:r>
                    <m:t xml:space="preserve">K</m:t>
                  </m:r>
                  <m:r>
                    <m:t xml:space="preserve">−</m:t>
                  </m:r>
                  <m:r>
                    <m:t xml:space="preserve">F</m:t>
                  </m:r>
                </m:e>
              </m:d>
            </m:e>
          </m:eqArr>
        </m:oMath>
      </m:oMathPara>
    </w:p>
    <w:p>
      <w:pPr>
        <w:pStyle w:val="Normal"/>
        <w:jc w:val="both"/>
        <w:rPr/>
      </w:pPr>
      <w:r>
        <w:rPr/>
      </w:r>
    </w:p>
    <w:p>
      <w:pPr>
        <w:pStyle w:val="Normal"/>
        <w:jc w:val="both"/>
        <w:rPr/>
      </w:pPr>
      <w:r>
        <w:rPr/>
        <w:t xml:space="preserve">With uncertain futures prices, the option value function can be expressed in integral form as a function of possible futures prices, the </w:t>
      </w:r>
      <w:r>
        <w:rPr>
          <w:i/>
          <w:iCs/>
        </w:rPr>
        <w:t>pdf</w:t>
      </w:r>
      <w:r>
        <w:rPr/>
        <w:t>, and the option strike price.</w:t>
      </w:r>
    </w:p>
    <w:p>
      <w:pPr>
        <w:pStyle w:val="Normal"/>
        <w:jc w:val="center"/>
        <w:rPr/>
      </w:pPr>
      <w:r>
        <w:rPr/>
      </w:r>
      <m:oMathPara xmlns:m="http://schemas.openxmlformats.org/officeDocument/2006/math">
        <m:oMathParaPr>
          <m:jc m:val="center"/>
        </m:oMathParaPr>
        <m:oMath>
          <m:eqArr>
            <m:e>
              <m:r>
                <m:t xml:space="preserve">c</m:t>
              </m:r>
              <m:r>
                <m:t xml:space="preserve">=</m:t>
              </m:r>
              <m:nary>
                <m:naryPr>
                  <m:chr m:val="∫"/>
                </m:naryPr>
                <m:sub>
                  <m:r>
                    <m:t xml:space="preserve">K</m:t>
                  </m:r>
                </m:sub>
                <m:sup>
                  <m:r>
                    <m:t xml:space="preserve">∞</m:t>
                  </m:r>
                </m:sup>
                <m:e>
                  <m:d>
                    <m:dPr>
                      <m:begChr m:val="("/>
                      <m:endChr m:val=")"/>
                    </m:dPr>
                    <m:e>
                      <m:r>
                        <m:t xml:space="preserve">F</m:t>
                      </m:r>
                      <m:r>
                        <m:t xml:space="preserve">−</m:t>
                      </m:r>
                      <m:r>
                        <m:t xml:space="preserve">K</m:t>
                      </m:r>
                    </m:e>
                  </m:d>
                  <m:r>
                    <m:rPr>
                      <m:lit/>
                      <m:nor/>
                    </m:rPr>
                    <m:t xml:space="preserve">pdf</m:t>
                  </m:r>
                  <m:r>
                    <m:t xml:space="preserve">⋅</m:t>
                  </m:r>
                  <m:r>
                    <m:rPr>
                      <m:lit/>
                      <m:nor/>
                    </m:rPr>
                    <m:t xml:space="preserve">dF</m:t>
                  </m:r>
                </m:e>
              </m:nary>
            </m:e>
            <m:e/>
            <m:e>
              <m:r>
                <m:t xml:space="preserve">p</m:t>
              </m:r>
              <m:r>
                <m:t xml:space="preserve">=</m:t>
              </m:r>
              <m:nary>
                <m:naryPr>
                  <m:chr m:val="∫"/>
                </m:naryPr>
                <m:sub>
                  <m:r>
                    <m:t xml:space="preserve">0</m:t>
                  </m:r>
                </m:sub>
                <m:sup>
                  <m:r>
                    <m:t xml:space="preserve">K</m:t>
                  </m:r>
                </m:sup>
                <m:e>
                  <m:d>
                    <m:dPr>
                      <m:begChr m:val="("/>
                      <m:endChr m:val=")"/>
                    </m:dPr>
                    <m:e>
                      <m:r>
                        <m:t xml:space="preserve">K</m:t>
                      </m:r>
                      <m:r>
                        <m:t xml:space="preserve">−</m:t>
                      </m:r>
                      <m:r>
                        <m:t xml:space="preserve">F</m:t>
                      </m:r>
                    </m:e>
                  </m:d>
                  <m:r>
                    <m:rPr>
                      <m:lit/>
                      <m:nor/>
                    </m:rPr>
                    <m:t xml:space="preserve">pdf</m:t>
                  </m:r>
                  <m:r>
                    <m:t xml:space="preserve">⋅</m:t>
                  </m:r>
                  <m:r>
                    <m:rPr>
                      <m:lit/>
                      <m:nor/>
                    </m:rPr>
                    <m:t xml:space="preserve">dF</m:t>
                  </m:r>
                </m:e>
              </m:nary>
            </m:e>
          </m:eqArr>
        </m:oMath>
      </m:oMathPara>
    </w:p>
    <w:p>
      <w:pPr>
        <w:pStyle w:val="BodyText2"/>
        <w:rPr/>
      </w:pPr>
      <w:r>
        <w:rPr/>
        <w:t xml:space="preserve">With a substitution of variables the option value integrals can be differentiated twice with respect to the strike to derive an implied </w:t>
      </w:r>
      <w:r>
        <w:rPr>
          <w:i/>
          <w:iCs/>
        </w:rPr>
        <w:t>pdf</w:t>
      </w:r>
      <w:r>
        <w:rPr/>
        <w:t xml:space="preserve"> of futures prices.  The use of this delightful observation in a practical application is complicated by several significant factors.</w:t>
      </w:r>
    </w:p>
    <w:p>
      <w:pPr>
        <w:pStyle w:val="BodyText2"/>
        <w:rPr/>
      </w:pPr>
      <w:r>
        <w:rPr/>
      </w:r>
    </w:p>
    <w:p>
      <w:pPr>
        <w:pStyle w:val="BodyText2"/>
        <w:rPr/>
      </w:pPr>
      <w:r>
        <w:rPr/>
        <w:t xml:space="preserve">Prices for options on futures are available with strikes at discrete intervals.  Prices for options with strikes between the discrete intervals must be assumed.  The second derivative of option prices, i.e. the implied </w:t>
      </w:r>
      <w:r>
        <w:rPr>
          <w:i/>
          <w:iCs/>
        </w:rPr>
        <w:t>pdfs</w:t>
      </w:r>
      <w:r>
        <w:rPr/>
        <w:t xml:space="preserve">, is strongly dependent on the option value function.  This makes it possible to define multiple </w:t>
      </w:r>
      <w:r>
        <w:rPr>
          <w:i/>
          <w:iCs/>
        </w:rPr>
        <w:t>pdfs</w:t>
      </w:r>
      <w:r>
        <w:rPr/>
        <w:t xml:space="preserve"> that can explain observed market data.  Some of these </w:t>
      </w:r>
      <w:r>
        <w:rPr>
          <w:i/>
          <w:iCs/>
        </w:rPr>
        <w:t>pdfs</w:t>
      </w:r>
      <w:r>
        <w:rPr/>
        <w:t xml:space="preserve"> can be dismissed because they are either impossible (containing negative probabilities) or unreasonable (extremely irregular functions).  But other </w:t>
      </w:r>
      <w:r>
        <w:rPr>
          <w:i/>
          <w:iCs/>
        </w:rPr>
        <w:t>pdfs</w:t>
      </w:r>
      <w:r>
        <w:rPr/>
        <w:t xml:space="preserve"> may not be dismissed so easily.</w:t>
      </w:r>
    </w:p>
    <w:p>
      <w:pPr>
        <w:pStyle w:val="Normal"/>
        <w:jc w:val="both"/>
        <w:rPr/>
      </w:pPr>
      <w:r>
        <w:rPr/>
      </w:r>
    </w:p>
    <w:p>
      <w:pPr>
        <w:pStyle w:val="BodyText2"/>
        <w:rPr/>
      </w:pPr>
      <w:r>
        <w:rPr/>
        <w:t xml:space="preserve">The other significant complications have to do with the availability of valid option market data.  Options with distant expiry and options on obscure commodities may not be liquid, and few to no current prices may be available to derive implied </w:t>
      </w:r>
      <w:r>
        <w:rPr>
          <w:i/>
          <w:iCs/>
        </w:rPr>
        <w:t>pdfs</w:t>
      </w:r>
      <w:r>
        <w:rPr/>
        <w:t xml:space="preserve">.  Implied </w:t>
      </w:r>
      <w:r>
        <w:rPr>
          <w:i/>
          <w:iCs/>
        </w:rPr>
        <w:t>pdfs</w:t>
      </w:r>
      <w:r>
        <w:rPr/>
        <w:t xml:space="preserve"> can only be derived for those commodities with liquid options markets with a full spectrum of strike prices.  To maximize the use of scarce market data, trends in implied volatility can be calculated iteratively for actively traded options as a function of strike.  Using this function, option prices can be estimated at a much finer resolution of strike prices.  </w:t>
      </w:r>
    </w:p>
    <w:p>
      <w:pPr>
        <w:pStyle w:val="BodyText2"/>
        <w:rPr/>
      </w:pPr>
      <w:r>
        <w:rPr/>
      </w:r>
    </w:p>
    <w:p>
      <w:pPr>
        <w:pStyle w:val="BodyText2"/>
        <w:rPr/>
      </w:pPr>
      <w:r>
        <w:rPr/>
        <w:t xml:space="preserve">Figure 2 compares the implied </w:t>
      </w:r>
      <w:r>
        <w:rPr>
          <w:i/>
          <w:iCs/>
        </w:rPr>
        <w:t>pdf</w:t>
      </w:r>
      <w:r>
        <w:rPr/>
        <w:t xml:space="preserve"> based on prices of options on natural gas futures to the lognormal </w:t>
      </w:r>
      <w:r>
        <w:rPr>
          <w:i/>
          <w:iCs/>
        </w:rPr>
        <w:t>pdf</w:t>
      </w:r>
      <w:r>
        <w:rPr/>
        <w:t xml:space="preserve"> based on the at-the-money volatility.  Figure 1 was derived from settlement data for the September futures contract reported by NYMEX on May 21, 2001, shown in Figure 2.  In this case, the market data produce an implied </w:t>
      </w:r>
      <w:r>
        <w:rPr>
          <w:i/>
          <w:iCs/>
        </w:rPr>
        <w:t>pdf</w:t>
      </w:r>
      <w:r>
        <w:rPr/>
        <w:t xml:space="preserve"> that is skewed toward slightly greater future prices than the lognormal distribution would predict.  </w:t>
      </w:r>
      <w:r>
        <w:br w:type="page"/>
      </w:r>
    </w:p>
    <w:p>
      <w:pPr>
        <w:pStyle w:val="BodyText2"/>
        <w:rPr/>
      </w:pPr>
      <w:r>
        <w:rPr/>
      </w:r>
    </w:p>
    <w:p>
      <w:pPr>
        <w:pStyle w:val="BodyText2"/>
        <w:jc w:val="center"/>
        <w:rPr>
          <w:b/>
          <w:bCs/>
        </w:rPr>
      </w:pPr>
      <w:r>
        <w:rPr>
          <w:b/>
          <w:bCs/>
        </w:rPr>
        <w:t>Figure 1:</w:t>
      </w:r>
    </w:p>
    <w:p>
      <w:pPr>
        <w:pStyle w:val="BodyText2"/>
        <w:jc w:val="center"/>
        <w:rPr/>
      </w:pPr>
      <w:r>
        <w:rPr/>
        <w:drawing>
          <wp:inline distT="0" distB="0" distL="0" distR="0">
            <wp:extent cx="5481955" cy="37541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1955" cy="3754120"/>
                    </a:xfrm>
                    <a:prstGeom prst="rect">
                      <a:avLst/>
                    </a:prstGeom>
                    <a:noFill/>
                  </pic:spPr>
                </pic:pic>
              </a:graphicData>
            </a:graphic>
          </wp:inline>
        </w:drawing>
      </w:r>
    </w:p>
    <w:p>
      <w:pPr>
        <w:pStyle w:val="BodyText2"/>
        <w:rPr/>
      </w:pPr>
      <w:r>
        <w:rPr/>
      </w:r>
    </w:p>
    <w:p>
      <w:pPr>
        <w:pStyle w:val="BodyText2"/>
        <w:jc w:val="center"/>
        <w:rPr/>
      </w:pPr>
      <w:r>
        <w:rPr/>
      </w:r>
    </w:p>
    <w:p>
      <w:pPr>
        <w:pStyle w:val="BodyText2"/>
        <w:jc w:val="center"/>
        <w:rPr>
          <w:b/>
          <w:bCs/>
        </w:rPr>
      </w:pPr>
      <w:r>
        <w:rPr>
          <w:b/>
          <w:bCs/>
        </w:rPr>
        <w:t>Figure 2:</w:t>
      </w:r>
    </w:p>
    <w:p>
      <w:pPr>
        <w:pStyle w:val="BodyText2"/>
        <w:jc w:val="center"/>
        <w:rPr>
          <w:b/>
          <w:bCs/>
        </w:rPr>
      </w:pPr>
      <w:r>
        <w:rPr>
          <w:b/>
          <w:bCs/>
        </w:rPr>
      </w:r>
    </w:p>
    <w:p>
      <w:pPr>
        <w:pStyle w:val="BodyText2"/>
        <w:jc w:val="center"/>
        <w:rPr/>
      </w:pPr>
      <w:r>
        <w:rPr/>
        <w:drawing>
          <wp:inline distT="0" distB="0" distL="0" distR="0">
            <wp:extent cx="5485765" cy="27425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8" r="-4" b="-8"/>
                    <a:stretch>
                      <a:fillRect/>
                    </a:stretch>
                  </pic:blipFill>
                  <pic:spPr bwMode="auto">
                    <a:xfrm>
                      <a:off x="0" y="0"/>
                      <a:ext cx="5485765" cy="2742565"/>
                    </a:xfrm>
                    <a:prstGeom prst="rect">
                      <a:avLst/>
                    </a:prstGeom>
                    <a:noFill/>
                  </pic:spPr>
                </pic:pic>
              </a:graphicData>
            </a:graphic>
          </wp:inline>
        </w:drawing>
      </w:r>
    </w:p>
    <w:p>
      <w:pPr>
        <w:pStyle w:val="BodyText2"/>
        <w:jc w:val="center"/>
        <w:rPr/>
      </w:pPr>
      <w:r>
        <w:rPr/>
      </w:r>
    </w:p>
    <w:p>
      <w:pPr>
        <w:pStyle w:val="BodyText2"/>
        <w:jc w:val="start"/>
        <w:rPr>
          <w:i/>
          <w:i/>
          <w:iCs/>
        </w:rPr>
      </w:pPr>
      <w:r>
        <w:rPr>
          <w:i/>
          <w:iCs/>
        </w:rPr>
        <w:t>Thanks to Paulo Issler and Tom Barkley for contributing to this article.</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rFonts w:ascii="Wingdings" w:hAnsi="Wingdings" w:cs="Wingdings"/>
      <w:sz w:val="16"/>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sz w:val="16"/>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5z0">
    <w:name w:val="WW8Num55z0"/>
    <w:qFormat/>
    <w:rPr/>
  </w:style>
  <w:style w:type="character" w:styleId="WW8Num56z0">
    <w:name w:val="WW8Num56z0"/>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sz w:val="22"/>
    </w:rPr>
  </w:style>
  <w:style w:type="character" w:styleId="WW8Num59z0">
    <w:name w:val="WW8Num59z0"/>
    <w:qFormat/>
    <w:rPr/>
  </w:style>
  <w:style w:type="character" w:styleId="WW8Num60z0">
    <w:name w:val="WW8Num60z0"/>
    <w:qFormat/>
    <w:rPr>
      <w:rFonts w:ascii="Symbol" w:hAnsi="Symbol" w:cs="Symbol"/>
    </w:rPr>
  </w:style>
  <w:style w:type="character" w:styleId="WW8Num63z0">
    <w:name w:val="WW8Num63z0"/>
    <w:qFormat/>
    <w:rPr>
      <w:rFonts w:ascii="Wingdings" w:hAnsi="Wingdings" w:cs="Wingdings"/>
    </w:rPr>
  </w:style>
  <w:style w:type="character" w:styleId="WW8Num65z0">
    <w:name w:val="WW8Num65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1z0">
    <w:name w:val="WW8Num71z0"/>
    <w:qFormat/>
    <w:rPr/>
  </w:style>
  <w:style w:type="character" w:styleId="WW8NumSt66z0">
    <w:name w:val="WW8NumSt66z0"/>
    <w:qFormat/>
    <w:rPr>
      <w:rFonts w:ascii="Times New Roman" w:hAnsi="Times New Roman" w:cs="Times New Roman"/>
      <w:sz w:val="24"/>
    </w:rPr>
  </w:style>
  <w:style w:type="character" w:styleId="WW8NumSt67z0">
    <w:name w:val="WW8NumSt67z0"/>
    <w:qFormat/>
    <w:rPr>
      <w:rFonts w:ascii="Comic Sans MS" w:hAnsi="Comic Sans MS" w:cs="Comic Sans MS"/>
      <w:sz w:val="30"/>
    </w:rPr>
  </w:style>
  <w:style w:type="character" w:styleId="DefaultParagraphFont">
    <w:name w:val="Default Paragraph Font"/>
    <w:qFormat/>
    <w:rPr/>
  </w:style>
  <w:style w:type="paragraph" w:styleId="Heading">
    <w:name w:val="Heading"/>
    <w:basedOn w:val="Normal"/>
    <w:next w:val="BodyText"/>
    <w:qFormat/>
    <w:pPr>
      <w:jc w:val="center"/>
      <w:outlineLvl w:val="0"/>
    </w:pPr>
    <w:rPr>
      <w:b/>
    </w:rPr>
  </w:style>
  <w:style w:type="paragraph" w:styleId="BodyText">
    <w:name w:val="Body Text"/>
    <w:basedOn w:val="Normal"/>
    <w:pPr>
      <w:tabs>
        <w:tab w:val="clear" w:pos="720"/>
        <w:tab w:val="left" w:pos="144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Subtitle">
    <w:name w:val="Subtitle"/>
    <w:basedOn w:val="Normal"/>
    <w:next w:val="BodyText"/>
    <w:qFormat/>
    <w:pPr>
      <w:outlineLvl w:val="0"/>
    </w:pPr>
    <w:rPr>
      <w:b/>
      <w:i/>
      <w:sz w:val="22"/>
    </w:rPr>
  </w:style>
  <w:style w:type="paragraph" w:styleId="BodyText2">
    <w:name w:val="Body Text 2"/>
    <w:basedOn w:val="Normal"/>
    <w:qFormat/>
    <w:pPr>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2001-06-20T11:02:00Z</dcterms:created>
  <dc:creator>Kenneth Parkhill</dc:creator>
  <dc:description/>
  <cp:keywords>volatility correlation historical data estimation</cp:keywords>
  <dc:language>en-CA</dc:language>
  <cp:lastModifiedBy>Kenneth Parkhill</cp:lastModifiedBy>
  <cp:lastPrinted>2001-05-14T14:42:00Z</cp:lastPrinted>
  <dcterms:modified xsi:type="dcterms:W3CDTF">2001-06-20T11:02:00Z</dcterms:modified>
  <cp:revision>2</cp:revision>
  <dc:subject/>
  <dc:title>Estimating Volatilities and Correlations</dc:title>
</cp:coreProperties>
</file>