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rFonts w:cs="Arial"/>
        </w:rPr>
      </w:pPr>
      <w:r>
        <w:rPr>
          <w:rFonts w:cs="Arial"/>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rFonts w:cs="Arial"/>
        </w:rPr>
      </w:pPr>
      <w:r>
        <w:rPr>
          <w:rFonts w:cs="Arial"/>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rFonts w:cs="Arial"/>
                <w:sz w:val="16"/>
              </w:rPr>
            </w:pPr>
            <w:r>
              <w:rPr>
                <w:rFonts w:cs="Arial"/>
                <w:sz w:val="16"/>
              </w:rPr>
              <w:t>To:</w:t>
            </w:r>
          </w:p>
        </w:tc>
        <w:tc>
          <w:tcPr>
            <w:tcW w:w="6045" w:type="dxa"/>
            <w:tcBorders/>
          </w:tcPr>
          <w:p>
            <w:pPr>
              <w:pStyle w:val="To"/>
              <w:rPr>
                <w:rFonts w:cs="Arial"/>
              </w:rPr>
            </w:pPr>
            <w:r>
              <w:rPr>
                <w:rFonts w:cs="Arial"/>
              </w:rPr>
              <w:t>Emissions Desk</w:t>
            </w:r>
          </w:p>
        </w:tc>
        <w:tc>
          <w:tcPr>
            <w:tcW w:w="990" w:type="dxa"/>
            <w:tcBorders/>
          </w:tcPr>
          <w:p>
            <w:pPr>
              <w:pStyle w:val="Normal"/>
              <w:snapToGrid w:val="false"/>
              <w:ind w:start="-180" w:end="0"/>
              <w:rPr>
                <w:rFonts w:cs="Arial"/>
              </w:rPr>
            </w:pPr>
            <w:r>
              <w:rPr>
                <w:rFonts w:cs="Arial"/>
              </w:rPr>
            </w:r>
          </w:p>
        </w:tc>
        <w:tc>
          <w:tcPr>
            <w:tcW w:w="2965" w:type="dxa"/>
            <w:tcBorders/>
          </w:tcPr>
          <w:p>
            <w:pPr>
              <w:pStyle w:val="Normal"/>
              <w:snapToGrid w:val="false"/>
              <w:rPr>
                <w:rFonts w:cs="Arial"/>
              </w:rPr>
            </w:pPr>
            <w:r>
              <w:rPr>
                <w:rFonts w:cs="Arial"/>
              </w:rPr>
            </w:r>
          </w:p>
        </w:tc>
      </w:tr>
      <w:tr>
        <w:trPr>
          <w:trHeight w:val="300" w:hRule="exact"/>
        </w:trPr>
        <w:tc>
          <w:tcPr>
            <w:tcW w:w="708" w:type="dxa"/>
            <w:tcBorders/>
          </w:tcPr>
          <w:p>
            <w:pPr>
              <w:pStyle w:val="Normal"/>
              <w:ind w:start="-180" w:end="0"/>
              <w:jc w:val="end"/>
              <w:rPr>
                <w:rFonts w:cs="Arial"/>
                <w:sz w:val="16"/>
              </w:rPr>
            </w:pPr>
            <w:r>
              <w:rPr>
                <w:rFonts w:cs="Arial"/>
                <w:sz w:val="16"/>
              </w:rPr>
              <w:t>From:</w:t>
            </w:r>
          </w:p>
        </w:tc>
        <w:tc>
          <w:tcPr>
            <w:tcW w:w="6045" w:type="dxa"/>
            <w:tcBorders/>
          </w:tcPr>
          <w:p>
            <w:pPr>
              <w:pStyle w:val="From"/>
              <w:rPr>
                <w:rFonts w:cs="Arial"/>
              </w:rPr>
            </w:pPr>
            <w:r>
              <w:rPr>
                <w:rFonts w:cs="Arial"/>
              </w:rPr>
              <w:t>Mary Schoen</w:t>
            </w:r>
          </w:p>
        </w:tc>
        <w:tc>
          <w:tcPr>
            <w:tcW w:w="990" w:type="dxa"/>
            <w:tcBorders/>
          </w:tcPr>
          <w:p>
            <w:pPr>
              <w:pStyle w:val="Normal"/>
              <w:ind w:start="-180" w:end="0"/>
              <w:jc w:val="end"/>
              <w:rPr>
                <w:rFonts w:cs="Arial"/>
                <w:sz w:val="16"/>
              </w:rPr>
            </w:pPr>
            <w:r>
              <w:rPr>
                <w:rFonts w:cs="Arial"/>
                <w:sz w:val="16"/>
              </w:rPr>
              <w:t>Department:</w:t>
            </w:r>
          </w:p>
        </w:tc>
        <w:tc>
          <w:tcPr>
            <w:tcW w:w="2965" w:type="dxa"/>
            <w:tcBorders/>
          </w:tcPr>
          <w:p>
            <w:pPr>
              <w:pStyle w:val="Department"/>
              <w:rPr>
                <w:rFonts w:cs="Arial"/>
              </w:rPr>
            </w:pPr>
            <w:bookmarkStart w:id="0" w:name="From"/>
            <w:bookmarkEnd w:id="0"/>
            <w:r>
              <w:rPr>
                <w:rFonts w:cs="Arial"/>
              </w:rPr>
              <w:t>Environmental Strategies</w:t>
            </w:r>
          </w:p>
        </w:tc>
      </w:tr>
      <w:tr>
        <w:trPr>
          <w:trHeight w:val="600" w:hRule="exact"/>
        </w:trPr>
        <w:tc>
          <w:tcPr>
            <w:tcW w:w="708" w:type="dxa"/>
            <w:tcBorders>
              <w:bottom w:val="single" w:sz="12" w:space="0" w:color="000000"/>
            </w:tcBorders>
          </w:tcPr>
          <w:p>
            <w:pPr>
              <w:pStyle w:val="Normal"/>
              <w:ind w:start="-180" w:end="0"/>
              <w:jc w:val="end"/>
              <w:rPr>
                <w:rFonts w:cs="Arial"/>
                <w:sz w:val="16"/>
              </w:rPr>
            </w:pPr>
            <w:r>
              <w:rPr>
                <w:rFonts w:cs="Arial"/>
                <w:sz w:val="16"/>
              </w:rPr>
              <w:t>Subject:</w:t>
            </w:r>
          </w:p>
        </w:tc>
        <w:tc>
          <w:tcPr>
            <w:tcW w:w="6045" w:type="dxa"/>
            <w:tcBorders>
              <w:bottom w:val="single" w:sz="12" w:space="0" w:color="000000"/>
            </w:tcBorders>
          </w:tcPr>
          <w:p>
            <w:pPr>
              <w:pStyle w:val="Subject"/>
              <w:rPr>
                <w:rFonts w:cs="Arial"/>
              </w:rPr>
            </w:pPr>
            <w:r>
              <w:rPr>
                <w:rFonts w:cs="Arial"/>
              </w:rPr>
              <w:t>Implications of Court’s Section 126 Ruling on NOx Trading Program</w:t>
            </w:r>
          </w:p>
        </w:tc>
        <w:tc>
          <w:tcPr>
            <w:tcW w:w="990" w:type="dxa"/>
            <w:tcBorders>
              <w:bottom w:val="single" w:sz="12" w:space="0" w:color="000000"/>
            </w:tcBorders>
          </w:tcPr>
          <w:p>
            <w:pPr>
              <w:pStyle w:val="Normal"/>
              <w:ind w:start="-180" w:end="0"/>
              <w:jc w:val="end"/>
              <w:rPr>
                <w:rFonts w:cs="Arial"/>
                <w:sz w:val="16"/>
              </w:rPr>
            </w:pPr>
            <w:r>
              <w:rPr>
                <w:rFonts w:cs="Arial"/>
                <w:sz w:val="16"/>
              </w:rPr>
              <w:t>Date:</w:t>
            </w:r>
          </w:p>
        </w:tc>
        <w:tc>
          <w:tcPr>
            <w:tcW w:w="2965" w:type="dxa"/>
            <w:tcBorders>
              <w:bottom w:val="single" w:sz="12" w:space="0" w:color="000000"/>
            </w:tcBorders>
          </w:tcPr>
          <w:p>
            <w:pPr>
              <w:pStyle w:val="Date"/>
              <w:rPr>
                <w:rFonts w:cs="Arial"/>
              </w:rPr>
            </w:pPr>
            <w:r>
              <w:rPr>
                <w:rFonts w:cs="Arial"/>
              </w:rPr>
              <w:fldChar w:fldCharType="begin"/>
            </w:r>
            <w:r>
              <w:rPr>
                <w:rFonts w:cs="Arial"/>
              </w:rPr>
              <w:instrText xml:space="preserve"> DATE \@"MMMM\ d', 'yyyy" </w:instrText>
            </w:r>
            <w:r>
              <w:rPr>
                <w:rFonts w:cs="Arial"/>
              </w:rPr>
              <w:fldChar w:fldCharType="separate"/>
            </w:r>
            <w:r>
              <w:rPr>
                <w:rFonts w:cs="Arial"/>
              </w:rPr>
              <w:t>September 28, 2025</w:t>
            </w:r>
            <w:r>
              <w:rPr>
                <w:rFonts w:cs="Arial"/>
              </w:rPr>
              <w:fldChar w:fldCharType="end"/>
            </w:r>
          </w:p>
        </w:tc>
      </w:tr>
    </w:tbl>
    <w:p>
      <w:pPr>
        <w:pStyle w:val="Body"/>
        <w:rPr>
          <w:rFonts w:cs="Arial"/>
        </w:rPr>
      </w:pPr>
      <w:r>
        <w:rPr>
          <w:rFonts w:cs="Arial"/>
        </w:rPr>
      </w:r>
      <w:bookmarkStart w:id="1" w:name="StartOfMemo"/>
      <w:bookmarkStart w:id="2" w:name="StartOfMemo"/>
      <w:bookmarkEnd w:id="2"/>
    </w:p>
    <w:p>
      <w:pPr>
        <w:pStyle w:val="Body"/>
        <w:rPr>
          <w:rFonts w:cs="Arial"/>
        </w:rPr>
      </w:pPr>
      <w:r>
        <w:rPr>
          <w:rFonts w:cs="Arial"/>
        </w:rPr>
      </w:r>
    </w:p>
    <w:p>
      <w:pPr>
        <w:pStyle w:val="Body"/>
        <w:rPr>
          <w:rFonts w:cs="Arial"/>
        </w:rPr>
      </w:pPr>
      <w:r>
        <w:rPr>
          <w:rFonts w:cs="Arial"/>
        </w:rPr>
        <w:t>The most important issue to understand up front is that the litigation efforts by those opposing implementation of the NOx Trading Programs are not complete.  The two main efforts to look for in the upcoming weeks and months are:</w:t>
      </w:r>
    </w:p>
    <w:p>
      <w:pPr>
        <w:pStyle w:val="Body"/>
        <w:rPr>
          <w:rFonts w:cs="Arial"/>
        </w:rPr>
      </w:pPr>
      <w:r>
        <w:rPr>
          <w:rFonts w:cs="Arial"/>
        </w:rPr>
      </w:r>
    </w:p>
    <w:p>
      <w:pPr>
        <w:pStyle w:val="Body"/>
        <w:numPr>
          <w:ilvl w:val="0"/>
          <w:numId w:val="3"/>
        </w:numPr>
        <w:rPr>
          <w:rFonts w:cs="Arial"/>
        </w:rPr>
      </w:pPr>
      <w:r>
        <w:rPr>
          <w:rFonts w:cs="Arial"/>
        </w:rPr>
        <w:t>An effort by industrial groups to get the Non-Electric Generating Portion of the Section 126 Rules stayed or vacated.</w:t>
      </w:r>
    </w:p>
    <w:p>
      <w:pPr>
        <w:pStyle w:val="Body"/>
        <w:numPr>
          <w:ilvl w:val="0"/>
          <w:numId w:val="3"/>
        </w:numPr>
        <w:rPr>
          <w:rFonts w:cs="Arial"/>
        </w:rPr>
      </w:pPr>
      <w:r>
        <w:rPr>
          <w:rFonts w:cs="Arial"/>
        </w:rPr>
        <w:t>A challenge to the growth factors in the NOx SIP Call Budget similar to the challenge to the growth factors in the Section 126 Rulemaking that lead to the Section 126 Rule being “tolled” and remanded to the USEPA.</w:t>
      </w:r>
    </w:p>
    <w:p>
      <w:pPr>
        <w:pStyle w:val="Body"/>
        <w:rPr>
          <w:rFonts w:cs="Arial"/>
        </w:rPr>
      </w:pPr>
      <w:r>
        <w:rPr>
          <w:rFonts w:cs="Arial"/>
        </w:rPr>
      </w:r>
    </w:p>
    <w:p>
      <w:pPr>
        <w:pStyle w:val="Body"/>
        <w:rPr>
          <w:rFonts w:cs="Arial"/>
        </w:rPr>
      </w:pPr>
      <w:r>
        <w:rPr>
          <w:rFonts w:cs="Arial"/>
        </w:rPr>
        <w:t xml:space="preserve">The only “certainty” is that the states in the OTR Trading Program are planning to move forward with their SIP implementations in 2003.  For those 126 Section states outside of the OTR, until otherwise challenged, only the non-EGUs will be required to reduce their emissions before 2004.  </w:t>
      </w:r>
    </w:p>
    <w:p>
      <w:pPr>
        <w:pStyle w:val="Body"/>
        <w:rPr>
          <w:rFonts w:cs="Arial"/>
        </w:rPr>
      </w:pPr>
      <w:r>
        <w:rPr>
          <w:rFonts w:cs="Arial"/>
        </w:rPr>
      </w:r>
    </w:p>
    <w:p>
      <w:pPr>
        <w:pStyle w:val="Body"/>
        <w:rPr>
          <w:rFonts w:cs="Arial"/>
        </w:rPr>
      </w:pPr>
      <w:r>
        <w:rPr>
          <w:rFonts w:cs="Arial"/>
        </w:rPr>
        <w:t>Attached is a matrix specifying which states and types of units are affected under the different trading programs.  If there is anything you need more detail or specifics on within the matrix, please let me know.</w:t>
      </w:r>
    </w:p>
    <w:p>
      <w:pPr>
        <w:pStyle w:val="Body"/>
        <w:rPr>
          <w:rFonts w:cs="Arial"/>
        </w:rPr>
      </w:pPr>
      <w:r>
        <w:rPr>
          <w:rFonts w:cs="Arial"/>
        </w:rPr>
      </w:r>
    </w:p>
    <w:p>
      <w:pPr>
        <w:pStyle w:val="Body"/>
        <w:rPr>
          <w:rFonts w:cs="Arial"/>
        </w:rPr>
      </w:pPr>
      <w:r>
        <w:rPr>
          <w:rFonts w:cs="Arial"/>
        </w:rPr>
        <w:t>The other two matters of note are the continuing uncertainty regarding treatment of cogeneration units in the trading programs and the mechanics of rolling the compliance supplement pools and banked allowances to forward years given the shift from one trading program to another.</w:t>
      </w:r>
    </w:p>
    <w:p>
      <w:pPr>
        <w:pStyle w:val="Body"/>
        <w:rPr>
          <w:rFonts w:cs="Arial"/>
        </w:rPr>
      </w:pPr>
      <w:r>
        <w:rPr>
          <w:rFonts w:cs="Arial"/>
        </w:rPr>
      </w:r>
    </w:p>
    <w:p>
      <w:pPr>
        <w:pStyle w:val="Body"/>
        <w:rPr>
          <w:rFonts w:cs="Arial"/>
        </w:rPr>
      </w:pPr>
      <w:r>
        <w:rPr>
          <w:rFonts w:cs="Arial"/>
          <w:u w:val="single"/>
        </w:rPr>
        <w:t>Cogeneration Definitional Issues</w:t>
      </w:r>
    </w:p>
    <w:p>
      <w:pPr>
        <w:pStyle w:val="Body"/>
        <w:rPr>
          <w:rFonts w:cs="Arial"/>
        </w:rPr>
      </w:pPr>
      <w:r>
        <w:rPr>
          <w:rFonts w:cs="Arial"/>
        </w:rPr>
      </w:r>
    </w:p>
    <w:p>
      <w:pPr>
        <w:pStyle w:val="NormalWeb"/>
        <w:spacing w:before="0" w:after="0"/>
        <w:rPr/>
      </w:pPr>
      <w:r>
        <w:rPr>
          <w:rFonts w:cs="Arial" w:ascii="Arial" w:hAnsi="Arial"/>
          <w:color w:val="000080"/>
          <w:sz w:val="20"/>
        </w:rPr>
        <w:t>One of the issues remanded to the EPA in the March 3, 2000 court decision was the definition of electric generating unit (EGU). The court found that the EPA had changed the definition in the final rule without adequate notice and comment. On January 5, 2001 the Environmental Protection Agency released for comment a proposed revision of the NO</w:t>
      </w:r>
      <w:r>
        <w:rPr>
          <w:rFonts w:cs="Arial" w:ascii="Arial" w:hAnsi="Arial"/>
          <w:color w:val="000080"/>
          <w:sz w:val="20"/>
          <w:vertAlign w:val="subscript"/>
        </w:rPr>
        <w:t>x</w:t>
      </w:r>
      <w:r>
        <w:rPr>
          <w:rFonts w:cs="Arial" w:ascii="Arial" w:hAnsi="Arial"/>
          <w:color w:val="000080"/>
          <w:sz w:val="20"/>
        </w:rPr>
        <w:t xml:space="preserve"> SIP call.  However, this revision was pulled back for further analysis when the Bush Administration took office, and today it is unclear exactly how cogen units will be treated under the NOx SIP Call.  The Bush administration may choose to follow the guidance issued under the Clinton administration, or may chart its own course.  </w:t>
      </w:r>
    </w:p>
    <w:p>
      <w:pPr>
        <w:pStyle w:val="NormalWeb"/>
        <w:spacing w:before="0" w:after="0"/>
        <w:rPr>
          <w:rFonts w:ascii="Arial" w:hAnsi="Arial" w:cs="Arial"/>
          <w:color w:val="000080"/>
          <w:sz w:val="20"/>
        </w:rPr>
      </w:pPr>
      <w:r>
        <w:rPr>
          <w:rFonts w:cs="Arial" w:ascii="Arial" w:hAnsi="Arial"/>
          <w:color w:val="000080"/>
          <w:sz w:val="20"/>
        </w:rPr>
      </w:r>
    </w:p>
    <w:p>
      <w:pPr>
        <w:pStyle w:val="NormalWeb"/>
        <w:spacing w:before="0" w:after="0"/>
        <w:rPr>
          <w:rFonts w:ascii="Arial" w:hAnsi="Arial" w:cs="Arial"/>
          <w:color w:val="000080"/>
          <w:sz w:val="20"/>
        </w:rPr>
      </w:pPr>
      <w:r>
        <w:rPr>
          <w:rFonts w:cs="Arial" w:ascii="Arial" w:hAnsi="Arial"/>
          <w:color w:val="000080"/>
          <w:sz w:val="20"/>
        </w:rPr>
        <w:t>The basic definition of EGU is a unit serving a generator larger than 25 MW that sells electricity. The changes and adjustments the EPA made which led to the remand by the Court primarily addressed the definition of "sells electricity" and the treatment of cogenerators. Much of this relates to a change from regulating "electric utilities" to addressing a restructured electricity market. The original SIP proposal followed a definition from Title IV of the Clean Air Act Amendments that exempted cogenerators that sold less than 1/3 of their power or less than 25 MW to the grid. It also set different criteria for electricity sales based on project start-up date: for projects that started prior to 1/1/96, sale of electricity was defined as sale to the grid under a firm contract. For projects starting operation on or after 1/1/96, sales was defined as any sales to the grid.  EPA under the Clinton Administration proposed to address the Court’s remand as follows:</w:t>
      </w:r>
    </w:p>
    <w:p>
      <w:pPr>
        <w:pStyle w:val="NormalWeb"/>
        <w:spacing w:before="0" w:after="0"/>
        <w:rPr>
          <w:rFonts w:ascii="Arial" w:hAnsi="Arial" w:cs="Arial"/>
          <w:color w:val="000080"/>
          <w:sz w:val="20"/>
        </w:rPr>
      </w:pPr>
      <w:r>
        <w:rPr>
          <w:rFonts w:cs="Arial" w:ascii="Arial" w:hAnsi="Arial"/>
          <w:color w:val="000080"/>
          <w:sz w:val="20"/>
        </w:rPr>
      </w:r>
    </w:p>
    <w:p>
      <w:pPr>
        <w:pStyle w:val="NormalWeb"/>
        <w:numPr>
          <w:ilvl w:val="0"/>
          <w:numId w:val="2"/>
        </w:numPr>
        <w:spacing w:before="0" w:after="0"/>
        <w:rPr>
          <w:rFonts w:ascii="Arial" w:hAnsi="Arial" w:cs="Arial"/>
          <w:color w:val="000080"/>
          <w:sz w:val="20"/>
        </w:rPr>
      </w:pPr>
      <w:r>
        <w:rPr>
          <w:rFonts w:cs="Arial" w:ascii="Arial" w:hAnsi="Arial"/>
          <w:color w:val="000080"/>
          <w:sz w:val="20"/>
        </w:rPr>
        <w:t>EPA wanted to change the categorization of units based on date of operation. Their proposal set the division based on units operating before January 1, 1997, units operating after January 1, 1997 and before January 1, 1999, and units commencing operation on or after January 1, 1999. The classifications of "sales" are as follows:</w:t>
      </w:r>
    </w:p>
    <w:p>
      <w:pPr>
        <w:pStyle w:val="NormalWeb"/>
        <w:spacing w:before="0" w:after="0"/>
        <w:rPr>
          <w:rFonts w:ascii="Arial" w:hAnsi="Arial" w:cs="Arial"/>
          <w:color w:val="000080"/>
          <w:sz w:val="20"/>
        </w:rPr>
      </w:pPr>
      <w:r>
        <w:rPr>
          <w:rFonts w:cs="Arial" w:ascii="Arial" w:hAnsi="Arial"/>
          <w:color w:val="000080"/>
          <w:sz w:val="20"/>
        </w:rPr>
      </w:r>
    </w:p>
    <w:tbl>
      <w:tblPr>
        <w:tblW w:w="9570" w:type="dxa"/>
        <w:jc w:val="center"/>
        <w:tblInd w:w="0" w:type="dxa"/>
        <w:tblLayout w:type="fixed"/>
        <w:tblCellMar>
          <w:top w:w="105" w:type="dxa"/>
          <w:start w:w="105" w:type="dxa"/>
          <w:bottom w:w="105" w:type="dxa"/>
          <w:end w:w="105" w:type="dxa"/>
        </w:tblCellMar>
      </w:tblPr>
      <w:tblGrid>
        <w:gridCol w:w="1853"/>
        <w:gridCol w:w="2409"/>
        <w:gridCol w:w="2409"/>
        <w:gridCol w:w="2899"/>
      </w:tblGrid>
      <w:tr>
        <w:trPr/>
        <w:tc>
          <w:tcPr>
            <w:tcW w:w="1853"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rPr>
                <w:rFonts w:eastAsia="Arial Unicode MS" w:cs="Arial"/>
                <w:color w:val="000080"/>
                <w:sz w:val="20"/>
              </w:rPr>
            </w:pPr>
            <w:r>
              <w:rPr>
                <w:rFonts w:cs="Arial"/>
                <w:i/>
                <w:iCs/>
                <w:color w:val="000080"/>
                <w:sz w:val="20"/>
              </w:rPr>
              <w:br/>
              <w:br/>
              <w:t>Operation Date</w:t>
            </w:r>
          </w:p>
        </w:tc>
        <w:tc>
          <w:tcPr>
            <w:tcW w:w="2409"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rPr>
                <w:rFonts w:eastAsia="Arial Unicode MS" w:cs="Arial"/>
                <w:color w:val="000080"/>
                <w:sz w:val="20"/>
              </w:rPr>
            </w:pPr>
            <w:r>
              <w:rPr>
                <w:rFonts w:cs="Arial"/>
                <w:i/>
                <w:iCs/>
                <w:color w:val="000080"/>
                <w:sz w:val="20"/>
              </w:rPr>
              <w:br/>
              <w:br/>
              <w:t>Prior to 1/1/97</w:t>
            </w:r>
          </w:p>
        </w:tc>
        <w:tc>
          <w:tcPr>
            <w:tcW w:w="2409"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rPr>
                <w:rFonts w:eastAsia="Arial Unicode MS" w:cs="Arial"/>
                <w:color w:val="000080"/>
                <w:sz w:val="20"/>
              </w:rPr>
            </w:pPr>
            <w:r>
              <w:rPr>
                <w:rFonts w:cs="Arial"/>
                <w:i/>
                <w:iCs/>
                <w:color w:val="000080"/>
                <w:sz w:val="20"/>
              </w:rPr>
              <w:br/>
              <w:br/>
              <w:t>After 1/1/97, before 1/1/99</w:t>
            </w:r>
          </w:p>
        </w:tc>
        <w:tc>
          <w:tcPr>
            <w:tcW w:w="2899"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rPr>
                <w:rFonts w:eastAsia="Arial Unicode MS" w:cs="Arial"/>
                <w:color w:val="000080"/>
                <w:sz w:val="20"/>
              </w:rPr>
            </w:pPr>
            <w:r>
              <w:rPr>
                <w:rFonts w:cs="Arial"/>
                <w:i/>
                <w:iCs/>
                <w:color w:val="000080"/>
                <w:sz w:val="20"/>
              </w:rPr>
              <w:br/>
              <w:br/>
              <w:t>After 1/1/99</w:t>
            </w:r>
          </w:p>
        </w:tc>
      </w:tr>
      <w:tr>
        <w:trPr/>
        <w:tc>
          <w:tcPr>
            <w:tcW w:w="1853"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rPr>
                <w:rFonts w:eastAsia="Arial Unicode MS" w:cs="Arial"/>
                <w:color w:val="000080"/>
                <w:sz w:val="20"/>
              </w:rPr>
            </w:pPr>
            <w:r>
              <w:rPr>
                <w:rFonts w:cs="Arial"/>
                <w:color w:val="000080"/>
                <w:sz w:val="20"/>
              </w:rPr>
              <w:t>EGU</w:t>
            </w:r>
          </w:p>
        </w:tc>
        <w:tc>
          <w:tcPr>
            <w:tcW w:w="2409"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rPr>
                <w:rFonts w:eastAsia="Arial Unicode MS" w:cs="Arial"/>
                <w:color w:val="000080"/>
                <w:sz w:val="20"/>
              </w:rPr>
            </w:pPr>
            <w:r>
              <w:rPr>
                <w:rFonts w:cs="Arial"/>
                <w:color w:val="000080"/>
                <w:sz w:val="20"/>
              </w:rPr>
              <w:t>Sale of any electricity under firm contract to grid in 1995-1996</w:t>
            </w:r>
          </w:p>
        </w:tc>
        <w:tc>
          <w:tcPr>
            <w:tcW w:w="2409"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rPr>
                <w:rFonts w:eastAsia="Arial Unicode MS" w:cs="Arial"/>
                <w:color w:val="000080"/>
                <w:sz w:val="20"/>
              </w:rPr>
            </w:pPr>
            <w:r>
              <w:rPr>
                <w:rFonts w:cs="Arial"/>
                <w:color w:val="000080"/>
                <w:sz w:val="20"/>
              </w:rPr>
              <w:t>Sale of any electricity under firm contract to grid in 1997-1998</w:t>
            </w:r>
          </w:p>
        </w:tc>
        <w:tc>
          <w:tcPr>
            <w:tcW w:w="2899"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rPr>
                <w:rFonts w:eastAsia="Arial Unicode MS" w:cs="Arial"/>
                <w:color w:val="000080"/>
                <w:sz w:val="20"/>
              </w:rPr>
            </w:pPr>
            <w:r>
              <w:rPr>
                <w:rFonts w:cs="Arial"/>
                <w:color w:val="000080"/>
                <w:sz w:val="20"/>
              </w:rPr>
              <w:t>Unit serving a generator and selling electricity</w:t>
            </w:r>
          </w:p>
        </w:tc>
      </w:tr>
      <w:tr>
        <w:trPr/>
        <w:tc>
          <w:tcPr>
            <w:tcW w:w="1853"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rPr>
                <w:rFonts w:eastAsia="Arial Unicode MS" w:cs="Arial"/>
                <w:color w:val="000080"/>
                <w:sz w:val="20"/>
              </w:rPr>
            </w:pPr>
            <w:r>
              <w:rPr>
                <w:rFonts w:cs="Arial"/>
                <w:color w:val="000080"/>
                <w:sz w:val="20"/>
              </w:rPr>
              <w:t>Non-EGU</w:t>
            </w:r>
          </w:p>
        </w:tc>
        <w:tc>
          <w:tcPr>
            <w:tcW w:w="2409"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rPr>
                <w:rFonts w:eastAsia="Arial Unicode MS" w:cs="Arial"/>
                <w:color w:val="000080"/>
                <w:sz w:val="20"/>
              </w:rPr>
            </w:pPr>
            <w:r>
              <w:rPr>
                <w:rFonts w:cs="Arial"/>
                <w:color w:val="000080"/>
                <w:sz w:val="20"/>
              </w:rPr>
              <w:t>Did not sell electricity to grid under firm contract</w:t>
            </w:r>
          </w:p>
        </w:tc>
        <w:tc>
          <w:tcPr>
            <w:tcW w:w="2409"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rPr>
                <w:rFonts w:eastAsia="Arial Unicode MS" w:cs="Arial"/>
                <w:color w:val="000080"/>
                <w:sz w:val="20"/>
              </w:rPr>
            </w:pPr>
            <w:r>
              <w:rPr>
                <w:rFonts w:cs="Arial"/>
                <w:color w:val="000080"/>
                <w:sz w:val="20"/>
              </w:rPr>
              <w:t>Did not sell electricity to grid under firm contract</w:t>
            </w:r>
          </w:p>
        </w:tc>
        <w:tc>
          <w:tcPr>
            <w:tcW w:w="2899"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rPr>
                <w:rFonts w:eastAsia="Arial Unicode MS" w:cs="Arial"/>
                <w:color w:val="000080"/>
                <w:sz w:val="20"/>
              </w:rPr>
            </w:pPr>
            <w:r>
              <w:rPr>
                <w:rFonts w:cs="Arial"/>
                <w:color w:val="000080"/>
                <w:sz w:val="20"/>
              </w:rPr>
              <w:t>&gt;25 MW does not sell electricity, AND cannot use more than 50% of "usable energy" from the boiler or turbine</w:t>
            </w:r>
          </w:p>
        </w:tc>
      </w:tr>
    </w:tbl>
    <w:p>
      <w:pPr>
        <w:pStyle w:val="NormalWeb"/>
        <w:spacing w:before="0" w:after="0"/>
        <w:rPr>
          <w:rFonts w:ascii="Arial" w:hAnsi="Arial" w:cs="Arial"/>
          <w:color w:val="000080"/>
          <w:sz w:val="20"/>
        </w:rPr>
      </w:pPr>
      <w:r>
        <w:rPr>
          <w:rFonts w:cs="Arial" w:ascii="Arial" w:hAnsi="Arial"/>
          <w:color w:val="000080"/>
          <w:sz w:val="20"/>
        </w:rPr>
      </w:r>
    </w:p>
    <w:p>
      <w:pPr>
        <w:pStyle w:val="NormalWeb"/>
        <w:numPr>
          <w:ilvl w:val="0"/>
          <w:numId w:val="2"/>
        </w:numPr>
        <w:spacing w:before="0" w:after="0"/>
        <w:rPr>
          <w:rFonts w:ascii="Arial" w:hAnsi="Arial" w:cs="Arial"/>
          <w:color w:val="000080"/>
          <w:sz w:val="20"/>
        </w:rPr>
      </w:pPr>
      <w:r>
        <w:rPr>
          <w:rFonts w:cs="Arial" w:ascii="Arial" w:hAnsi="Arial"/>
          <w:color w:val="000080"/>
          <w:sz w:val="20"/>
        </w:rPr>
        <w:t>EPA proposed to not apply the one-third potential electrical output/25 MW sales criteria of the "cogeneration exclusion" to cogenerating units. Instead, the EPA would apply the basic approach used in the NO</w:t>
      </w:r>
      <w:r>
        <w:rPr>
          <w:rFonts w:cs="Arial" w:ascii="Arial" w:hAnsi="Arial"/>
          <w:color w:val="000080"/>
          <w:sz w:val="20"/>
          <w:vertAlign w:val="subscript"/>
        </w:rPr>
        <w:t>x</w:t>
      </w:r>
      <w:r>
        <w:rPr>
          <w:rFonts w:cs="Arial" w:ascii="Arial" w:hAnsi="Arial"/>
          <w:color w:val="000080"/>
          <w:sz w:val="20"/>
        </w:rPr>
        <w:t xml:space="preserve"> SIP call to separate EGU's and non-EGU's without any differentiation for cogenerators. This approach also applies the divisions based on sale of electricity and operation dates shown above.</w:t>
      </w:r>
    </w:p>
    <w:p>
      <w:pPr>
        <w:pStyle w:val="NormalWeb"/>
        <w:spacing w:before="0" w:after="0"/>
        <w:rPr>
          <w:rFonts w:ascii="Arial" w:hAnsi="Arial" w:cs="Arial"/>
          <w:color w:val="000080"/>
          <w:sz w:val="20"/>
        </w:rPr>
      </w:pPr>
      <w:r>
        <w:rPr>
          <w:rFonts w:cs="Arial" w:ascii="Arial" w:hAnsi="Arial"/>
          <w:color w:val="000080"/>
          <w:sz w:val="20"/>
        </w:rPr>
      </w:r>
    </w:p>
    <w:p>
      <w:pPr>
        <w:pStyle w:val="NormalWeb"/>
        <w:numPr>
          <w:ilvl w:val="0"/>
          <w:numId w:val="2"/>
        </w:numPr>
        <w:spacing w:before="0" w:after="0"/>
        <w:rPr>
          <w:rFonts w:ascii="Arial" w:hAnsi="Arial" w:cs="Arial"/>
          <w:color w:val="000080"/>
          <w:sz w:val="20"/>
        </w:rPr>
      </w:pPr>
      <w:r>
        <w:rPr>
          <w:rFonts w:cs="Arial" w:ascii="Arial" w:hAnsi="Arial"/>
          <w:color w:val="000080"/>
          <w:sz w:val="20"/>
        </w:rPr>
        <w:t>EPA proposed to modify several definitions, including "electricity for sale under firm contract to the electric grid," "nameplate capacity," and "maximum design heat input." The new proposal also recommends the adoption of the term "potential electrical output capacity," and its definition. The new definitions match those of the January 18, 2000 section 126 rule, which read:</w:t>
      </w:r>
    </w:p>
    <w:p>
      <w:pPr>
        <w:pStyle w:val="NormalWeb"/>
        <w:spacing w:before="0" w:after="0"/>
        <w:rPr>
          <w:rFonts w:ascii="Arial" w:hAnsi="Arial" w:cs="Arial"/>
          <w:color w:val="000080"/>
          <w:sz w:val="20"/>
        </w:rPr>
      </w:pPr>
      <w:r>
        <w:rPr>
          <w:rFonts w:cs="Arial" w:ascii="Arial" w:hAnsi="Arial"/>
          <w:color w:val="000080"/>
          <w:sz w:val="20"/>
        </w:rPr>
      </w:r>
    </w:p>
    <w:p>
      <w:pPr>
        <w:pStyle w:val="NormalWeb"/>
        <w:spacing w:before="0" w:after="0"/>
        <w:ind w:start="1440" w:end="0"/>
        <w:rPr/>
      </w:pPr>
      <w:r>
        <w:rPr>
          <w:rFonts w:cs="Arial" w:ascii="Arial" w:hAnsi="Arial"/>
          <w:color w:val="000080"/>
          <w:sz w:val="20"/>
          <w:u w:val="single"/>
        </w:rPr>
        <w:t xml:space="preserve">Maximum design heat input </w:t>
      </w:r>
      <w:r>
        <w:rPr>
          <w:rFonts w:cs="Arial" w:ascii="Arial" w:hAnsi="Arial"/>
          <w:color w:val="000080"/>
          <w:sz w:val="20"/>
        </w:rPr>
        <w:t>- The ability of a unit to combust a stated maximum amount of fuel per hour (in MMBtu/hr) on a steady state basis, as determined by the physical design and physical characteristics of the unit.</w:t>
      </w:r>
    </w:p>
    <w:p>
      <w:pPr>
        <w:pStyle w:val="NormalWeb"/>
        <w:spacing w:before="0" w:after="0"/>
        <w:ind w:start="1440" w:end="0"/>
        <w:rPr/>
      </w:pPr>
      <w:r>
        <w:rPr>
          <w:rFonts w:cs="Arial" w:ascii="Arial" w:hAnsi="Arial"/>
          <w:color w:val="000080"/>
          <w:sz w:val="20"/>
          <w:u w:val="single"/>
        </w:rPr>
        <w:t xml:space="preserve">Nameplate capacity </w:t>
      </w:r>
      <w:r>
        <w:rPr>
          <w:rFonts w:cs="Arial" w:ascii="Arial" w:hAnsi="Arial"/>
          <w:color w:val="000080"/>
          <w:sz w:val="20"/>
        </w:rPr>
        <w:t>- The maximum electrical generating output (in MW) that a generator can sustain over a specified period of time when not restricted by seasonal or other deratings as measured in accordance with the United States Department of Energy standards.</w:t>
      </w:r>
    </w:p>
    <w:p>
      <w:pPr>
        <w:pStyle w:val="NormalWeb"/>
        <w:spacing w:before="0" w:after="0"/>
        <w:ind w:start="1440" w:end="0"/>
        <w:rPr/>
      </w:pPr>
      <w:r>
        <w:rPr>
          <w:rFonts w:cs="Arial" w:ascii="Arial" w:hAnsi="Arial"/>
          <w:color w:val="000080"/>
          <w:sz w:val="20"/>
          <w:u w:val="single"/>
        </w:rPr>
        <w:t xml:space="preserve">Electricity for sale under firm contract to the electric grid </w:t>
      </w:r>
      <w:r>
        <w:rPr>
          <w:rFonts w:cs="Arial" w:ascii="Arial" w:hAnsi="Arial"/>
          <w:color w:val="000080"/>
          <w:sz w:val="20"/>
        </w:rPr>
        <w:t>- The capacity involved is intended to be available at all times during the period covered by the guaranteed commitment to deliver, even under adverse conditions.</w:t>
      </w:r>
    </w:p>
    <w:p>
      <w:pPr>
        <w:pStyle w:val="NormalWeb"/>
        <w:spacing w:before="0" w:after="0"/>
        <w:ind w:start="1440" w:end="0"/>
        <w:rPr/>
      </w:pPr>
      <w:r>
        <w:rPr>
          <w:rFonts w:cs="Arial" w:ascii="Arial" w:hAnsi="Arial"/>
          <w:color w:val="000080"/>
          <w:sz w:val="20"/>
          <w:u w:val="single"/>
        </w:rPr>
        <w:t xml:space="preserve">Potential electrical output capacity </w:t>
      </w:r>
      <w:r>
        <w:rPr>
          <w:rFonts w:cs="Arial" w:ascii="Arial" w:hAnsi="Arial"/>
          <w:color w:val="000080"/>
          <w:sz w:val="20"/>
        </w:rPr>
        <w:t>- 33 percent of a unit's maximum design heat input (this phrase replaces "usable energy").</w:t>
      </w:r>
    </w:p>
    <w:p>
      <w:pPr>
        <w:pStyle w:val="Body"/>
        <w:rPr>
          <w:rFonts w:ascii="Arial" w:hAnsi="Arial" w:cs="Arial"/>
          <w:color w:val="000080"/>
          <w:sz w:val="20"/>
        </w:rPr>
      </w:pPr>
      <w:r>
        <w:rPr>
          <w:rFonts w:cs="Arial"/>
          <w:color w:val="000080"/>
          <w:sz w:val="20"/>
        </w:rPr>
      </w:r>
    </w:p>
    <w:p>
      <w:pPr>
        <w:pStyle w:val="Body"/>
        <w:rPr>
          <w:rFonts w:cs="Arial"/>
        </w:rPr>
      </w:pPr>
      <w:r>
        <w:rPr>
          <w:rFonts w:cs="Arial"/>
        </w:rPr>
        <w:t>However, as stated all of this new proposed language has been pulled back and is undergoing further analysis.  We are monitoring closely any developments from the USEPA, and will keep you posted as they issue additional guidance.</w:t>
      </w:r>
    </w:p>
    <w:p>
      <w:pPr>
        <w:pStyle w:val="Body"/>
        <w:rPr>
          <w:rFonts w:cs="Arial"/>
        </w:rPr>
      </w:pPr>
      <w:r>
        <w:rPr>
          <w:rFonts w:cs="Arial"/>
        </w:rPr>
      </w:r>
    </w:p>
    <w:p>
      <w:pPr>
        <w:pStyle w:val="Body"/>
        <w:rPr>
          <w:rFonts w:cs="Arial"/>
          <w:u w:val="single"/>
        </w:rPr>
      </w:pPr>
      <w:r>
        <w:rPr>
          <w:rFonts w:cs="Arial"/>
          <w:u w:val="single"/>
        </w:rPr>
        <w:t>Compliance Supplement Pools and Allowance Banking Issues</w:t>
      </w:r>
    </w:p>
    <w:p>
      <w:pPr>
        <w:pStyle w:val="Body"/>
        <w:rPr>
          <w:rFonts w:cs="Arial"/>
          <w:i/>
          <w:i/>
          <w:iCs/>
          <w:sz w:val="16"/>
        </w:rPr>
      </w:pPr>
      <w:r>
        <w:rPr>
          <w:rFonts w:cs="Arial"/>
          <w:i/>
          <w:iCs/>
          <w:sz w:val="16"/>
        </w:rPr>
        <w:t>(Note:  this section contains an analysis of the most likely treatment of allowances and CSP issues given the delay in the SIP Call by Joel Bluestein of EEA.)</w:t>
      </w:r>
    </w:p>
    <w:p>
      <w:pPr>
        <w:pStyle w:val="Body"/>
        <w:rPr>
          <w:rFonts w:cs="Arial"/>
          <w:i/>
          <w:i/>
          <w:iCs/>
          <w:sz w:val="16"/>
        </w:rPr>
      </w:pPr>
      <w:r>
        <w:rPr>
          <w:rFonts w:cs="Arial"/>
          <w:i/>
          <w:iCs/>
          <w:sz w:val="16"/>
        </w:rPr>
      </w:r>
    </w:p>
    <w:p>
      <w:pPr>
        <w:pStyle w:val="Normal"/>
        <w:tabs>
          <w:tab w:val="clear" w:pos="540"/>
        </w:tabs>
        <w:overflowPunct w:val="true"/>
        <w:spacing w:lineRule="atLeast" w:line="240"/>
        <w:textAlignment w:val="auto"/>
        <w:rPr>
          <w:rFonts w:cs="Arial"/>
          <w:color w:val="000080"/>
          <w:sz w:val="20"/>
        </w:rPr>
      </w:pPr>
      <w:r>
        <w:rPr>
          <w:rFonts w:cs="Arial"/>
          <w:color w:val="000080"/>
          <w:sz w:val="20"/>
        </w:rPr>
        <w:t>The OTR finished 2000 with about 60,000 tons of allowances in the bank.  Based on usage this summer, the bank will probably grow to 75,000 - 80,000 tons at the end of this ozone season next month.</w:t>
      </w:r>
    </w:p>
    <w:p>
      <w:pPr>
        <w:pStyle w:val="Normal"/>
        <w:tabs>
          <w:tab w:val="clear" w:pos="540"/>
        </w:tabs>
        <w:overflowPunct w:val="true"/>
        <w:spacing w:lineRule="atLeast" w:line="240"/>
        <w:textAlignment w:val="auto"/>
        <w:rPr>
          <w:rFonts w:cs="Arial"/>
          <w:color w:val="000080"/>
          <w:sz w:val="20"/>
        </w:rPr>
      </w:pPr>
      <w:r>
        <w:rPr>
          <w:rFonts w:cs="Arial"/>
          <w:color w:val="000080"/>
          <w:sz w:val="20"/>
        </w:rPr>
      </w:r>
    </w:p>
    <w:p>
      <w:pPr>
        <w:pStyle w:val="Normal"/>
        <w:tabs>
          <w:tab w:val="clear" w:pos="540"/>
        </w:tabs>
        <w:overflowPunct w:val="true"/>
        <w:spacing w:lineRule="atLeast" w:line="240"/>
        <w:textAlignment w:val="auto"/>
        <w:rPr>
          <w:rFonts w:cs="Arial"/>
          <w:color w:val="000080"/>
          <w:sz w:val="20"/>
        </w:rPr>
      </w:pPr>
      <w:r>
        <w:rPr>
          <w:rFonts w:cs="Arial"/>
          <w:color w:val="000080"/>
          <w:sz w:val="20"/>
        </w:rPr>
        <w:t>The next phase of control (or lowering in the total amount of allowances in the cap) for the OTR Trading Program goes into effect in 2003.  Despite the delays in the broader NOx SIP Call process, the OTR states have filed their SIPs targeted to start in 2003 that include the standard provisions of the SIP call structure.  One of those provisions is that allowances banked from Phase II (the current OTR Program) can only move into Phase III (2003) via the compliance supplement pools (CSP).  The total compliance supplement pool for the OTR is only about 25,000 tons.</w:t>
      </w:r>
    </w:p>
    <w:p>
      <w:pPr>
        <w:pStyle w:val="Normal"/>
        <w:tabs>
          <w:tab w:val="clear" w:pos="540"/>
        </w:tabs>
        <w:overflowPunct w:val="true"/>
        <w:spacing w:lineRule="atLeast" w:line="240"/>
        <w:textAlignment w:val="auto"/>
        <w:rPr>
          <w:rFonts w:cs="Arial"/>
          <w:color w:val="000080"/>
          <w:sz w:val="20"/>
        </w:rPr>
      </w:pPr>
      <w:r>
        <w:rPr>
          <w:rFonts w:cs="Arial"/>
          <w:color w:val="000080"/>
          <w:sz w:val="20"/>
        </w:rPr>
      </w:r>
    </w:p>
    <w:p>
      <w:pPr>
        <w:pStyle w:val="Normal"/>
        <w:tabs>
          <w:tab w:val="clear" w:pos="540"/>
        </w:tabs>
        <w:overflowPunct w:val="true"/>
        <w:spacing w:lineRule="atLeast" w:line="240"/>
        <w:textAlignment w:val="auto"/>
        <w:rPr>
          <w:rFonts w:cs="Arial"/>
          <w:color w:val="000080"/>
          <w:sz w:val="20"/>
        </w:rPr>
      </w:pPr>
      <w:r>
        <w:rPr>
          <w:rFonts w:cs="Arial"/>
          <w:color w:val="000080"/>
          <w:sz w:val="20"/>
        </w:rPr>
        <w:t>At the current pace of banking, we could have 80,000 to 100,000 tons of allowances in the bank by the end of 2002.  These would be discounted or prorated by the states to the CSP level to move into 2003.  Nominally then, allowances left at the end of 2002 would be discounted by as much as 4 to 1 moving into 2003.</w:t>
      </w:r>
    </w:p>
    <w:p>
      <w:pPr>
        <w:pStyle w:val="Normal"/>
        <w:tabs>
          <w:tab w:val="clear" w:pos="540"/>
        </w:tabs>
        <w:overflowPunct w:val="true"/>
        <w:spacing w:lineRule="atLeast" w:line="240"/>
        <w:textAlignment w:val="auto"/>
        <w:rPr>
          <w:rFonts w:cs="Arial"/>
          <w:color w:val="000080"/>
          <w:sz w:val="20"/>
        </w:rPr>
      </w:pPr>
      <w:r>
        <w:rPr>
          <w:rFonts w:cs="Arial"/>
          <w:color w:val="000080"/>
          <w:sz w:val="20"/>
        </w:rPr>
      </w:r>
    </w:p>
    <w:p>
      <w:pPr>
        <w:pStyle w:val="Normal"/>
        <w:tabs>
          <w:tab w:val="clear" w:pos="540"/>
        </w:tabs>
        <w:overflowPunct w:val="true"/>
        <w:spacing w:lineRule="atLeast" w:line="240"/>
        <w:textAlignment w:val="auto"/>
        <w:rPr>
          <w:rFonts w:cs="Arial"/>
          <w:color w:val="000080"/>
          <w:sz w:val="20"/>
        </w:rPr>
      </w:pPr>
      <w:r>
        <w:rPr>
          <w:rFonts w:cs="Arial"/>
          <w:color w:val="000080"/>
          <w:sz w:val="20"/>
        </w:rPr>
        <w:t>There is another twist, however.  The 1999 vintage allowances are not allowed to move into 2003 at all.  They will expire at the end of 2002.  There are probably about 35,000 1999 vintage allowances in the system.  That leaves about 50,000 to 70,000 allowances left to move into 2003 - still a 2 or 3 to 1 discount factor.  Those allowances in the CSP probably will not be subject to flow control in 2003, though flow control is likely to come in to play in 2004.</w:t>
      </w:r>
    </w:p>
    <w:p>
      <w:pPr>
        <w:pStyle w:val="Normal"/>
        <w:tabs>
          <w:tab w:val="clear" w:pos="540"/>
        </w:tabs>
        <w:overflowPunct w:val="true"/>
        <w:spacing w:lineRule="atLeast" w:line="240"/>
        <w:textAlignment w:val="auto"/>
        <w:rPr>
          <w:rFonts w:cs="Arial"/>
          <w:color w:val="000080"/>
          <w:sz w:val="20"/>
        </w:rPr>
      </w:pPr>
      <w:r>
        <w:rPr>
          <w:rFonts w:cs="Arial"/>
          <w:color w:val="000080"/>
          <w:sz w:val="20"/>
        </w:rPr>
      </w:r>
    </w:p>
    <w:p>
      <w:pPr>
        <w:pStyle w:val="Normal"/>
        <w:tabs>
          <w:tab w:val="clear" w:pos="540"/>
        </w:tabs>
        <w:overflowPunct w:val="true"/>
        <w:spacing w:lineRule="atLeast" w:line="240"/>
        <w:textAlignment w:val="auto"/>
        <w:rPr>
          <w:rFonts w:cs="Arial"/>
          <w:color w:val="000080"/>
          <w:sz w:val="20"/>
        </w:rPr>
      </w:pPr>
      <w:r>
        <w:rPr>
          <w:rFonts w:cs="Arial"/>
          <w:color w:val="000080"/>
          <w:sz w:val="20"/>
        </w:rPr>
        <w:t>Finally, in order to be in the compliance supplement pool, allowances must be in compliance accounts.  So traders like</w:t>
      </w:r>
    </w:p>
    <w:p>
      <w:pPr>
        <w:pStyle w:val="Normal"/>
        <w:tabs>
          <w:tab w:val="clear" w:pos="540"/>
        </w:tabs>
        <w:overflowPunct w:val="true"/>
        <w:spacing w:lineRule="atLeast" w:line="240"/>
        <w:textAlignment w:val="auto"/>
        <w:rPr>
          <w:rFonts w:cs="Arial"/>
          <w:color w:val="000080"/>
          <w:sz w:val="20"/>
        </w:rPr>
      </w:pPr>
      <w:r>
        <w:rPr>
          <w:rFonts w:cs="Arial"/>
          <w:color w:val="000080"/>
          <w:sz w:val="20"/>
        </w:rPr>
        <w:t>Enron will either need to sell all of their inventory at the end of 2002 or find a place to park it in a compliance account in order allow the allowances to pass through to 2003.  Since the prorating is done on a state-by-state basis, where the allowances are parked will be important as well.</w:t>
      </w:r>
    </w:p>
    <w:p>
      <w:pPr>
        <w:pStyle w:val="Normal"/>
        <w:tabs>
          <w:tab w:val="clear" w:pos="540"/>
        </w:tabs>
        <w:overflowPunct w:val="true"/>
        <w:spacing w:lineRule="atLeast" w:line="240"/>
        <w:textAlignment w:val="auto"/>
        <w:rPr>
          <w:rFonts w:cs="Arial"/>
          <w:color w:val="000080"/>
          <w:sz w:val="20"/>
        </w:rPr>
      </w:pPr>
      <w:r>
        <w:rPr>
          <w:rFonts w:cs="Arial"/>
          <w:color w:val="000080"/>
          <w:sz w:val="20"/>
        </w:rPr>
      </w:r>
    </w:p>
    <w:p>
      <w:pPr>
        <w:pStyle w:val="BodyText3"/>
        <w:rPr/>
      </w:pPr>
      <w:r>
        <w:rPr/>
        <w:t>The value of these banked allowances obviously depends on the value of allowances in 2003.  The OTR is relatively clean and will not require major new investment to meet its 2003 emission cap.  Thus, the 2003 price for the OTR NOx allowances may not be as high as the $4000/ton that people are currently paying.  If it's only $2000 to $3000/ton then the discounted value of today's allowances is probably less than $1000 - maybe a lot less.</w:t>
      </w:r>
    </w:p>
    <w:p>
      <w:pPr>
        <w:pStyle w:val="Normal"/>
        <w:tabs>
          <w:tab w:val="clear" w:pos="540"/>
        </w:tabs>
        <w:overflowPunct w:val="true"/>
        <w:spacing w:lineRule="atLeast" w:line="240"/>
        <w:textAlignment w:val="auto"/>
        <w:rPr>
          <w:rFonts w:cs="Arial"/>
          <w:color w:val="000080"/>
          <w:sz w:val="20"/>
        </w:rPr>
      </w:pPr>
      <w:r>
        <w:rPr>
          <w:rFonts w:cs="Arial"/>
          <w:color w:val="000080"/>
          <w:sz w:val="20"/>
        </w:rPr>
      </w:r>
    </w:p>
    <w:p>
      <w:pPr>
        <w:pStyle w:val="Normal"/>
        <w:tabs>
          <w:tab w:val="clear" w:pos="540"/>
        </w:tabs>
        <w:overflowPunct w:val="true"/>
        <w:spacing w:lineRule="atLeast" w:line="240"/>
        <w:textAlignment w:val="auto"/>
        <w:rPr>
          <w:rFonts w:cs="Arial"/>
          <w:color w:val="000080"/>
          <w:sz w:val="20"/>
        </w:rPr>
      </w:pPr>
      <w:r>
        <w:rPr>
          <w:rFonts w:cs="Arial"/>
          <w:color w:val="000080"/>
          <w:sz w:val="20"/>
        </w:rPr>
        <w:t>Bringing all of this together:  At the end of 2002 there will be a large bank of allowances.  Some of them will expire with zero value at the end of 2002 if not used.  The remainder must be parked in the right place to avoid expiration.  Even then they will be heavily discounted going forward.  The allowance price in 2003 is likely to be relatively low.</w:t>
      </w:r>
    </w:p>
    <w:p>
      <w:pPr>
        <w:pStyle w:val="Normal"/>
        <w:tabs>
          <w:tab w:val="clear" w:pos="540"/>
        </w:tabs>
        <w:overflowPunct w:val="true"/>
        <w:spacing w:lineRule="atLeast" w:line="240"/>
        <w:textAlignment w:val="auto"/>
        <w:rPr>
          <w:rFonts w:cs="Arial"/>
          <w:color w:val="000080"/>
          <w:sz w:val="20"/>
        </w:rPr>
      </w:pPr>
      <w:r>
        <w:rPr>
          <w:rFonts w:cs="Arial"/>
          <w:color w:val="000080"/>
          <w:sz w:val="20"/>
        </w:rPr>
      </w:r>
    </w:p>
    <w:p>
      <w:pPr>
        <w:pStyle w:val="Subject"/>
        <w:overflowPunct w:val="true"/>
        <w:spacing w:lineRule="atLeast" w:line="240"/>
        <w:textAlignment w:val="auto"/>
        <w:rPr>
          <w:rFonts w:cs="Arial"/>
          <w:color w:val="000080"/>
          <w:sz w:val="20"/>
        </w:rPr>
      </w:pPr>
      <w:r>
        <w:rPr>
          <w:rFonts w:cs="Arial"/>
          <w:color w:val="000080"/>
          <w:sz w:val="20"/>
        </w:rPr>
      </w:r>
    </w:p>
    <w:p>
      <w:pPr>
        <w:pStyle w:val="Body"/>
        <w:rPr>
          <w:rFonts w:cs="Arial"/>
        </w:rPr>
      </w:pPr>
      <w:r>
        <w:rPr>
          <w:rFonts w:cs="Arial"/>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decimal"/>
      <w:lvlText w:val="%1."/>
      <w:lvlJc w:val="start"/>
      <w:pPr>
        <w:tabs>
          <w:tab w:val="num" w:pos="432"/>
        </w:tabs>
        <w:ind w:start="432"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verflowPunct w:val="true"/>
      <w:autoSpaceDE w:val="true"/>
      <w:ind w:hanging="0" w:start="0" w:end="720"/>
      <w:textAlignment w:val="auto"/>
      <w:outlineLvl w:val="0"/>
    </w:pPr>
    <w:rPr>
      <w:rFonts w:cs="Arial"/>
      <w:b/>
      <w:bCs/>
      <w:szCs w:val="24"/>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 w:val="left" w:pos="4796" w:leader="none"/>
      </w:tabs>
      <w:overflowPunct w:val="true"/>
      <w:autoSpaceDE w:val="true"/>
      <w:ind w:hanging="0" w:start="0" w:end="1942"/>
      <w:textAlignment w:val="auto"/>
    </w:pPr>
    <w:rPr>
      <w:rFonts w:cs="Arial"/>
      <w:sz w:val="18"/>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NormalWeb">
    <w:name w:val="Normal (Web)"/>
    <w:basedOn w:val="Normal"/>
    <w:qFormat/>
    <w:pPr>
      <w:tabs>
        <w:tab w:val="clear" w:pos="540"/>
      </w:tabs>
      <w:overflowPunct w:val="true"/>
      <w:autoSpaceDE w:val="true"/>
      <w:spacing w:before="100" w:after="100"/>
      <w:textAlignment w:val="auto"/>
    </w:pPr>
    <w:rPr>
      <w:rFonts w:ascii="Arial Unicode MS" w:hAnsi="Arial Unicode MS" w:eastAsia="Arial Unicode MS" w:cs="Arial Unicode MS"/>
      <w:szCs w:val="24"/>
    </w:rPr>
  </w:style>
  <w:style w:type="paragraph" w:styleId="BodyText2">
    <w:name w:val="Body Text 2"/>
    <w:basedOn w:val="Normal"/>
    <w:qFormat/>
    <w:pPr>
      <w:tabs>
        <w:tab w:val="left" w:pos="540" w:leader="none"/>
        <w:tab w:val="left" w:pos="2937" w:leader="none"/>
      </w:tabs>
    </w:pPr>
    <w:rPr>
      <w:rFonts w:cs="Arial"/>
      <w:sz w:val="18"/>
    </w:rPr>
  </w:style>
  <w:style w:type="paragraph" w:styleId="BodyText3">
    <w:name w:val="Body Text 3"/>
    <w:basedOn w:val="Normal"/>
    <w:qFormat/>
    <w:pPr>
      <w:tabs>
        <w:tab w:val="clear" w:pos="540"/>
      </w:tabs>
      <w:overflowPunct w:val="true"/>
      <w:spacing w:lineRule="atLeast" w:line="240"/>
      <w:textAlignment w:val="auto"/>
    </w:pPr>
    <w:rPr>
      <w:rFonts w:cs="Arial"/>
      <w:color w:val="000080"/>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158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2001-08-30T15:10:00Z</dcterms:created>
  <dc:creator>Mary Schoen</dc:creator>
  <dc:description/>
  <dc:language>en-CA</dc:language>
  <cp:lastModifiedBy>Mary Schoen</cp:lastModifiedBy>
  <dcterms:modified xsi:type="dcterms:W3CDTF">2001-08-31T15:45:00Z</dcterms:modified>
  <cp:revision>15</cp:revision>
  <dc:subject/>
  <dc:title>Better, Faster, Simpler Memo </dc:title>
</cp:coreProperties>
</file>