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Normal"/>
        <w:rPr/>
      </w:pPr>
      <w:r>
        <w:rPr/>
      </w:r>
    </w:p>
    <w:p>
      <w:pPr>
        <w:pStyle w:val="Heading1"/>
        <w:ind w:hanging="0" w:start="0"/>
        <w:jc w:val="end"/>
        <w:rPr/>
      </w:pPr>
      <w:r>
        <w:rPr/>
      </w:r>
    </w:p>
    <w:p>
      <w:pPr>
        <w:pStyle w:val="Normal"/>
        <w:rPr>
          <w:sz w:val="24"/>
        </w:rPr>
      </w:pPr>
      <w:r>
        <w:rPr>
          <w:sz w:val="24"/>
        </w:rPr>
        <w:tab/>
        <w:tab/>
        <w:tab/>
        <w:t>(EnronOnline Letterhead)</w:t>
      </w:r>
    </w:p>
    <w:p>
      <w:pPr>
        <w:pStyle w:val="Heading1"/>
        <w:ind w:firstLine="720" w:start="3600" w:end="0"/>
        <w:jc w:val="center"/>
        <w:rPr/>
      </w:pPr>
      <w:r>
        <w:rPr/>
        <w:t>August 4, 2000</w:t>
      </w:r>
    </w:p>
    <w:p>
      <w:pPr>
        <w:pStyle w:val="Heading1"/>
        <w:ind w:hanging="0" w:start="0"/>
        <w:rPr>
          <w:b/>
        </w:rPr>
      </w:pPr>
      <w:r>
        <w:rPr>
          <w:b/>
        </w:rPr>
      </w:r>
    </w:p>
    <w:p>
      <w:pPr>
        <w:pStyle w:val="Heading1"/>
        <w:ind w:hanging="0" w:start="0"/>
        <w:rPr>
          <w:b/>
        </w:rPr>
      </w:pPr>
      <w:r>
        <w:rPr>
          <w:b/>
        </w:rPr>
        <w:t>DELIVERED BY FAX TO (403) 237-2753</w:t>
      </w:r>
    </w:p>
    <w:p>
      <w:pPr>
        <w:pStyle w:val="Heading1"/>
        <w:ind w:hanging="0" w:start="0"/>
        <w:rPr/>
      </w:pPr>
      <w:r>
        <w:rPr/>
      </w:r>
    </w:p>
    <w:p>
      <w:pPr>
        <w:pStyle w:val="Normal"/>
        <w:rPr>
          <w:sz w:val="24"/>
        </w:rPr>
      </w:pPr>
      <w:r>
        <w:rPr>
          <w:sz w:val="24"/>
        </w:rPr>
        <w:t>Imperial Oil Resources</w:t>
      </w:r>
    </w:p>
    <w:p>
      <w:pPr>
        <w:pStyle w:val="Normal"/>
        <w:rPr>
          <w:sz w:val="24"/>
        </w:rPr>
      </w:pPr>
      <w:r>
        <w:rPr>
          <w:sz w:val="24"/>
        </w:rPr>
        <w:t>237 Fourth Avenue S.W.</w:t>
      </w:r>
    </w:p>
    <w:p>
      <w:pPr>
        <w:pStyle w:val="Normal"/>
        <w:rPr>
          <w:sz w:val="24"/>
        </w:rPr>
      </w:pPr>
      <w:r>
        <w:rPr>
          <w:sz w:val="24"/>
        </w:rPr>
        <w:t>P.O. Box 2480, Station "M"</w:t>
      </w:r>
    </w:p>
    <w:p>
      <w:pPr>
        <w:pStyle w:val="Normal"/>
        <w:rPr>
          <w:sz w:val="24"/>
        </w:rPr>
      </w:pPr>
      <w:r>
        <w:rPr>
          <w:sz w:val="24"/>
        </w:rPr>
        <w:t>Calgary, Alberta</w:t>
      </w:r>
    </w:p>
    <w:p>
      <w:pPr>
        <w:pStyle w:val="Normal"/>
        <w:rPr>
          <w:sz w:val="24"/>
        </w:rPr>
      </w:pPr>
      <w:r>
        <w:rPr>
          <w:sz w:val="24"/>
        </w:rPr>
        <w:t>T2P 3M9</w:t>
      </w:r>
    </w:p>
    <w:p>
      <w:pPr>
        <w:pStyle w:val="Normal"/>
        <w:rPr>
          <w:sz w:val="24"/>
        </w:rPr>
      </w:pPr>
      <w:r>
        <w:rPr>
          <w:sz w:val="24"/>
        </w:rPr>
      </w:r>
    </w:p>
    <w:p>
      <w:pPr>
        <w:pStyle w:val="Normal"/>
        <w:rPr>
          <w:sz w:val="24"/>
        </w:rPr>
      </w:pPr>
      <w:r>
        <w:rPr>
          <w:sz w:val="24"/>
        </w:rPr>
        <w:t>Attention: Wayne Shalagan</w:t>
      </w:r>
    </w:p>
    <w:p>
      <w:pPr>
        <w:pStyle w:val="Normal"/>
        <w:rPr>
          <w:sz w:val="24"/>
        </w:rPr>
      </w:pPr>
      <w:r>
        <w:rPr>
          <w:sz w:val="24"/>
        </w:rPr>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Wayne:</w:t>
      </w:r>
    </w:p>
    <w:p>
      <w:pPr>
        <w:pStyle w:val="Normal"/>
        <w:rPr>
          <w:sz w:val="24"/>
        </w:rPr>
      </w:pPr>
      <w:r>
        <w:rPr>
          <w:sz w:val="24"/>
        </w:rPr>
      </w:r>
    </w:p>
    <w:p>
      <w:pPr>
        <w:pStyle w:val="BodyText2"/>
        <w:rPr/>
      </w:pPr>
      <w:r>
        <w:rPr/>
        <w:t>This letter will serve as our agreement to the following changes to the Electronic Trading Agreement (the “ETA”) that must be accepted by Imperial Oil Resources on the EnronOnline web site before using the site for trading:</w:t>
      </w:r>
    </w:p>
    <w:p>
      <w:pPr>
        <w:pStyle w:val="Normal"/>
        <w:rPr>
          <w:sz w:val="24"/>
        </w:rPr>
      </w:pPr>
      <w:r>
        <w:rPr>
          <w:sz w:val="24"/>
        </w:rPr>
      </w:r>
    </w:p>
    <w:p>
      <w:pPr>
        <w:pStyle w:val="BodyText2"/>
        <w:rPr/>
      </w:pPr>
      <w:r>
        <w:rPr/>
        <w:t>1.  Section 3(e) of the ETA is hereby amended by substituting the term “the parties” for the word “Counterparty” the second time it appears in this section and by inserting the words “, except as otherwise provided in the relevant master agreement” at the end of each sentence of Section 3(e).</w:t>
      </w:r>
    </w:p>
    <w:p>
      <w:pPr>
        <w:pStyle w:val="BodyText2"/>
        <w:rPr/>
      </w:pPr>
      <w:r>
        <w:rPr/>
      </w:r>
    </w:p>
    <w:p>
      <w:pPr>
        <w:pStyle w:val="BodyText3"/>
        <w:jc w:val="both"/>
        <w:rPr/>
      </w:pPr>
      <w:r>
        <w:rPr/>
        <w:t>2.  Section 4(b) of the ETA is hereby amended by inserting the words “, unless such access, entry or action taken or not taken arises from acts or omissions of Enron and its directors, officers, employees, agents or contractors” at the end of such section.</w:t>
      </w:r>
    </w:p>
    <w:p>
      <w:pPr>
        <w:pStyle w:val="Normal"/>
        <w:jc w:val="both"/>
        <w:rPr>
          <w:color w:val="000000"/>
          <w:sz w:val="24"/>
        </w:rPr>
      </w:pPr>
      <w:r>
        <w:rPr>
          <w:color w:val="000000"/>
          <w:sz w:val="24"/>
        </w:rPr>
      </w:r>
    </w:p>
    <w:p>
      <w:pPr>
        <w:pStyle w:val="Normal"/>
        <w:numPr>
          <w:ilvl w:val="0"/>
          <w:numId w:val="2"/>
        </w:numPr>
        <w:tabs>
          <w:tab w:val="clear" w:pos="720"/>
          <w:tab w:val="left" w:pos="0" w:leader="none"/>
          <w:tab w:val="left" w:pos="450" w:leader="none"/>
        </w:tabs>
        <w:ind w:hanging="0" w:start="0" w:end="0"/>
        <w:jc w:val="both"/>
        <w:rPr>
          <w:color w:val="000000"/>
          <w:sz w:val="24"/>
        </w:rPr>
      </w:pPr>
      <w:r>
        <w:rPr>
          <w:color w:val="000000"/>
          <w:sz w:val="24"/>
        </w:rPr>
        <w:t>Section 4(b) of the ETA is also hereby amended by inserting the term "(individually and collectively, "Claims")" immediately before the word "resulting" in the third line.</w:t>
      </w:r>
    </w:p>
    <w:p>
      <w:pPr>
        <w:pStyle w:val="Normal"/>
        <w:ind w:start="360" w:end="0"/>
        <w:jc w:val="both"/>
        <w:rPr>
          <w:color w:val="000000"/>
          <w:sz w:val="24"/>
        </w:rPr>
      </w:pPr>
      <w:r>
        <w:rPr>
          <w:color w:val="000000"/>
          <w:sz w:val="24"/>
        </w:rPr>
      </w:r>
    </w:p>
    <w:p>
      <w:pPr>
        <w:pStyle w:val="Normal"/>
        <w:tabs>
          <w:tab w:val="clear" w:pos="720"/>
          <w:tab w:val="left" w:pos="450" w:leader="none"/>
        </w:tabs>
        <w:jc w:val="both"/>
        <w:rPr>
          <w:color w:val="000000"/>
          <w:sz w:val="24"/>
        </w:rPr>
      </w:pPr>
      <w:r>
        <w:rPr>
          <w:color w:val="000000"/>
          <w:sz w:val="24"/>
        </w:rPr>
        <w:t>4.</w:t>
        <w:tab/>
        <w:t xml:space="preserve">Section 4 of the ETA is hereby amended by inserting the following as clause </w:t>
      </w:r>
      <w:r>
        <w:rPr>
          <w:sz w:val="24"/>
        </w:rPr>
        <w:t>(c): “(c) The limitation of liability and indemnities provided in Section 4 are not intended to extend to liabilities of Enron or Claims against the Enron entity that is the party to a Transaction resulting from the terms of a Transaction executed via the Website, but instead the liabilities and indemnification obligations of each of Imperial Oil Resources and the Enron entity that is a party to the relevant Transaction shall be as provided in the master agreement or GTC governing such Transaction.”</w:t>
      </w:r>
    </w:p>
    <w:p>
      <w:pPr>
        <w:pStyle w:val="Normal"/>
        <w:rPr>
          <w:color w:val="000000"/>
          <w:sz w:val="24"/>
        </w:rPr>
      </w:pPr>
      <w:r>
        <w:rPr>
          <w:color w:val="000000"/>
          <w:sz w:val="24"/>
        </w:rPr>
      </w:r>
    </w:p>
    <w:p>
      <w:pPr>
        <w:pStyle w:val="BodyText3"/>
        <w:jc w:val="both"/>
        <w:rPr/>
      </w:pPr>
      <w:r>
        <w:rPr/>
        <w:t xml:space="preserve">5.  Section 4 of the ETA is hereby amended by inserting the following as clause (d): </w:t>
      </w:r>
      <w:r>
        <w:rPr>
          <w:rFonts w:cs="Book Antiqua" w:ascii="Book Antiqua" w:hAnsi="Book Antiqua"/>
          <w:caps/>
        </w:rPr>
        <w:t>"(</w:t>
      </w:r>
      <w:r>
        <w:rPr>
          <w:rFonts w:cs="Book Antiqua" w:ascii="Book Antiqua" w:hAnsi="Book Antiqua"/>
        </w:rPr>
        <w:t>d</w:t>
      </w:r>
      <w:r>
        <w:rPr>
          <w:rFonts w:cs="Book Antiqua" w:ascii="Book Antiqua" w:hAnsi="Book Antiqua"/>
          <w:caps/>
        </w:rPr>
        <w:t>) The limitation of liability, indemnities, limitation of remedies and exclusion of warranties set forth in this Agreement do not apply to any agreement or transaction entered into or which may be entered into between Enron and Counterparty which are not entered into through the Website.”</w:t>
      </w:r>
    </w:p>
    <w:p>
      <w:pPr>
        <w:pStyle w:val="Normal"/>
        <w:rPr>
          <w:rFonts w:ascii="Book Antiqua" w:hAnsi="Book Antiqua" w:cs="Book Antiqua"/>
          <w:caps/>
          <w:color w:val="000000"/>
          <w:sz w:val="24"/>
        </w:rPr>
      </w:pPr>
      <w:r>
        <w:rPr>
          <w:rFonts w:cs="Book Antiqua" w:ascii="Book Antiqua" w:hAnsi="Book Antiqua"/>
          <w:caps/>
          <w:color w:val="000000"/>
          <w:sz w:val="24"/>
        </w:rPr>
      </w:r>
    </w:p>
    <w:p>
      <w:pPr>
        <w:pStyle w:val="Normal"/>
        <w:rPr>
          <w:sz w:val="24"/>
        </w:rPr>
      </w:pPr>
      <w:r>
        <w:rPr>
          <w:sz w:val="24"/>
        </w:rPr>
        <w:t>Please indicate Imperial Oil Resources’ agreement to the foregoing by arranging execution of this letter agreement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Online, LLC</w:t>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Imperial Oil Resources</w:t>
      </w:r>
    </w:p>
    <w:p>
      <w:pPr>
        <w:pStyle w:val="Normal"/>
        <w:rPr>
          <w:sz w:val="24"/>
        </w:rPr>
      </w:pPr>
      <w:r>
        <w:rPr>
          <w:sz w:val="24"/>
        </w:rPr>
      </w:r>
    </w:p>
    <w:p>
      <w:pPr>
        <w:pStyle w:val="Normal"/>
        <w:rPr>
          <w:sz w:val="24"/>
        </w:rPr>
      </w:pPr>
      <w:r>
        <w:rPr>
          <w:sz w:val="24"/>
        </w:rPr>
      </w:r>
    </w:p>
    <w:p>
      <w:pPr>
        <w:pStyle w:val="Normal"/>
        <w:rPr>
          <w:sz w:val="24"/>
        </w:rPr>
      </w:pPr>
      <w:r>
        <w:rPr>
          <w:sz w:val="24"/>
        </w:rPr>
        <w:t>By:______________________</w:t>
      </w:r>
    </w:p>
    <w:p>
      <w:pPr>
        <w:pStyle w:val="Heading1"/>
        <w:ind w:hanging="0" w:start="0"/>
        <w:rPr/>
      </w:pPr>
      <w:r>
        <w:rPr/>
        <w:t>Name:___________________</w:t>
      </w:r>
    </w:p>
    <w:p>
      <w:pPr>
        <w:pStyle w:val="Heading1"/>
        <w:ind w:hanging="0" w:start="0"/>
        <w:rPr/>
      </w:pPr>
      <w:r>
        <w:rPr/>
        <w:t>Title:____________________</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Imperial Oil Resources</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2000-08-07T14:43:00Z</dcterms:created>
  <dc:creator>mtaylo1</dc:creator>
  <dc:description/>
  <dc:language>en-CA</dc:language>
  <cp:lastModifiedBy>leslie hansen</cp:lastModifiedBy>
  <cp:lastPrinted>2000-08-04T14:49:00Z</cp:lastPrinted>
  <dcterms:modified xsi:type="dcterms:W3CDTF">2000-08-09T12:06:00Z</dcterms:modified>
  <cp:revision>4</cp:revision>
  <dc:subject/>
  <dc:title>J</dc:title>
</cp:coreProperties>
</file>