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Money Market Funds (onshore)</w:t>
      </w:r>
    </w:p>
    <w:p>
      <w:pPr>
        <w:pStyle w:val="Normal"/>
        <w:jc w:val="center"/>
        <w:rPr>
          <w:i/>
          <w:i/>
          <w:sz w:val="28"/>
        </w:rPr>
      </w:pPr>
      <w:r>
        <w:rPr>
          <w:i/>
          <w:sz w:val="28"/>
        </w:rPr>
        <w:t>DEADLINES, PORTFOLIO INFORMATION &amp; HISTORICAL YIELDS</w:t>
      </w:r>
    </w:p>
    <w:p>
      <w:pPr>
        <w:pStyle w:val="Normal"/>
        <w:jc w:val="center"/>
        <w:rPr>
          <w:sz w:val="16"/>
        </w:rPr>
      </w:pPr>
      <w:r>
        <w:rPr>
          <w:sz w:val="16"/>
        </w:rPr>
        <w:t>(updated 04/02/01)</w:t>
      </w:r>
    </w:p>
    <w:p>
      <w:pPr>
        <w:pStyle w:val="Heading"/>
        <w:jc w:val="start"/>
        <w:rPr>
          <w:b/>
          <w:i/>
          <w:i/>
          <w:sz w:val="24"/>
        </w:rPr>
      </w:pPr>
      <w:r>
        <w:rPr>
          <w:b/>
          <w:i/>
          <w:caps w:val="false"/>
          <w:smallCaps w:val="false"/>
          <w:sz w:val="22"/>
        </w:rPr>
        <w:t>Onshore funds can be utilized by onshore (U.S.) or offshore (non-U.S.) entities, but offshore entities will have tax withholding issues.  Refer your offshore customers to offshore funds.</w:t>
      </w:r>
    </w:p>
    <w:p>
      <w:pPr>
        <w:pStyle w:val="Normal"/>
        <w:rPr>
          <w:b/>
          <w:i/>
          <w:i/>
          <w:sz w:val="24"/>
        </w:rPr>
      </w:pPr>
      <w:r>
        <w:rPr>
          <w:b/>
          <w:i/>
          <w:sz w:val="24"/>
        </w:rPr>
      </w:r>
    </w:p>
    <w:p>
      <w:pPr>
        <w:pStyle w:val="Normal"/>
        <w:jc w:val="both"/>
        <w:rPr/>
      </w:pPr>
      <w:r>
        <w:rPr/>
        <w:t>The information contained herein is provided for informational purposes only and is not a solicitation or offers to sell securities, nor should it be used by others in connection with any sale, offer for sale or solicitation of an offer to buy securities.  Neither Citibank, N.A. nor any of its subsidiaries or affiliates is providing investment advice or acting as a fiduciary by publishing any information contained herein.</w:t>
      </w:r>
    </w:p>
    <w:p>
      <w:pPr>
        <w:pStyle w:val="Normal"/>
        <w:rPr>
          <w:b/>
          <w:sz w:val="18"/>
        </w:rPr>
      </w:pPr>
      <w:r>
        <w:rPr>
          <w:b/>
          <w:sz w:val="18"/>
        </w:rPr>
      </w:r>
    </w:p>
    <w:p>
      <w:pPr>
        <w:pStyle w:val="Normal"/>
        <w:rPr>
          <w:b/>
          <w:sz w:val="18"/>
        </w:rPr>
      </w:pPr>
      <w:r>
        <w:rPr>
          <w:b/>
          <w:sz w:val="18"/>
        </w:rPr>
      </w:r>
    </w:p>
    <w:tbl>
      <w:tblPr>
        <w:tblW w:w="13788" w:type="dxa"/>
        <w:jc w:val="start"/>
        <w:tblInd w:w="0" w:type="dxa"/>
        <w:tblLayout w:type="fixed"/>
        <w:tblCellMar>
          <w:top w:w="0" w:type="dxa"/>
          <w:start w:w="108" w:type="dxa"/>
          <w:bottom w:w="0" w:type="dxa"/>
          <w:end w:w="108" w:type="dxa"/>
        </w:tblCellMar>
      </w:tblPr>
      <w:tblGrid>
        <w:gridCol w:w="3456"/>
        <w:gridCol w:w="1422"/>
        <w:gridCol w:w="1440"/>
        <w:gridCol w:w="3420"/>
        <w:gridCol w:w="1620"/>
        <w:gridCol w:w="2430"/>
      </w:tblGrid>
      <w:tr>
        <w:trPr/>
        <w:tc>
          <w:tcPr>
            <w:tcW w:w="3456" w:type="dxa"/>
            <w:tcBorders>
              <w:top w:val="single" w:sz="6" w:space="0" w:color="000000"/>
              <w:start w:val="single" w:sz="6" w:space="0" w:color="000000"/>
              <w:bottom w:val="single" w:sz="6" w:space="0" w:color="000000"/>
            </w:tcBorders>
          </w:tcPr>
          <w:p>
            <w:pPr>
              <w:pStyle w:val="Normal"/>
              <w:spacing w:before="120" w:after="120"/>
              <w:rPr>
                <w:b/>
                <w:i/>
                <w:i/>
                <w:sz w:val="18"/>
              </w:rPr>
            </w:pPr>
            <w:r>
              <w:rPr>
                <w:b/>
                <w:i/>
                <w:sz w:val="18"/>
              </w:rPr>
              <w:t>DREYFUS</w:t>
            </w:r>
          </w:p>
        </w:tc>
        <w:tc>
          <w:tcPr>
            <w:tcW w:w="1422" w:type="dxa"/>
            <w:tcBorders>
              <w:top w:val="single" w:sz="6" w:space="0" w:color="000000"/>
              <w:bottom w:val="single" w:sz="6" w:space="0" w:color="000000"/>
            </w:tcBorders>
          </w:tcPr>
          <w:p>
            <w:pPr>
              <w:pStyle w:val="Normal"/>
              <w:spacing w:before="120" w:after="120"/>
              <w:rPr>
                <w:b/>
                <w:i/>
                <w:i/>
                <w:sz w:val="18"/>
              </w:rPr>
            </w:pPr>
            <w:r>
              <w:rPr>
                <w:b/>
                <w:i/>
                <w:sz w:val="18"/>
              </w:rPr>
              <w:t>Purchase Deadline</w:t>
            </w:r>
          </w:p>
        </w:tc>
        <w:tc>
          <w:tcPr>
            <w:tcW w:w="1440" w:type="dxa"/>
            <w:tcBorders>
              <w:top w:val="single" w:sz="6" w:space="0" w:color="000000"/>
              <w:bottom w:val="single" w:sz="6" w:space="0" w:color="000000"/>
            </w:tcBorders>
          </w:tcPr>
          <w:p>
            <w:pPr>
              <w:pStyle w:val="Normal"/>
              <w:spacing w:before="120" w:after="120"/>
              <w:rPr>
                <w:b/>
                <w:i/>
                <w:i/>
                <w:sz w:val="18"/>
              </w:rPr>
            </w:pPr>
            <w:r>
              <w:rPr>
                <w:b/>
                <w:i/>
                <w:sz w:val="18"/>
              </w:rPr>
              <w:t>Redemption Deadline</w:t>
            </w:r>
          </w:p>
        </w:tc>
        <w:tc>
          <w:tcPr>
            <w:tcW w:w="3420" w:type="dxa"/>
            <w:tcBorders>
              <w:top w:val="single" w:sz="6" w:space="0" w:color="000000"/>
              <w:bottom w:val="single" w:sz="6" w:space="0" w:color="000000"/>
            </w:tcBorders>
          </w:tcPr>
          <w:p>
            <w:pPr>
              <w:pStyle w:val="Heading2"/>
              <w:spacing w:before="120" w:after="120"/>
              <w:ind w:hanging="0" w:start="0"/>
              <w:rPr/>
            </w:pPr>
            <w:r>
              <w:rPr/>
              <w:t>Portfolio Composition</w:t>
            </w:r>
          </w:p>
        </w:tc>
        <w:tc>
          <w:tcPr>
            <w:tcW w:w="1620" w:type="dxa"/>
            <w:tcBorders>
              <w:top w:val="single" w:sz="6" w:space="0" w:color="000000"/>
              <w:bottom w:val="single" w:sz="6" w:space="0" w:color="000000"/>
            </w:tcBorders>
          </w:tcPr>
          <w:p>
            <w:pPr>
              <w:pStyle w:val="Normal"/>
              <w:spacing w:before="120" w:after="120"/>
              <w:rPr>
                <w:b/>
                <w:i/>
                <w:i/>
                <w:sz w:val="18"/>
              </w:rPr>
            </w:pPr>
            <w:r>
              <w:rPr>
                <w:b/>
                <w:i/>
                <w:sz w:val="18"/>
              </w:rPr>
              <w:t>Rating(s)</w:t>
            </w:r>
          </w:p>
        </w:tc>
        <w:tc>
          <w:tcPr>
            <w:tcW w:w="2430" w:type="dxa"/>
            <w:tcBorders>
              <w:top w:val="single" w:sz="6" w:space="0" w:color="000000"/>
              <w:bottom w:val="single" w:sz="6" w:space="0" w:color="000000"/>
              <w:end w:val="single" w:sz="6" w:space="0" w:color="000000"/>
            </w:tcBorders>
          </w:tcPr>
          <w:p>
            <w:pPr>
              <w:pStyle w:val="Normal"/>
              <w:spacing w:before="120" w:after="120"/>
              <w:rPr>
                <w:b/>
                <w:i/>
                <w:i/>
                <w:sz w:val="18"/>
              </w:rPr>
            </w:pPr>
            <w:r>
              <w:rPr>
                <w:b/>
                <w:i/>
                <w:sz w:val="18"/>
              </w:rPr>
              <w:t>30-Day Net Yields</w:t>
            </w:r>
          </w:p>
        </w:tc>
      </w:tr>
      <w:tr>
        <w:trPr/>
        <w:tc>
          <w:tcPr>
            <w:tcW w:w="3456" w:type="dxa"/>
            <w:tcBorders>
              <w:start w:val="single" w:sz="6" w:space="0" w:color="000000"/>
            </w:tcBorders>
          </w:tcPr>
          <w:p>
            <w:pPr>
              <w:pStyle w:val="Normal"/>
              <w:spacing w:before="120" w:after="120"/>
              <w:rPr>
                <w:b/>
                <w:sz w:val="18"/>
              </w:rPr>
            </w:pPr>
            <w:r>
              <w:rPr>
                <w:b/>
                <w:sz w:val="18"/>
              </w:rPr>
              <w:t>Treasury Cash Management</w:t>
              <w:br/>
              <w:t>Investor Class (673)</w:t>
            </w:r>
          </w:p>
        </w:tc>
        <w:tc>
          <w:tcPr>
            <w:tcW w:w="1422" w:type="dxa"/>
            <w:tcBorders/>
          </w:tcPr>
          <w:p>
            <w:pPr>
              <w:pStyle w:val="Normal"/>
              <w:spacing w:before="120" w:after="120"/>
              <w:rPr>
                <w:b/>
                <w:sz w:val="18"/>
              </w:rPr>
            </w:pPr>
            <w:r>
              <w:rPr>
                <w:b/>
                <w:sz w:val="18"/>
              </w:rPr>
              <w:t>5:00 PM</w:t>
            </w:r>
          </w:p>
        </w:tc>
        <w:tc>
          <w:tcPr>
            <w:tcW w:w="1440" w:type="dxa"/>
            <w:tcBorders/>
          </w:tcPr>
          <w:p>
            <w:pPr>
              <w:pStyle w:val="Normal"/>
              <w:spacing w:before="120" w:after="120"/>
              <w:rPr>
                <w:b/>
                <w:sz w:val="18"/>
              </w:rPr>
            </w:pPr>
            <w:r>
              <w:rPr>
                <w:b/>
                <w:sz w:val="18"/>
              </w:rPr>
              <w:t>5:00 PM</w:t>
            </w:r>
          </w:p>
        </w:tc>
        <w:tc>
          <w:tcPr>
            <w:tcW w:w="3420" w:type="dxa"/>
            <w:tcBorders>
              <w:top w:val="single" w:sz="6" w:space="0" w:color="000000"/>
            </w:tcBorders>
          </w:tcPr>
          <w:p>
            <w:pPr>
              <w:pStyle w:val="Normal"/>
              <w:spacing w:before="120" w:after="120"/>
              <w:rPr>
                <w:b/>
                <w:sz w:val="18"/>
              </w:rPr>
            </w:pPr>
            <w:r>
              <w:rPr>
                <w:b/>
                <w:sz w:val="18"/>
              </w:rPr>
              <w:t>US Treasuries/ US Treasury Repos</w:t>
            </w:r>
          </w:p>
        </w:tc>
        <w:tc>
          <w:tcPr>
            <w:tcW w:w="1620" w:type="dxa"/>
            <w:tcBorders>
              <w:top w:val="single" w:sz="6" w:space="0" w:color="000000"/>
            </w:tcBorders>
          </w:tcPr>
          <w:p>
            <w:pPr>
              <w:pStyle w:val="Normal"/>
              <w:spacing w:before="120" w:after="120"/>
              <w:rPr>
                <w:b/>
                <w:sz w:val="18"/>
              </w:rPr>
            </w:pPr>
            <w:r>
              <w:rPr>
                <w:b/>
                <w:sz w:val="18"/>
              </w:rPr>
              <w:t>AAAm - S&amp;P</w:t>
              <w:br/>
              <w:t>Aaa – Moody’s</w:t>
            </w:r>
          </w:p>
        </w:tc>
        <w:tc>
          <w:tcPr>
            <w:tcW w:w="2430" w:type="dxa"/>
            <w:tcBorders>
              <w:top w:val="single" w:sz="6" w:space="0" w:color="000000"/>
              <w:end w:val="single" w:sz="6" w:space="0" w:color="000000"/>
            </w:tcBorders>
          </w:tcPr>
          <w:p>
            <w:pPr>
              <w:pStyle w:val="Normal"/>
              <w:snapToGrid w:val="false"/>
              <w:rPr>
                <w:b/>
                <w:sz w:val="18"/>
              </w:rPr>
            </w:pPr>
            <w:r>
              <w:rPr>
                <w:b/>
                <w:sz w:val="18"/>
              </w:rPr>
            </w:r>
          </w:p>
          <w:p>
            <w:pPr>
              <w:pStyle w:val="Normal"/>
              <w:rPr>
                <w:b/>
                <w:sz w:val="18"/>
              </w:rPr>
            </w:pPr>
            <w:r>
              <w:rPr>
                <w:b/>
                <w:sz w:val="18"/>
              </w:rPr>
              <w:t>03/31/01         4.91%</w:t>
            </w:r>
          </w:p>
          <w:p>
            <w:pPr>
              <w:pStyle w:val="Normal"/>
              <w:rPr>
                <w:b/>
                <w:sz w:val="18"/>
              </w:rPr>
            </w:pPr>
            <w:r>
              <w:rPr>
                <w:b/>
                <w:sz w:val="18"/>
              </w:rPr>
              <w:t>02/28/01         5.15%</w:t>
            </w:r>
          </w:p>
          <w:p>
            <w:pPr>
              <w:pStyle w:val="Normal"/>
              <w:rPr>
                <w:b/>
                <w:sz w:val="18"/>
              </w:rPr>
            </w:pPr>
            <w:r>
              <w:rPr>
                <w:b/>
                <w:sz w:val="18"/>
              </w:rPr>
              <w:t>01/31/01         5.53%</w:t>
            </w:r>
          </w:p>
          <w:p>
            <w:pPr>
              <w:pStyle w:val="Normal"/>
              <w:rPr>
                <w:b/>
                <w:sz w:val="18"/>
              </w:rPr>
            </w:pPr>
            <w:r>
              <w:rPr>
                <w:b/>
                <w:sz w:val="18"/>
              </w:rPr>
            </w:r>
          </w:p>
        </w:tc>
      </w:tr>
      <w:tr>
        <w:trPr/>
        <w:tc>
          <w:tcPr>
            <w:tcW w:w="3456" w:type="dxa"/>
            <w:tcBorders>
              <w:top w:val="single" w:sz="6" w:space="0" w:color="000000"/>
              <w:start w:val="single" w:sz="6" w:space="0" w:color="000000"/>
              <w:bottom w:val="single" w:sz="6" w:space="0" w:color="000000"/>
            </w:tcBorders>
          </w:tcPr>
          <w:p>
            <w:pPr>
              <w:pStyle w:val="Normal"/>
              <w:spacing w:before="120" w:after="120"/>
              <w:rPr>
                <w:b/>
                <w:sz w:val="18"/>
              </w:rPr>
            </w:pPr>
            <w:r>
              <w:rPr>
                <w:b/>
                <w:sz w:val="18"/>
              </w:rPr>
              <w:t>Cash Management</w:t>
              <w:br/>
              <w:t>Investor Class (670)</w:t>
            </w:r>
          </w:p>
        </w:tc>
        <w:tc>
          <w:tcPr>
            <w:tcW w:w="1422" w:type="dxa"/>
            <w:tcBorders>
              <w:top w:val="single" w:sz="6" w:space="0" w:color="000000"/>
              <w:bottom w:val="single" w:sz="6" w:space="0" w:color="000000"/>
            </w:tcBorders>
          </w:tcPr>
          <w:p>
            <w:pPr>
              <w:pStyle w:val="Normal"/>
              <w:spacing w:before="120" w:after="120"/>
              <w:rPr>
                <w:b/>
                <w:sz w:val="18"/>
              </w:rPr>
            </w:pPr>
            <w:r>
              <w:rPr>
                <w:b/>
                <w:sz w:val="18"/>
              </w:rPr>
              <w:t>5:00 PM</w:t>
            </w:r>
          </w:p>
        </w:tc>
        <w:tc>
          <w:tcPr>
            <w:tcW w:w="1440" w:type="dxa"/>
            <w:tcBorders>
              <w:top w:val="single" w:sz="6" w:space="0" w:color="000000"/>
              <w:bottom w:val="single" w:sz="6" w:space="0" w:color="000000"/>
            </w:tcBorders>
          </w:tcPr>
          <w:p>
            <w:pPr>
              <w:pStyle w:val="Normal"/>
              <w:spacing w:before="120" w:after="120"/>
              <w:rPr>
                <w:b/>
                <w:sz w:val="18"/>
              </w:rPr>
            </w:pPr>
            <w:r>
              <w:rPr>
                <w:b/>
                <w:sz w:val="18"/>
              </w:rPr>
              <w:t>5:00 PM</w:t>
            </w:r>
          </w:p>
        </w:tc>
        <w:tc>
          <w:tcPr>
            <w:tcW w:w="3420" w:type="dxa"/>
            <w:tcBorders>
              <w:top w:val="single" w:sz="6" w:space="0" w:color="000000"/>
              <w:bottom w:val="single" w:sz="6" w:space="0" w:color="000000"/>
            </w:tcBorders>
          </w:tcPr>
          <w:p>
            <w:pPr>
              <w:pStyle w:val="Normal"/>
              <w:spacing w:before="120" w:after="120"/>
              <w:rPr>
                <w:b/>
                <w:sz w:val="18"/>
              </w:rPr>
            </w:pPr>
            <w:r>
              <w:rPr>
                <w:b/>
                <w:sz w:val="18"/>
              </w:rPr>
              <w:t>A-1/P-1 CP; CDs; Time Deposits; US Treasuries/ US Treasury Repos; BAs; US Agencies</w:t>
            </w:r>
          </w:p>
        </w:tc>
        <w:tc>
          <w:tcPr>
            <w:tcW w:w="1620" w:type="dxa"/>
            <w:tcBorders>
              <w:top w:val="single" w:sz="6" w:space="0" w:color="000000"/>
              <w:bottom w:val="single" w:sz="6" w:space="0" w:color="000000"/>
            </w:tcBorders>
          </w:tcPr>
          <w:p>
            <w:pPr>
              <w:pStyle w:val="Normal"/>
              <w:spacing w:before="120" w:after="120"/>
              <w:rPr>
                <w:b/>
                <w:sz w:val="18"/>
              </w:rPr>
            </w:pPr>
            <w:r>
              <w:rPr>
                <w:b/>
                <w:sz w:val="18"/>
              </w:rPr>
              <w:t>AAAm - S&amp;P</w:t>
              <w:br/>
              <w:t>Aaa – Moody’s</w:t>
            </w:r>
          </w:p>
        </w:tc>
        <w:tc>
          <w:tcPr>
            <w:tcW w:w="2430" w:type="dxa"/>
            <w:tcBorders>
              <w:top w:val="single" w:sz="6" w:space="0" w:color="000000"/>
              <w:bottom w:val="single" w:sz="6" w:space="0" w:color="000000"/>
              <w:end w:val="single" w:sz="6" w:space="0" w:color="000000"/>
            </w:tcBorders>
          </w:tcPr>
          <w:p>
            <w:pPr>
              <w:pStyle w:val="Normal"/>
              <w:snapToGrid w:val="false"/>
              <w:rPr>
                <w:b/>
                <w:sz w:val="18"/>
              </w:rPr>
            </w:pPr>
            <w:r>
              <w:rPr>
                <w:b/>
                <w:sz w:val="18"/>
              </w:rPr>
            </w:r>
          </w:p>
          <w:p>
            <w:pPr>
              <w:pStyle w:val="Normal"/>
              <w:rPr>
                <w:b/>
                <w:sz w:val="18"/>
              </w:rPr>
            </w:pPr>
            <w:r>
              <w:rPr>
                <w:b/>
                <w:sz w:val="18"/>
              </w:rPr>
              <w:t>03/31/01         5.12%</w:t>
            </w:r>
          </w:p>
          <w:p>
            <w:pPr>
              <w:pStyle w:val="Normal"/>
              <w:rPr>
                <w:b/>
                <w:sz w:val="18"/>
              </w:rPr>
            </w:pPr>
            <w:r>
              <w:rPr>
                <w:b/>
                <w:sz w:val="18"/>
              </w:rPr>
              <w:t>02/28/01         5.49%</w:t>
            </w:r>
          </w:p>
          <w:p>
            <w:pPr>
              <w:pStyle w:val="Normal"/>
              <w:rPr>
                <w:b/>
                <w:sz w:val="18"/>
              </w:rPr>
            </w:pPr>
            <w:r>
              <w:rPr>
                <w:b/>
                <w:sz w:val="18"/>
              </w:rPr>
              <w:t>01/31/01         5.90%</w:t>
            </w:r>
          </w:p>
          <w:p>
            <w:pPr>
              <w:pStyle w:val="Normal"/>
              <w:rPr>
                <w:b/>
                <w:sz w:val="18"/>
              </w:rPr>
            </w:pPr>
            <w:r>
              <w:rPr>
                <w:b/>
                <w:sz w:val="18"/>
              </w:rPr>
            </w:r>
          </w:p>
        </w:tc>
      </w:tr>
      <w:tr>
        <w:trPr/>
        <w:tc>
          <w:tcPr>
            <w:tcW w:w="3456" w:type="dxa"/>
            <w:tcBorders>
              <w:top w:val="single" w:sz="6" w:space="0" w:color="000000"/>
              <w:start w:val="single" w:sz="6" w:space="0" w:color="000000"/>
              <w:bottom w:val="single" w:sz="6" w:space="0" w:color="000000"/>
            </w:tcBorders>
          </w:tcPr>
          <w:p>
            <w:pPr>
              <w:pStyle w:val="Normal"/>
              <w:spacing w:before="120" w:after="120"/>
              <w:rPr>
                <w:b/>
                <w:sz w:val="18"/>
              </w:rPr>
            </w:pPr>
            <w:r>
              <w:rPr>
                <w:b/>
                <w:sz w:val="18"/>
              </w:rPr>
              <w:t>Institutional Preferred MMF* (194)</w:t>
            </w:r>
          </w:p>
          <w:p>
            <w:pPr>
              <w:pStyle w:val="Normal"/>
              <w:spacing w:before="120" w:after="120"/>
              <w:rPr>
                <w:b/>
                <w:sz w:val="16"/>
              </w:rPr>
            </w:pPr>
            <w:r>
              <w:rPr>
                <w:b/>
                <w:sz w:val="16"/>
              </w:rPr>
              <w:t>*Only for transactions over $100 MM in size and the funds must remain in the fund for a minimum of 1 month</w:t>
            </w:r>
          </w:p>
        </w:tc>
        <w:tc>
          <w:tcPr>
            <w:tcW w:w="1422" w:type="dxa"/>
            <w:tcBorders>
              <w:top w:val="single" w:sz="6" w:space="0" w:color="000000"/>
              <w:bottom w:val="single" w:sz="6" w:space="0" w:color="000000"/>
            </w:tcBorders>
          </w:tcPr>
          <w:p>
            <w:pPr>
              <w:pStyle w:val="Normal"/>
              <w:spacing w:before="120" w:after="120"/>
              <w:rPr>
                <w:b/>
                <w:sz w:val="18"/>
              </w:rPr>
            </w:pPr>
            <w:r>
              <w:rPr>
                <w:b/>
                <w:sz w:val="18"/>
              </w:rPr>
              <w:t>5:00 PM</w:t>
            </w:r>
          </w:p>
        </w:tc>
        <w:tc>
          <w:tcPr>
            <w:tcW w:w="1440" w:type="dxa"/>
            <w:tcBorders>
              <w:top w:val="single" w:sz="6" w:space="0" w:color="000000"/>
              <w:bottom w:val="single" w:sz="6" w:space="0" w:color="000000"/>
            </w:tcBorders>
          </w:tcPr>
          <w:p>
            <w:pPr>
              <w:pStyle w:val="Normal"/>
              <w:spacing w:before="120" w:after="120"/>
              <w:rPr>
                <w:b/>
                <w:sz w:val="18"/>
              </w:rPr>
            </w:pPr>
            <w:r>
              <w:rPr>
                <w:b/>
                <w:sz w:val="18"/>
              </w:rPr>
              <w:t>5:00 PM</w:t>
            </w:r>
          </w:p>
        </w:tc>
        <w:tc>
          <w:tcPr>
            <w:tcW w:w="3420" w:type="dxa"/>
            <w:tcBorders>
              <w:top w:val="single" w:sz="6" w:space="0" w:color="000000"/>
              <w:bottom w:val="single" w:sz="6" w:space="0" w:color="000000"/>
            </w:tcBorders>
          </w:tcPr>
          <w:p>
            <w:pPr>
              <w:pStyle w:val="Normal"/>
              <w:spacing w:before="120" w:after="120"/>
              <w:rPr>
                <w:b/>
                <w:sz w:val="18"/>
              </w:rPr>
            </w:pPr>
            <w:r>
              <w:rPr>
                <w:b/>
                <w:sz w:val="18"/>
              </w:rPr>
              <w:t>Negotiable Bank CDs, Commercial Paper, Corp.Notes, Short-term Bank Notes Time Deposits, US Gov’t or Agencies</w:t>
            </w:r>
          </w:p>
        </w:tc>
        <w:tc>
          <w:tcPr>
            <w:tcW w:w="1620" w:type="dxa"/>
            <w:tcBorders>
              <w:top w:val="single" w:sz="6" w:space="0" w:color="000000"/>
              <w:bottom w:val="single" w:sz="6" w:space="0" w:color="000000"/>
            </w:tcBorders>
          </w:tcPr>
          <w:p>
            <w:pPr>
              <w:pStyle w:val="Normal"/>
              <w:spacing w:before="120" w:after="120"/>
              <w:rPr>
                <w:b/>
                <w:sz w:val="18"/>
              </w:rPr>
            </w:pPr>
            <w:r>
              <w:rPr>
                <w:b/>
                <w:sz w:val="18"/>
              </w:rPr>
              <w:t>AAAm - S&amp;P</w:t>
            </w:r>
          </w:p>
        </w:tc>
        <w:tc>
          <w:tcPr>
            <w:tcW w:w="2430" w:type="dxa"/>
            <w:tcBorders>
              <w:top w:val="single" w:sz="6" w:space="0" w:color="000000"/>
              <w:bottom w:val="single" w:sz="6" w:space="0" w:color="000000"/>
              <w:end w:val="single" w:sz="6" w:space="0" w:color="000000"/>
            </w:tcBorders>
          </w:tcPr>
          <w:p>
            <w:pPr>
              <w:pStyle w:val="Normal"/>
              <w:snapToGrid w:val="false"/>
              <w:rPr>
                <w:b/>
                <w:sz w:val="18"/>
              </w:rPr>
            </w:pPr>
            <w:r>
              <w:rPr>
                <w:b/>
                <w:sz w:val="18"/>
              </w:rPr>
            </w:r>
          </w:p>
          <w:p>
            <w:pPr>
              <w:pStyle w:val="Normal"/>
              <w:rPr>
                <w:b/>
                <w:sz w:val="18"/>
              </w:rPr>
            </w:pPr>
            <w:r>
              <w:rPr>
                <w:b/>
                <w:sz w:val="18"/>
              </w:rPr>
              <w:t>03/31/01         5.25%</w:t>
            </w:r>
          </w:p>
          <w:p>
            <w:pPr>
              <w:pStyle w:val="Normal"/>
              <w:rPr>
                <w:b/>
                <w:sz w:val="18"/>
              </w:rPr>
            </w:pPr>
            <w:r>
              <w:rPr>
                <w:b/>
                <w:sz w:val="18"/>
              </w:rPr>
              <w:t>02/28/01         5.56%</w:t>
            </w:r>
          </w:p>
          <w:p>
            <w:pPr>
              <w:pStyle w:val="Normal"/>
              <w:rPr>
                <w:b/>
                <w:sz w:val="18"/>
              </w:rPr>
            </w:pPr>
            <w:r>
              <w:rPr>
                <w:b/>
                <w:sz w:val="18"/>
              </w:rPr>
              <w:t>01/31/01         5.93%</w:t>
            </w:r>
          </w:p>
          <w:p>
            <w:pPr>
              <w:pStyle w:val="Normal"/>
              <w:rPr>
                <w:b/>
                <w:sz w:val="18"/>
              </w:rPr>
            </w:pPr>
            <w:r>
              <w:rPr>
                <w:b/>
                <w:sz w:val="18"/>
              </w:rPr>
            </w:r>
          </w:p>
        </w:tc>
      </w:tr>
    </w:tbl>
    <w:p>
      <w:pPr>
        <w:pStyle w:val="Normal"/>
        <w:rPr>
          <w:b/>
          <w:sz w:val="18"/>
        </w:rPr>
      </w:pPr>
      <w:r>
        <w:rPr>
          <w:b/>
          <w:sz w:val="18"/>
        </w:rPr>
      </w:r>
    </w:p>
    <w:p>
      <w:pPr>
        <w:pStyle w:val="Normal"/>
        <w:rPr>
          <w:b/>
          <w:sz w:val="18"/>
        </w:rPr>
      </w:pPr>
      <w:r>
        <w:rPr>
          <w:b/>
          <w:sz w:val="18"/>
        </w:rPr>
      </w:r>
    </w:p>
    <w:p>
      <w:pPr>
        <w:pStyle w:val="Normal"/>
        <w:rPr>
          <w:b/>
          <w:sz w:val="18"/>
        </w:rPr>
      </w:pPr>
      <w:r>
        <w:rPr>
          <w:b/>
          <w:sz w:val="18"/>
        </w:rPr>
      </w:r>
    </w:p>
    <w:tbl>
      <w:tblPr>
        <w:tblW w:w="13788" w:type="dxa"/>
        <w:jc w:val="start"/>
        <w:tblInd w:w="0" w:type="dxa"/>
        <w:tblLayout w:type="fixed"/>
        <w:tblCellMar>
          <w:top w:w="0" w:type="dxa"/>
          <w:start w:w="108" w:type="dxa"/>
          <w:bottom w:w="0" w:type="dxa"/>
          <w:end w:w="108" w:type="dxa"/>
        </w:tblCellMar>
      </w:tblPr>
      <w:tblGrid>
        <w:gridCol w:w="3438"/>
        <w:gridCol w:w="1440"/>
        <w:gridCol w:w="1440"/>
        <w:gridCol w:w="3420"/>
        <w:gridCol w:w="1620"/>
        <w:gridCol w:w="2430"/>
      </w:tblGrid>
      <w:tr>
        <w:trPr>
          <w:trHeight w:val="588" w:hRule="atLeast"/>
        </w:trPr>
        <w:tc>
          <w:tcPr>
            <w:tcW w:w="3438" w:type="dxa"/>
            <w:tcBorders>
              <w:top w:val="single" w:sz="6" w:space="0" w:color="000000"/>
              <w:start w:val="single" w:sz="6" w:space="0" w:color="000000"/>
              <w:bottom w:val="single" w:sz="6" w:space="0" w:color="000000"/>
            </w:tcBorders>
          </w:tcPr>
          <w:p>
            <w:pPr>
              <w:pStyle w:val="Normal"/>
              <w:spacing w:before="120" w:after="120"/>
              <w:rPr>
                <w:b/>
                <w:i/>
                <w:i/>
                <w:sz w:val="18"/>
              </w:rPr>
            </w:pPr>
            <w:r>
              <w:rPr>
                <w:b/>
                <w:i/>
                <w:sz w:val="18"/>
              </w:rPr>
              <w:t>FEDERATED INVESTORS</w:t>
            </w:r>
          </w:p>
        </w:tc>
        <w:tc>
          <w:tcPr>
            <w:tcW w:w="1440" w:type="dxa"/>
            <w:tcBorders>
              <w:top w:val="single" w:sz="6" w:space="0" w:color="000000"/>
              <w:bottom w:val="single" w:sz="6" w:space="0" w:color="000000"/>
            </w:tcBorders>
          </w:tcPr>
          <w:p>
            <w:pPr>
              <w:pStyle w:val="Normal"/>
              <w:spacing w:before="120" w:after="120"/>
              <w:rPr>
                <w:b/>
                <w:i/>
                <w:i/>
                <w:sz w:val="18"/>
              </w:rPr>
            </w:pPr>
            <w:r>
              <w:rPr>
                <w:b/>
                <w:i/>
                <w:sz w:val="18"/>
              </w:rPr>
              <w:t>Purchase Deadline</w:t>
            </w:r>
          </w:p>
        </w:tc>
        <w:tc>
          <w:tcPr>
            <w:tcW w:w="1440" w:type="dxa"/>
            <w:tcBorders>
              <w:top w:val="single" w:sz="6" w:space="0" w:color="000000"/>
              <w:bottom w:val="single" w:sz="6" w:space="0" w:color="000000"/>
            </w:tcBorders>
          </w:tcPr>
          <w:p>
            <w:pPr>
              <w:pStyle w:val="Normal"/>
              <w:spacing w:before="120" w:after="120"/>
              <w:rPr>
                <w:b/>
                <w:i/>
                <w:i/>
                <w:sz w:val="18"/>
              </w:rPr>
            </w:pPr>
            <w:r>
              <w:rPr>
                <w:b/>
                <w:i/>
                <w:sz w:val="18"/>
              </w:rPr>
              <w:t>Redemption Deadline</w:t>
            </w:r>
          </w:p>
        </w:tc>
        <w:tc>
          <w:tcPr>
            <w:tcW w:w="3420" w:type="dxa"/>
            <w:tcBorders>
              <w:top w:val="single" w:sz="6" w:space="0" w:color="000000"/>
              <w:bottom w:val="single" w:sz="6" w:space="0" w:color="000000"/>
            </w:tcBorders>
          </w:tcPr>
          <w:p>
            <w:pPr>
              <w:pStyle w:val="Normal"/>
              <w:spacing w:before="120" w:after="120"/>
              <w:rPr>
                <w:b/>
                <w:i/>
                <w:i/>
                <w:sz w:val="18"/>
              </w:rPr>
            </w:pPr>
            <w:r>
              <w:rPr>
                <w:b/>
                <w:i/>
                <w:sz w:val="18"/>
              </w:rPr>
              <w:t>Portfolio Composition</w:t>
            </w:r>
          </w:p>
        </w:tc>
        <w:tc>
          <w:tcPr>
            <w:tcW w:w="1620" w:type="dxa"/>
            <w:tcBorders>
              <w:top w:val="single" w:sz="6" w:space="0" w:color="000000"/>
              <w:bottom w:val="single" w:sz="6" w:space="0" w:color="000000"/>
            </w:tcBorders>
          </w:tcPr>
          <w:p>
            <w:pPr>
              <w:pStyle w:val="Normal"/>
              <w:spacing w:before="120" w:after="120"/>
              <w:rPr>
                <w:b/>
                <w:i/>
                <w:i/>
                <w:sz w:val="18"/>
              </w:rPr>
            </w:pPr>
            <w:r>
              <w:rPr>
                <w:b/>
                <w:i/>
                <w:sz w:val="18"/>
              </w:rPr>
              <w:t>Rating(s)</w:t>
            </w:r>
          </w:p>
        </w:tc>
        <w:tc>
          <w:tcPr>
            <w:tcW w:w="2430" w:type="dxa"/>
            <w:tcBorders>
              <w:top w:val="single" w:sz="6" w:space="0" w:color="000000"/>
              <w:bottom w:val="single" w:sz="6" w:space="0" w:color="000000"/>
              <w:end w:val="single" w:sz="6" w:space="0" w:color="000000"/>
            </w:tcBorders>
          </w:tcPr>
          <w:p>
            <w:pPr>
              <w:pStyle w:val="Normal"/>
              <w:spacing w:before="120" w:after="120"/>
              <w:rPr>
                <w:b/>
                <w:i/>
                <w:i/>
                <w:sz w:val="18"/>
              </w:rPr>
            </w:pPr>
            <w:r>
              <w:rPr>
                <w:b/>
                <w:i/>
                <w:sz w:val="18"/>
              </w:rPr>
              <w:t>30-Day Net Yields</w:t>
            </w:r>
          </w:p>
        </w:tc>
      </w:tr>
      <w:tr>
        <w:trPr>
          <w:trHeight w:val="1155" w:hRule="atLeast"/>
        </w:trPr>
        <w:tc>
          <w:tcPr>
            <w:tcW w:w="3438" w:type="dxa"/>
            <w:tcBorders>
              <w:start w:val="single" w:sz="6" w:space="0" w:color="000000"/>
              <w:bottom w:val="single" w:sz="4" w:space="0" w:color="000000"/>
            </w:tcBorders>
          </w:tcPr>
          <w:p>
            <w:pPr>
              <w:pStyle w:val="Normal"/>
              <w:spacing w:before="120" w:after="120"/>
              <w:rPr>
                <w:b/>
                <w:sz w:val="18"/>
              </w:rPr>
            </w:pPr>
            <w:r>
              <w:rPr>
                <w:b/>
                <w:sz w:val="18"/>
              </w:rPr>
              <w:t>Prime Obligations Fund (396) Institutional Service Shares</w:t>
            </w:r>
          </w:p>
        </w:tc>
        <w:tc>
          <w:tcPr>
            <w:tcW w:w="1440" w:type="dxa"/>
            <w:tcBorders>
              <w:bottom w:val="single" w:sz="4" w:space="0" w:color="000000"/>
            </w:tcBorders>
          </w:tcPr>
          <w:p>
            <w:pPr>
              <w:pStyle w:val="Normal"/>
              <w:spacing w:before="120" w:after="120"/>
              <w:rPr>
                <w:b/>
                <w:sz w:val="18"/>
              </w:rPr>
            </w:pPr>
            <w:r>
              <w:rPr>
                <w:b/>
                <w:sz w:val="18"/>
              </w:rPr>
              <w:t>5:00 PM</w:t>
            </w:r>
          </w:p>
        </w:tc>
        <w:tc>
          <w:tcPr>
            <w:tcW w:w="1440" w:type="dxa"/>
            <w:tcBorders>
              <w:bottom w:val="single" w:sz="4" w:space="0" w:color="000000"/>
            </w:tcBorders>
          </w:tcPr>
          <w:p>
            <w:pPr>
              <w:pStyle w:val="Normal"/>
              <w:spacing w:before="120" w:after="120"/>
              <w:rPr>
                <w:b/>
                <w:sz w:val="18"/>
              </w:rPr>
            </w:pPr>
            <w:r>
              <w:rPr>
                <w:b/>
                <w:sz w:val="18"/>
              </w:rPr>
              <w:t>5:00 PM</w:t>
            </w:r>
          </w:p>
        </w:tc>
        <w:tc>
          <w:tcPr>
            <w:tcW w:w="3420" w:type="dxa"/>
            <w:tcBorders>
              <w:bottom w:val="single" w:sz="4" w:space="0" w:color="000000"/>
            </w:tcBorders>
          </w:tcPr>
          <w:p>
            <w:pPr>
              <w:pStyle w:val="Normal"/>
              <w:spacing w:before="120" w:after="120"/>
              <w:rPr>
                <w:b/>
                <w:sz w:val="18"/>
              </w:rPr>
            </w:pPr>
            <w:r>
              <w:rPr>
                <w:b/>
                <w:sz w:val="18"/>
              </w:rPr>
              <w:t>CP, CD, Time Deposits, Repos, Variable Rate Instruments</w:t>
            </w:r>
          </w:p>
        </w:tc>
        <w:tc>
          <w:tcPr>
            <w:tcW w:w="1620" w:type="dxa"/>
            <w:tcBorders>
              <w:bottom w:val="single" w:sz="4" w:space="0" w:color="000000"/>
            </w:tcBorders>
          </w:tcPr>
          <w:p>
            <w:pPr>
              <w:pStyle w:val="Normal"/>
              <w:spacing w:before="120" w:after="120"/>
              <w:rPr>
                <w:b/>
                <w:sz w:val="18"/>
              </w:rPr>
            </w:pPr>
            <w:r>
              <w:rPr>
                <w:b/>
                <w:sz w:val="18"/>
              </w:rPr>
              <w:t>AAAm - S&amp;P</w:t>
              <w:br/>
              <w:t>Aaa – Moody’s</w:t>
            </w:r>
          </w:p>
        </w:tc>
        <w:tc>
          <w:tcPr>
            <w:tcW w:w="2430" w:type="dxa"/>
            <w:tcBorders>
              <w:bottom w:val="single" w:sz="4" w:space="0" w:color="000000"/>
              <w:end w:val="single" w:sz="6" w:space="0" w:color="000000"/>
            </w:tcBorders>
          </w:tcPr>
          <w:p>
            <w:pPr>
              <w:pStyle w:val="Normal"/>
              <w:snapToGrid w:val="false"/>
              <w:rPr>
                <w:b/>
                <w:sz w:val="18"/>
              </w:rPr>
            </w:pPr>
            <w:r>
              <w:rPr>
                <w:b/>
                <w:sz w:val="18"/>
              </w:rPr>
            </w:r>
          </w:p>
          <w:p>
            <w:pPr>
              <w:pStyle w:val="Normal"/>
              <w:rPr>
                <w:b/>
                <w:sz w:val="18"/>
              </w:rPr>
            </w:pPr>
            <w:r>
              <w:rPr>
                <w:b/>
                <w:sz w:val="18"/>
              </w:rPr>
              <w:t>03/31/01         5.14%</w:t>
            </w:r>
          </w:p>
          <w:p>
            <w:pPr>
              <w:pStyle w:val="Normal"/>
              <w:rPr>
                <w:b/>
                <w:sz w:val="18"/>
              </w:rPr>
            </w:pPr>
            <w:r>
              <w:rPr>
                <w:b/>
                <w:sz w:val="18"/>
              </w:rPr>
              <w:t>02/28/01         5.47%</w:t>
            </w:r>
          </w:p>
          <w:p>
            <w:pPr>
              <w:pStyle w:val="Normal"/>
              <w:rPr>
                <w:b/>
                <w:sz w:val="18"/>
              </w:rPr>
            </w:pPr>
            <w:r>
              <w:rPr>
                <w:b/>
                <w:sz w:val="18"/>
              </w:rPr>
              <w:t>01/31/01         5.92%</w:t>
            </w:r>
          </w:p>
          <w:p>
            <w:pPr>
              <w:pStyle w:val="Normal"/>
              <w:rPr>
                <w:b/>
                <w:sz w:val="18"/>
              </w:rPr>
            </w:pPr>
            <w:r>
              <w:rPr>
                <w:b/>
                <w:sz w:val="18"/>
              </w:rPr>
            </w:r>
          </w:p>
        </w:tc>
      </w:tr>
      <w:tr>
        <w:trPr>
          <w:trHeight w:val="825" w:hRule="atLeast"/>
        </w:trPr>
        <w:tc>
          <w:tcPr>
            <w:tcW w:w="3438" w:type="dxa"/>
            <w:tcBorders>
              <w:top w:val="single" w:sz="4" w:space="0" w:color="000000"/>
              <w:start w:val="single" w:sz="4" w:space="0" w:color="000000"/>
              <w:bottom w:val="single" w:sz="4" w:space="0" w:color="000000"/>
            </w:tcBorders>
          </w:tcPr>
          <w:p>
            <w:pPr>
              <w:pStyle w:val="Normal"/>
              <w:spacing w:before="120" w:after="120"/>
              <w:rPr>
                <w:b/>
                <w:sz w:val="18"/>
              </w:rPr>
            </w:pPr>
            <w:r>
              <w:rPr>
                <w:b/>
                <w:sz w:val="18"/>
              </w:rPr>
              <w:t>Treasury Obligations Fund (398) Institutional Service Shares</w:t>
            </w:r>
          </w:p>
        </w:tc>
        <w:tc>
          <w:tcPr>
            <w:tcW w:w="1440" w:type="dxa"/>
            <w:tcBorders>
              <w:top w:val="single" w:sz="4" w:space="0" w:color="000000"/>
              <w:bottom w:val="single" w:sz="4" w:space="0" w:color="000000"/>
            </w:tcBorders>
          </w:tcPr>
          <w:p>
            <w:pPr>
              <w:pStyle w:val="Normal"/>
              <w:spacing w:before="120" w:after="120"/>
              <w:rPr>
                <w:b/>
                <w:sz w:val="18"/>
              </w:rPr>
            </w:pPr>
            <w:r>
              <w:rPr>
                <w:b/>
                <w:sz w:val="18"/>
              </w:rPr>
              <w:t>5:00 PM</w:t>
            </w:r>
          </w:p>
        </w:tc>
        <w:tc>
          <w:tcPr>
            <w:tcW w:w="1440" w:type="dxa"/>
            <w:tcBorders>
              <w:top w:val="single" w:sz="4" w:space="0" w:color="000000"/>
              <w:bottom w:val="single" w:sz="4" w:space="0" w:color="000000"/>
            </w:tcBorders>
          </w:tcPr>
          <w:p>
            <w:pPr>
              <w:pStyle w:val="Normal"/>
              <w:spacing w:before="120" w:after="120"/>
              <w:rPr>
                <w:b/>
                <w:sz w:val="18"/>
              </w:rPr>
            </w:pPr>
            <w:r>
              <w:rPr>
                <w:b/>
                <w:sz w:val="18"/>
              </w:rPr>
              <w:t>5:00 PM</w:t>
            </w:r>
          </w:p>
        </w:tc>
        <w:tc>
          <w:tcPr>
            <w:tcW w:w="3420" w:type="dxa"/>
            <w:tcBorders>
              <w:top w:val="single" w:sz="4" w:space="0" w:color="000000"/>
              <w:bottom w:val="single" w:sz="4" w:space="0" w:color="000000"/>
            </w:tcBorders>
          </w:tcPr>
          <w:p>
            <w:pPr>
              <w:pStyle w:val="Normal"/>
              <w:spacing w:before="120" w:after="120"/>
              <w:rPr>
                <w:b/>
                <w:sz w:val="18"/>
              </w:rPr>
            </w:pPr>
            <w:r>
              <w:rPr>
                <w:b/>
                <w:sz w:val="18"/>
              </w:rPr>
              <w:t>Treasuries only/ Treasury Repos</w:t>
            </w:r>
          </w:p>
        </w:tc>
        <w:tc>
          <w:tcPr>
            <w:tcW w:w="1620" w:type="dxa"/>
            <w:tcBorders>
              <w:top w:val="single" w:sz="4" w:space="0" w:color="000000"/>
              <w:bottom w:val="single" w:sz="4" w:space="0" w:color="000000"/>
            </w:tcBorders>
          </w:tcPr>
          <w:p>
            <w:pPr>
              <w:pStyle w:val="Normal"/>
              <w:spacing w:before="120" w:after="120"/>
              <w:rPr>
                <w:b/>
                <w:sz w:val="18"/>
              </w:rPr>
            </w:pPr>
            <w:r>
              <w:rPr>
                <w:b/>
                <w:sz w:val="18"/>
              </w:rPr>
              <w:t>AAAm - S&amp;P</w:t>
              <w:br/>
              <w:t>Aaa – Moody’s</w:t>
            </w:r>
          </w:p>
        </w:tc>
        <w:tc>
          <w:tcPr>
            <w:tcW w:w="2430" w:type="dxa"/>
            <w:tcBorders>
              <w:top w:val="single" w:sz="4" w:space="0" w:color="000000"/>
              <w:bottom w:val="single" w:sz="4" w:space="0" w:color="000000"/>
              <w:end w:val="single" w:sz="4" w:space="0" w:color="000000"/>
            </w:tcBorders>
          </w:tcPr>
          <w:p>
            <w:pPr>
              <w:pStyle w:val="Normal"/>
              <w:snapToGrid w:val="false"/>
              <w:rPr>
                <w:b/>
                <w:sz w:val="18"/>
              </w:rPr>
            </w:pPr>
            <w:r>
              <w:rPr>
                <w:b/>
                <w:sz w:val="18"/>
              </w:rPr>
            </w:r>
          </w:p>
          <w:p>
            <w:pPr>
              <w:pStyle w:val="Normal"/>
              <w:rPr>
                <w:b/>
                <w:sz w:val="18"/>
              </w:rPr>
            </w:pPr>
            <w:r>
              <w:rPr>
                <w:b/>
                <w:sz w:val="18"/>
              </w:rPr>
              <w:t>03/31/01         4.95%</w:t>
            </w:r>
          </w:p>
          <w:p>
            <w:pPr>
              <w:pStyle w:val="Normal"/>
              <w:rPr>
                <w:b/>
                <w:sz w:val="18"/>
              </w:rPr>
            </w:pPr>
            <w:r>
              <w:rPr>
                <w:b/>
                <w:sz w:val="18"/>
              </w:rPr>
              <w:t>02/28/01         5.18%</w:t>
            </w:r>
          </w:p>
          <w:p>
            <w:pPr>
              <w:pStyle w:val="Normal"/>
              <w:rPr>
                <w:b/>
                <w:sz w:val="18"/>
              </w:rPr>
            </w:pPr>
            <w:r>
              <w:rPr>
                <w:b/>
                <w:sz w:val="18"/>
              </w:rPr>
              <w:t>01/31/01         5.62%</w:t>
            </w:r>
          </w:p>
          <w:p>
            <w:pPr>
              <w:pStyle w:val="Normal"/>
              <w:rPr>
                <w:b/>
                <w:sz w:val="18"/>
              </w:rPr>
            </w:pPr>
            <w:r>
              <w:rPr>
                <w:b/>
                <w:sz w:val="18"/>
              </w:rPr>
            </w:r>
          </w:p>
        </w:tc>
      </w:tr>
      <w:tr>
        <w:trPr>
          <w:trHeight w:val="300" w:hRule="atLeast"/>
        </w:trPr>
        <w:tc>
          <w:tcPr>
            <w:tcW w:w="3438" w:type="dxa"/>
            <w:tcBorders>
              <w:top w:val="single" w:sz="4" w:space="0" w:color="000000"/>
              <w:start w:val="single" w:sz="4" w:space="0" w:color="000000"/>
            </w:tcBorders>
          </w:tcPr>
          <w:p>
            <w:pPr>
              <w:pStyle w:val="Normal"/>
              <w:snapToGrid w:val="false"/>
              <w:spacing w:before="120" w:after="120"/>
              <w:rPr>
                <w:b/>
                <w:sz w:val="18"/>
              </w:rPr>
            </w:pPr>
            <w:r>
              <w:rPr>
                <w:b/>
                <w:sz w:val="18"/>
              </w:rPr>
            </w:r>
          </w:p>
        </w:tc>
        <w:tc>
          <w:tcPr>
            <w:tcW w:w="1440" w:type="dxa"/>
            <w:tcBorders>
              <w:top w:val="single" w:sz="4" w:space="0" w:color="000000"/>
            </w:tcBorders>
          </w:tcPr>
          <w:p>
            <w:pPr>
              <w:pStyle w:val="Normal"/>
              <w:snapToGrid w:val="false"/>
              <w:spacing w:before="120" w:after="120"/>
              <w:rPr>
                <w:b/>
                <w:sz w:val="18"/>
              </w:rPr>
            </w:pPr>
            <w:r>
              <w:rPr>
                <w:b/>
                <w:sz w:val="18"/>
              </w:rPr>
            </w:r>
          </w:p>
        </w:tc>
        <w:tc>
          <w:tcPr>
            <w:tcW w:w="1440" w:type="dxa"/>
            <w:tcBorders>
              <w:top w:val="single" w:sz="4" w:space="0" w:color="000000"/>
            </w:tcBorders>
          </w:tcPr>
          <w:p>
            <w:pPr>
              <w:pStyle w:val="Normal"/>
              <w:snapToGrid w:val="false"/>
              <w:spacing w:before="120" w:after="120"/>
              <w:rPr>
                <w:b/>
                <w:sz w:val="18"/>
              </w:rPr>
            </w:pPr>
            <w:r>
              <w:rPr>
                <w:b/>
                <w:sz w:val="18"/>
              </w:rPr>
            </w:r>
          </w:p>
        </w:tc>
        <w:tc>
          <w:tcPr>
            <w:tcW w:w="3420" w:type="dxa"/>
            <w:tcBorders>
              <w:top w:val="single" w:sz="4" w:space="0" w:color="000000"/>
            </w:tcBorders>
          </w:tcPr>
          <w:p>
            <w:pPr>
              <w:pStyle w:val="Normal"/>
              <w:snapToGrid w:val="false"/>
              <w:spacing w:before="120" w:after="120"/>
              <w:rPr>
                <w:b/>
                <w:sz w:val="18"/>
              </w:rPr>
            </w:pPr>
            <w:r>
              <w:rPr>
                <w:b/>
                <w:sz w:val="18"/>
              </w:rPr>
            </w:r>
          </w:p>
        </w:tc>
        <w:tc>
          <w:tcPr>
            <w:tcW w:w="1620" w:type="dxa"/>
            <w:tcBorders>
              <w:top w:val="single" w:sz="4" w:space="0" w:color="000000"/>
            </w:tcBorders>
          </w:tcPr>
          <w:p>
            <w:pPr>
              <w:pStyle w:val="Normal"/>
              <w:snapToGrid w:val="false"/>
              <w:spacing w:before="120" w:after="120"/>
              <w:rPr>
                <w:b/>
                <w:sz w:val="18"/>
              </w:rPr>
            </w:pPr>
            <w:r>
              <w:rPr>
                <w:b/>
                <w:sz w:val="18"/>
              </w:rPr>
            </w:r>
          </w:p>
        </w:tc>
        <w:tc>
          <w:tcPr>
            <w:tcW w:w="2430" w:type="dxa"/>
            <w:tcBorders>
              <w:top w:val="single" w:sz="4" w:space="0" w:color="000000"/>
              <w:end w:val="single" w:sz="4" w:space="0" w:color="000000"/>
            </w:tcBorders>
          </w:tcPr>
          <w:p>
            <w:pPr>
              <w:pStyle w:val="Normal"/>
              <w:snapToGrid w:val="false"/>
              <w:rPr>
                <w:b/>
                <w:sz w:val="18"/>
              </w:rPr>
            </w:pPr>
            <w:r>
              <w:rPr>
                <w:b/>
                <w:sz w:val="18"/>
              </w:rPr>
            </w:r>
          </w:p>
        </w:tc>
      </w:tr>
      <w:tr>
        <w:trPr>
          <w:trHeight w:val="666" w:hRule="atLeast"/>
        </w:trPr>
        <w:tc>
          <w:tcPr>
            <w:tcW w:w="3438" w:type="dxa"/>
            <w:tcBorders>
              <w:start w:val="single" w:sz="6" w:space="0" w:color="000000"/>
              <w:bottom w:val="single" w:sz="6" w:space="0" w:color="000000"/>
            </w:tcBorders>
          </w:tcPr>
          <w:p>
            <w:pPr>
              <w:pStyle w:val="Normal"/>
              <w:spacing w:before="120" w:after="120"/>
              <w:rPr>
                <w:b/>
                <w:sz w:val="18"/>
              </w:rPr>
            </w:pPr>
            <w:r>
              <w:rPr>
                <w:b/>
                <w:sz w:val="18"/>
              </w:rPr>
              <w:t>US Treasury Cash Reserves (632) Institutional Service Shares</w:t>
            </w:r>
          </w:p>
        </w:tc>
        <w:tc>
          <w:tcPr>
            <w:tcW w:w="1440" w:type="dxa"/>
            <w:tcBorders>
              <w:bottom w:val="single" w:sz="6" w:space="0" w:color="000000"/>
            </w:tcBorders>
          </w:tcPr>
          <w:p>
            <w:pPr>
              <w:pStyle w:val="Normal"/>
              <w:spacing w:before="120" w:after="120"/>
              <w:rPr>
                <w:b/>
                <w:sz w:val="18"/>
              </w:rPr>
            </w:pPr>
            <w:r>
              <w:rPr>
                <w:b/>
                <w:sz w:val="18"/>
              </w:rPr>
              <w:t>2:00 PM</w:t>
            </w:r>
          </w:p>
        </w:tc>
        <w:tc>
          <w:tcPr>
            <w:tcW w:w="1440" w:type="dxa"/>
            <w:tcBorders>
              <w:bottom w:val="single" w:sz="6" w:space="0" w:color="000000"/>
            </w:tcBorders>
          </w:tcPr>
          <w:p>
            <w:pPr>
              <w:pStyle w:val="Normal"/>
              <w:spacing w:before="120" w:after="120"/>
              <w:rPr>
                <w:b/>
                <w:sz w:val="18"/>
              </w:rPr>
            </w:pPr>
            <w:r>
              <w:rPr>
                <w:b/>
                <w:sz w:val="18"/>
              </w:rPr>
              <w:t>2:00 PM</w:t>
            </w:r>
          </w:p>
        </w:tc>
        <w:tc>
          <w:tcPr>
            <w:tcW w:w="3420" w:type="dxa"/>
            <w:tcBorders>
              <w:bottom w:val="single" w:sz="6" w:space="0" w:color="000000"/>
            </w:tcBorders>
          </w:tcPr>
          <w:p>
            <w:pPr>
              <w:pStyle w:val="Normal"/>
              <w:spacing w:before="120" w:after="120"/>
              <w:rPr>
                <w:b/>
                <w:sz w:val="18"/>
              </w:rPr>
            </w:pPr>
            <w:r>
              <w:rPr>
                <w:b/>
                <w:sz w:val="18"/>
              </w:rPr>
              <w:t>Treasuries only/ No Repos</w:t>
            </w:r>
          </w:p>
        </w:tc>
        <w:tc>
          <w:tcPr>
            <w:tcW w:w="1620" w:type="dxa"/>
            <w:tcBorders>
              <w:bottom w:val="single" w:sz="6" w:space="0" w:color="000000"/>
            </w:tcBorders>
          </w:tcPr>
          <w:p>
            <w:pPr>
              <w:pStyle w:val="Normal"/>
              <w:spacing w:before="120" w:after="120"/>
              <w:rPr>
                <w:b/>
                <w:sz w:val="18"/>
              </w:rPr>
            </w:pPr>
            <w:r>
              <w:rPr>
                <w:b/>
                <w:sz w:val="18"/>
              </w:rPr>
              <w:t>AAAm - S&amp;P</w:t>
              <w:br/>
              <w:t>Aaa – Moody’s</w:t>
            </w:r>
          </w:p>
        </w:tc>
        <w:tc>
          <w:tcPr>
            <w:tcW w:w="2430" w:type="dxa"/>
            <w:tcBorders>
              <w:bottom w:val="single" w:sz="6" w:space="0" w:color="000000"/>
              <w:end w:val="single" w:sz="6" w:space="0" w:color="000000"/>
            </w:tcBorders>
          </w:tcPr>
          <w:p>
            <w:pPr>
              <w:pStyle w:val="Normal"/>
              <w:rPr>
                <w:b/>
                <w:sz w:val="18"/>
              </w:rPr>
            </w:pPr>
            <w:r>
              <w:rPr>
                <w:b/>
                <w:sz w:val="18"/>
              </w:rPr>
              <w:t>03/31/01         4.86%</w:t>
            </w:r>
          </w:p>
          <w:p>
            <w:pPr>
              <w:pStyle w:val="Normal"/>
              <w:rPr>
                <w:b/>
                <w:sz w:val="18"/>
              </w:rPr>
            </w:pPr>
            <w:r>
              <w:rPr>
                <w:b/>
                <w:sz w:val="18"/>
              </w:rPr>
              <w:t>02/28/01         5.29%</w:t>
            </w:r>
          </w:p>
          <w:p>
            <w:pPr>
              <w:pStyle w:val="Normal"/>
              <w:rPr>
                <w:b/>
                <w:sz w:val="18"/>
              </w:rPr>
            </w:pPr>
            <w:r>
              <w:rPr>
                <w:b/>
                <w:sz w:val="18"/>
              </w:rPr>
              <w:t>01/31/01         5.60%</w:t>
            </w:r>
          </w:p>
          <w:p>
            <w:pPr>
              <w:pStyle w:val="Normal"/>
              <w:rPr>
                <w:b/>
                <w:sz w:val="18"/>
              </w:rPr>
            </w:pPr>
            <w:r>
              <w:rPr>
                <w:b/>
                <w:sz w:val="18"/>
              </w:rPr>
            </w:r>
          </w:p>
        </w:tc>
      </w:tr>
      <w:tr>
        <w:trPr/>
        <w:tc>
          <w:tcPr>
            <w:tcW w:w="3438" w:type="dxa"/>
            <w:tcBorders>
              <w:start w:val="single" w:sz="6" w:space="0" w:color="000000"/>
            </w:tcBorders>
          </w:tcPr>
          <w:p>
            <w:pPr>
              <w:pStyle w:val="Normal"/>
              <w:spacing w:before="120" w:after="120"/>
              <w:rPr>
                <w:b/>
                <w:sz w:val="18"/>
              </w:rPr>
            </w:pPr>
            <w:r>
              <w:rPr>
                <w:b/>
                <w:sz w:val="18"/>
              </w:rPr>
              <w:t xml:space="preserve">Government Obligations Fund (395) Institutional Service Shares </w:t>
            </w:r>
          </w:p>
        </w:tc>
        <w:tc>
          <w:tcPr>
            <w:tcW w:w="1440" w:type="dxa"/>
            <w:tcBorders>
              <w:bottom w:val="single" w:sz="6" w:space="0" w:color="000000"/>
            </w:tcBorders>
          </w:tcPr>
          <w:p>
            <w:pPr>
              <w:pStyle w:val="Normal"/>
              <w:spacing w:before="120" w:after="120"/>
              <w:rPr>
                <w:b/>
                <w:sz w:val="18"/>
              </w:rPr>
            </w:pPr>
            <w:r>
              <w:rPr>
                <w:b/>
                <w:sz w:val="18"/>
              </w:rPr>
              <w:t>5:00 PM</w:t>
            </w:r>
          </w:p>
        </w:tc>
        <w:tc>
          <w:tcPr>
            <w:tcW w:w="1440" w:type="dxa"/>
            <w:tcBorders>
              <w:bottom w:val="single" w:sz="6" w:space="0" w:color="000000"/>
            </w:tcBorders>
          </w:tcPr>
          <w:p>
            <w:pPr>
              <w:pStyle w:val="Normal"/>
              <w:spacing w:before="120" w:after="120"/>
              <w:rPr>
                <w:b/>
                <w:sz w:val="18"/>
              </w:rPr>
            </w:pPr>
            <w:r>
              <w:rPr>
                <w:b/>
                <w:sz w:val="18"/>
              </w:rPr>
              <w:t>5:00 PM</w:t>
            </w:r>
          </w:p>
        </w:tc>
        <w:tc>
          <w:tcPr>
            <w:tcW w:w="3420" w:type="dxa"/>
            <w:tcBorders>
              <w:bottom w:val="single" w:sz="6" w:space="0" w:color="000000"/>
            </w:tcBorders>
          </w:tcPr>
          <w:p>
            <w:pPr>
              <w:pStyle w:val="Normal"/>
              <w:spacing w:before="120" w:after="120"/>
              <w:rPr>
                <w:b/>
                <w:sz w:val="18"/>
              </w:rPr>
            </w:pPr>
            <w:r>
              <w:rPr>
                <w:b/>
                <w:sz w:val="18"/>
              </w:rPr>
              <w:t>Treasuries/Agencies/ Repos</w:t>
            </w:r>
          </w:p>
        </w:tc>
        <w:tc>
          <w:tcPr>
            <w:tcW w:w="1620" w:type="dxa"/>
            <w:tcBorders>
              <w:bottom w:val="single" w:sz="6" w:space="0" w:color="000000"/>
            </w:tcBorders>
          </w:tcPr>
          <w:p>
            <w:pPr>
              <w:pStyle w:val="Normal"/>
              <w:spacing w:before="120" w:after="120"/>
              <w:rPr>
                <w:b/>
                <w:sz w:val="18"/>
              </w:rPr>
            </w:pPr>
            <w:r>
              <w:rPr>
                <w:b/>
                <w:sz w:val="18"/>
              </w:rPr>
              <w:t>AAAm - S&amp;P</w:t>
              <w:br/>
              <w:t>Aaa – Moody’s</w:t>
            </w:r>
          </w:p>
        </w:tc>
        <w:tc>
          <w:tcPr>
            <w:tcW w:w="2430" w:type="dxa"/>
            <w:tcBorders>
              <w:end w:val="single" w:sz="6" w:space="0" w:color="000000"/>
            </w:tcBorders>
          </w:tcPr>
          <w:p>
            <w:pPr>
              <w:pStyle w:val="Normal"/>
              <w:snapToGrid w:val="false"/>
              <w:rPr>
                <w:b/>
                <w:sz w:val="18"/>
              </w:rPr>
            </w:pPr>
            <w:r>
              <w:rPr>
                <w:b/>
                <w:sz w:val="18"/>
              </w:rPr>
            </w:r>
          </w:p>
          <w:p>
            <w:pPr>
              <w:pStyle w:val="Normal"/>
              <w:rPr>
                <w:b/>
                <w:sz w:val="18"/>
              </w:rPr>
            </w:pPr>
            <w:r>
              <w:rPr>
                <w:b/>
                <w:sz w:val="18"/>
              </w:rPr>
              <w:t>03/31/01         5.02%</w:t>
            </w:r>
          </w:p>
          <w:p>
            <w:pPr>
              <w:pStyle w:val="Normal"/>
              <w:rPr>
                <w:b/>
                <w:sz w:val="18"/>
              </w:rPr>
            </w:pPr>
            <w:r>
              <w:rPr>
                <w:b/>
                <w:sz w:val="18"/>
              </w:rPr>
              <w:t>02/28/01         5.33%</w:t>
            </w:r>
          </w:p>
          <w:p>
            <w:pPr>
              <w:pStyle w:val="Normal"/>
              <w:rPr>
                <w:b/>
                <w:sz w:val="18"/>
              </w:rPr>
            </w:pPr>
            <w:r>
              <w:rPr>
                <w:b/>
                <w:sz w:val="18"/>
              </w:rPr>
              <w:t>01/31/01         5.78%</w:t>
            </w:r>
          </w:p>
          <w:p>
            <w:pPr>
              <w:pStyle w:val="Normal"/>
              <w:rPr>
                <w:b/>
                <w:sz w:val="18"/>
              </w:rPr>
            </w:pPr>
            <w:r>
              <w:rPr>
                <w:b/>
                <w:sz w:val="18"/>
              </w:rPr>
            </w:r>
          </w:p>
          <w:p>
            <w:pPr>
              <w:pStyle w:val="Normal"/>
              <w:rPr>
                <w:b/>
                <w:sz w:val="18"/>
              </w:rPr>
            </w:pPr>
            <w:r>
              <w:rPr>
                <w:b/>
                <w:sz w:val="18"/>
              </w:rPr>
            </w:r>
          </w:p>
          <w:p>
            <w:pPr>
              <w:pStyle w:val="Normal"/>
              <w:rPr>
                <w:b/>
                <w:sz w:val="18"/>
              </w:rPr>
            </w:pPr>
            <w:r>
              <w:rPr>
                <w:b/>
                <w:sz w:val="18"/>
              </w:rPr>
            </w:r>
          </w:p>
        </w:tc>
      </w:tr>
      <w:tr>
        <w:trPr/>
        <w:tc>
          <w:tcPr>
            <w:tcW w:w="3438" w:type="dxa"/>
            <w:tcBorders>
              <w:top w:val="single" w:sz="6" w:space="0" w:color="000000"/>
              <w:bottom w:val="single" w:sz="6" w:space="0" w:color="000000"/>
            </w:tcBorders>
          </w:tcPr>
          <w:p>
            <w:pPr>
              <w:pStyle w:val="Normal"/>
              <w:snapToGrid w:val="false"/>
              <w:spacing w:before="120" w:after="120"/>
              <w:rPr>
                <w:b/>
                <w:i/>
                <w:i/>
                <w:sz w:val="18"/>
              </w:rPr>
            </w:pPr>
            <w:r>
              <w:rPr>
                <w:b/>
                <w:i/>
                <w:sz w:val="18"/>
              </w:rPr>
            </w:r>
          </w:p>
        </w:tc>
        <w:tc>
          <w:tcPr>
            <w:tcW w:w="1440" w:type="dxa"/>
            <w:tcBorders>
              <w:top w:val="single" w:sz="6" w:space="0" w:color="000000"/>
            </w:tcBorders>
          </w:tcPr>
          <w:p>
            <w:pPr>
              <w:pStyle w:val="Normal"/>
              <w:snapToGrid w:val="false"/>
              <w:spacing w:before="120" w:after="120"/>
              <w:rPr>
                <w:b/>
                <w:i/>
                <w:i/>
                <w:sz w:val="18"/>
              </w:rPr>
            </w:pPr>
            <w:r>
              <w:rPr>
                <w:b/>
                <w:i/>
                <w:sz w:val="18"/>
              </w:rPr>
            </w:r>
          </w:p>
        </w:tc>
        <w:tc>
          <w:tcPr>
            <w:tcW w:w="1440" w:type="dxa"/>
            <w:tcBorders>
              <w:top w:val="single" w:sz="6" w:space="0" w:color="000000"/>
            </w:tcBorders>
          </w:tcPr>
          <w:p>
            <w:pPr>
              <w:pStyle w:val="Normal"/>
              <w:snapToGrid w:val="false"/>
              <w:spacing w:before="120" w:after="120"/>
              <w:rPr>
                <w:b/>
                <w:i/>
                <w:i/>
                <w:sz w:val="18"/>
              </w:rPr>
            </w:pPr>
            <w:r>
              <w:rPr>
                <w:b/>
                <w:i/>
                <w:sz w:val="18"/>
              </w:rPr>
            </w:r>
          </w:p>
        </w:tc>
        <w:tc>
          <w:tcPr>
            <w:tcW w:w="3420" w:type="dxa"/>
            <w:tcBorders>
              <w:top w:val="single" w:sz="6" w:space="0" w:color="000000"/>
            </w:tcBorders>
          </w:tcPr>
          <w:p>
            <w:pPr>
              <w:pStyle w:val="Normal"/>
              <w:snapToGrid w:val="false"/>
              <w:spacing w:before="120" w:after="120"/>
              <w:rPr>
                <w:b/>
                <w:i/>
                <w:i/>
                <w:sz w:val="18"/>
              </w:rPr>
            </w:pPr>
            <w:r>
              <w:rPr>
                <w:b/>
                <w:i/>
                <w:sz w:val="18"/>
              </w:rPr>
            </w:r>
          </w:p>
        </w:tc>
        <w:tc>
          <w:tcPr>
            <w:tcW w:w="1620" w:type="dxa"/>
            <w:tcBorders>
              <w:top w:val="single" w:sz="6" w:space="0" w:color="000000"/>
            </w:tcBorders>
          </w:tcPr>
          <w:p>
            <w:pPr>
              <w:pStyle w:val="Normal"/>
              <w:snapToGrid w:val="false"/>
              <w:spacing w:before="120" w:after="120"/>
              <w:rPr>
                <w:b/>
                <w:i/>
                <w:i/>
                <w:sz w:val="18"/>
              </w:rPr>
            </w:pPr>
            <w:r>
              <w:rPr>
                <w:b/>
                <w:i/>
                <w:sz w:val="18"/>
              </w:rPr>
            </w:r>
          </w:p>
        </w:tc>
        <w:tc>
          <w:tcPr>
            <w:tcW w:w="2430" w:type="dxa"/>
            <w:tcBorders>
              <w:top w:val="single" w:sz="6" w:space="0" w:color="000000"/>
              <w:bottom w:val="single" w:sz="6" w:space="0" w:color="000000"/>
            </w:tcBorders>
          </w:tcPr>
          <w:p>
            <w:pPr>
              <w:pStyle w:val="Normal"/>
              <w:snapToGrid w:val="false"/>
              <w:rPr>
                <w:b/>
                <w:i/>
                <w:i/>
                <w:sz w:val="18"/>
              </w:rPr>
            </w:pPr>
            <w:r>
              <w:rPr>
                <w:b/>
                <w:i/>
                <w:sz w:val="18"/>
              </w:rPr>
            </w:r>
          </w:p>
        </w:tc>
      </w:tr>
      <w:tr>
        <w:trPr/>
        <w:tc>
          <w:tcPr>
            <w:tcW w:w="3438" w:type="dxa"/>
            <w:tcBorders>
              <w:start w:val="single" w:sz="6" w:space="0" w:color="000000"/>
            </w:tcBorders>
          </w:tcPr>
          <w:p>
            <w:pPr>
              <w:pStyle w:val="Normal"/>
              <w:spacing w:before="120" w:after="120"/>
              <w:rPr>
                <w:b/>
                <w:i/>
                <w:i/>
                <w:sz w:val="18"/>
              </w:rPr>
            </w:pPr>
            <w:r>
              <w:rPr>
                <w:b/>
                <w:i/>
                <w:sz w:val="18"/>
              </w:rPr>
              <w:t>GOLDMAN SACHS</w:t>
            </w:r>
          </w:p>
        </w:tc>
        <w:tc>
          <w:tcPr>
            <w:tcW w:w="1440" w:type="dxa"/>
            <w:tcBorders>
              <w:top w:val="single" w:sz="6" w:space="0" w:color="000000"/>
            </w:tcBorders>
          </w:tcPr>
          <w:p>
            <w:pPr>
              <w:pStyle w:val="Normal"/>
              <w:spacing w:before="120" w:after="120"/>
              <w:rPr>
                <w:b/>
                <w:i/>
                <w:i/>
                <w:sz w:val="18"/>
              </w:rPr>
            </w:pPr>
            <w:r>
              <w:rPr>
                <w:b/>
                <w:i/>
                <w:sz w:val="18"/>
              </w:rPr>
              <w:t>Purchase Deadline</w:t>
            </w:r>
          </w:p>
        </w:tc>
        <w:tc>
          <w:tcPr>
            <w:tcW w:w="1440" w:type="dxa"/>
            <w:tcBorders>
              <w:top w:val="single" w:sz="6" w:space="0" w:color="000000"/>
            </w:tcBorders>
          </w:tcPr>
          <w:p>
            <w:pPr>
              <w:pStyle w:val="Normal"/>
              <w:spacing w:before="120" w:after="120"/>
              <w:rPr>
                <w:b/>
                <w:i/>
                <w:i/>
                <w:sz w:val="18"/>
              </w:rPr>
            </w:pPr>
            <w:r>
              <w:rPr>
                <w:b/>
                <w:i/>
                <w:sz w:val="18"/>
              </w:rPr>
              <w:t>Redemption Deadline</w:t>
            </w:r>
          </w:p>
        </w:tc>
        <w:tc>
          <w:tcPr>
            <w:tcW w:w="3420" w:type="dxa"/>
            <w:tcBorders>
              <w:top w:val="single" w:sz="6" w:space="0" w:color="000000"/>
            </w:tcBorders>
          </w:tcPr>
          <w:p>
            <w:pPr>
              <w:pStyle w:val="Normal"/>
              <w:spacing w:before="120" w:after="120"/>
              <w:rPr>
                <w:b/>
                <w:i/>
                <w:i/>
                <w:sz w:val="18"/>
              </w:rPr>
            </w:pPr>
            <w:r>
              <w:rPr>
                <w:b/>
                <w:i/>
                <w:sz w:val="18"/>
              </w:rPr>
              <w:t>Portfolio Composition</w:t>
            </w:r>
          </w:p>
        </w:tc>
        <w:tc>
          <w:tcPr>
            <w:tcW w:w="1620" w:type="dxa"/>
            <w:tcBorders>
              <w:top w:val="single" w:sz="6" w:space="0" w:color="000000"/>
            </w:tcBorders>
          </w:tcPr>
          <w:p>
            <w:pPr>
              <w:pStyle w:val="Normal"/>
              <w:spacing w:before="120" w:after="120"/>
              <w:rPr>
                <w:b/>
                <w:i/>
                <w:i/>
                <w:sz w:val="18"/>
              </w:rPr>
            </w:pPr>
            <w:r>
              <w:rPr>
                <w:b/>
                <w:i/>
                <w:sz w:val="18"/>
              </w:rPr>
              <w:t>Rating(s)</w:t>
            </w:r>
          </w:p>
        </w:tc>
        <w:tc>
          <w:tcPr>
            <w:tcW w:w="2430" w:type="dxa"/>
            <w:tcBorders>
              <w:end w:val="single" w:sz="6" w:space="0" w:color="000000"/>
            </w:tcBorders>
          </w:tcPr>
          <w:p>
            <w:pPr>
              <w:pStyle w:val="Normal"/>
              <w:rPr>
                <w:b/>
                <w:i/>
                <w:i/>
                <w:sz w:val="18"/>
              </w:rPr>
            </w:pPr>
            <w:r>
              <w:rPr>
                <w:b/>
                <w:i/>
                <w:sz w:val="18"/>
              </w:rPr>
              <w:t>30-Day Net Yields</w:t>
            </w:r>
          </w:p>
        </w:tc>
      </w:tr>
      <w:tr>
        <w:trPr/>
        <w:tc>
          <w:tcPr>
            <w:tcW w:w="3438" w:type="dxa"/>
            <w:tcBorders>
              <w:top w:val="single" w:sz="6" w:space="0" w:color="000000"/>
              <w:start w:val="single" w:sz="6" w:space="0" w:color="000000"/>
              <w:bottom w:val="single" w:sz="6" w:space="0" w:color="000000"/>
            </w:tcBorders>
          </w:tcPr>
          <w:p>
            <w:pPr>
              <w:pStyle w:val="Normal"/>
              <w:spacing w:before="120" w:after="120"/>
              <w:rPr>
                <w:b/>
                <w:sz w:val="18"/>
              </w:rPr>
            </w:pPr>
            <w:r>
              <w:rPr>
                <w:b/>
                <w:sz w:val="18"/>
              </w:rPr>
              <w:t>FS Treasury Obligations Fund Administration Class (469)</w:t>
            </w:r>
          </w:p>
        </w:tc>
        <w:tc>
          <w:tcPr>
            <w:tcW w:w="1440" w:type="dxa"/>
            <w:tcBorders>
              <w:top w:val="single" w:sz="6" w:space="0" w:color="000000"/>
              <w:bottom w:val="single" w:sz="6" w:space="0" w:color="000000"/>
            </w:tcBorders>
          </w:tcPr>
          <w:p>
            <w:pPr>
              <w:pStyle w:val="Normal"/>
              <w:spacing w:before="120" w:after="120"/>
              <w:rPr>
                <w:b/>
                <w:sz w:val="18"/>
              </w:rPr>
            </w:pPr>
            <w:r>
              <w:rPr>
                <w:b/>
                <w:sz w:val="18"/>
              </w:rPr>
              <w:t>5:00 PM</w:t>
            </w:r>
          </w:p>
        </w:tc>
        <w:tc>
          <w:tcPr>
            <w:tcW w:w="1440" w:type="dxa"/>
            <w:tcBorders>
              <w:top w:val="single" w:sz="6" w:space="0" w:color="000000"/>
              <w:bottom w:val="single" w:sz="6" w:space="0" w:color="000000"/>
            </w:tcBorders>
          </w:tcPr>
          <w:p>
            <w:pPr>
              <w:pStyle w:val="Normal"/>
              <w:spacing w:before="120" w:after="120"/>
              <w:rPr>
                <w:b/>
                <w:sz w:val="18"/>
              </w:rPr>
            </w:pPr>
            <w:r>
              <w:rPr>
                <w:b/>
                <w:sz w:val="18"/>
              </w:rPr>
              <w:t>5:00 PM</w:t>
            </w:r>
          </w:p>
        </w:tc>
        <w:tc>
          <w:tcPr>
            <w:tcW w:w="3420" w:type="dxa"/>
            <w:tcBorders>
              <w:top w:val="single" w:sz="6" w:space="0" w:color="000000"/>
              <w:bottom w:val="single" w:sz="6" w:space="0" w:color="000000"/>
            </w:tcBorders>
          </w:tcPr>
          <w:p>
            <w:pPr>
              <w:pStyle w:val="Normal"/>
              <w:spacing w:before="120" w:after="120"/>
              <w:rPr>
                <w:b/>
                <w:sz w:val="18"/>
              </w:rPr>
            </w:pPr>
            <w:r>
              <w:rPr>
                <w:b/>
                <w:sz w:val="18"/>
              </w:rPr>
              <w:t>U.S. Treasury securities; Repos</w:t>
            </w:r>
          </w:p>
        </w:tc>
        <w:tc>
          <w:tcPr>
            <w:tcW w:w="1620" w:type="dxa"/>
            <w:tcBorders>
              <w:top w:val="single" w:sz="6" w:space="0" w:color="000000"/>
              <w:bottom w:val="single" w:sz="6" w:space="0" w:color="000000"/>
            </w:tcBorders>
          </w:tcPr>
          <w:p>
            <w:pPr>
              <w:pStyle w:val="Normal"/>
              <w:spacing w:before="120" w:after="120"/>
              <w:rPr>
                <w:b/>
                <w:sz w:val="18"/>
              </w:rPr>
            </w:pPr>
            <w:r>
              <w:rPr>
                <w:b/>
                <w:sz w:val="18"/>
              </w:rPr>
              <w:t>AAAm - S&amp;P</w:t>
              <w:br/>
              <w:t>Aaa - Moody’s</w:t>
            </w:r>
          </w:p>
        </w:tc>
        <w:tc>
          <w:tcPr>
            <w:tcW w:w="2430" w:type="dxa"/>
            <w:tcBorders>
              <w:top w:val="single" w:sz="6" w:space="0" w:color="000000"/>
              <w:bottom w:val="single" w:sz="6" w:space="0" w:color="000000"/>
              <w:end w:val="single" w:sz="6" w:space="0" w:color="000000"/>
            </w:tcBorders>
          </w:tcPr>
          <w:p>
            <w:pPr>
              <w:pStyle w:val="Normal"/>
              <w:snapToGrid w:val="false"/>
              <w:rPr>
                <w:b/>
                <w:sz w:val="18"/>
              </w:rPr>
            </w:pPr>
            <w:r>
              <w:rPr>
                <w:b/>
                <w:sz w:val="18"/>
              </w:rPr>
            </w:r>
          </w:p>
          <w:p>
            <w:pPr>
              <w:pStyle w:val="Normal"/>
              <w:rPr>
                <w:b/>
                <w:sz w:val="18"/>
              </w:rPr>
            </w:pPr>
            <w:r>
              <w:rPr>
                <w:b/>
                <w:sz w:val="18"/>
              </w:rPr>
              <w:t>03/31/01         4.94%</w:t>
            </w:r>
          </w:p>
          <w:p>
            <w:pPr>
              <w:pStyle w:val="Normal"/>
              <w:rPr>
                <w:b/>
                <w:sz w:val="18"/>
              </w:rPr>
            </w:pPr>
            <w:r>
              <w:rPr>
                <w:b/>
                <w:sz w:val="18"/>
              </w:rPr>
              <w:t>02/28/01         5.17%</w:t>
            </w:r>
          </w:p>
          <w:p>
            <w:pPr>
              <w:pStyle w:val="Normal"/>
              <w:rPr>
                <w:b/>
                <w:sz w:val="18"/>
              </w:rPr>
            </w:pPr>
            <w:r>
              <w:rPr>
                <w:b/>
                <w:sz w:val="18"/>
              </w:rPr>
              <w:t>01/31/01         5.66%</w:t>
            </w:r>
          </w:p>
          <w:p>
            <w:pPr>
              <w:pStyle w:val="Normal"/>
              <w:rPr>
                <w:b/>
                <w:sz w:val="18"/>
              </w:rPr>
            </w:pPr>
            <w:r>
              <w:rPr>
                <w:b/>
                <w:sz w:val="18"/>
              </w:rPr>
            </w:r>
          </w:p>
        </w:tc>
      </w:tr>
      <w:tr>
        <w:trPr/>
        <w:tc>
          <w:tcPr>
            <w:tcW w:w="3438" w:type="dxa"/>
            <w:tcBorders>
              <w:start w:val="single" w:sz="6" w:space="0" w:color="000000"/>
            </w:tcBorders>
          </w:tcPr>
          <w:p>
            <w:pPr>
              <w:pStyle w:val="Normal"/>
              <w:spacing w:before="120" w:after="120"/>
              <w:rPr>
                <w:b/>
                <w:sz w:val="18"/>
              </w:rPr>
            </w:pPr>
            <w:r>
              <w:rPr>
                <w:b/>
                <w:sz w:val="18"/>
              </w:rPr>
              <w:t>FS Treasury Instruments Fund Administration Class (524)</w:t>
            </w:r>
          </w:p>
        </w:tc>
        <w:tc>
          <w:tcPr>
            <w:tcW w:w="1440" w:type="dxa"/>
            <w:tcBorders/>
          </w:tcPr>
          <w:p>
            <w:pPr>
              <w:pStyle w:val="Normal"/>
              <w:spacing w:before="120" w:after="120"/>
              <w:rPr>
                <w:b/>
                <w:sz w:val="18"/>
              </w:rPr>
            </w:pPr>
            <w:r>
              <w:rPr>
                <w:b/>
                <w:sz w:val="18"/>
              </w:rPr>
              <w:t>3:00 PM</w:t>
            </w:r>
          </w:p>
        </w:tc>
        <w:tc>
          <w:tcPr>
            <w:tcW w:w="1440" w:type="dxa"/>
            <w:tcBorders/>
          </w:tcPr>
          <w:p>
            <w:pPr>
              <w:pStyle w:val="Normal"/>
              <w:spacing w:before="120" w:after="120"/>
              <w:rPr>
                <w:b/>
                <w:sz w:val="18"/>
              </w:rPr>
            </w:pPr>
            <w:r>
              <w:rPr>
                <w:b/>
                <w:sz w:val="18"/>
              </w:rPr>
              <w:t>3:00 PM</w:t>
            </w:r>
          </w:p>
        </w:tc>
        <w:tc>
          <w:tcPr>
            <w:tcW w:w="3420" w:type="dxa"/>
            <w:tcBorders/>
          </w:tcPr>
          <w:p>
            <w:pPr>
              <w:pStyle w:val="Normal"/>
              <w:spacing w:before="120" w:after="120"/>
              <w:rPr>
                <w:b/>
                <w:sz w:val="18"/>
              </w:rPr>
            </w:pPr>
            <w:r>
              <w:rPr>
                <w:b/>
                <w:sz w:val="18"/>
              </w:rPr>
              <w:t>US Treasuries Securities</w:t>
            </w:r>
          </w:p>
        </w:tc>
        <w:tc>
          <w:tcPr>
            <w:tcW w:w="1620" w:type="dxa"/>
            <w:tcBorders/>
          </w:tcPr>
          <w:p>
            <w:pPr>
              <w:pStyle w:val="Normal"/>
              <w:spacing w:before="120" w:after="120"/>
              <w:rPr>
                <w:b/>
                <w:sz w:val="18"/>
              </w:rPr>
            </w:pPr>
            <w:r>
              <w:rPr>
                <w:b/>
                <w:sz w:val="18"/>
              </w:rPr>
              <w:t>AAAm - S&amp;P</w:t>
              <w:br/>
              <w:t>Aaa - Moody’s</w:t>
            </w:r>
          </w:p>
        </w:tc>
        <w:tc>
          <w:tcPr>
            <w:tcW w:w="2430" w:type="dxa"/>
            <w:tcBorders>
              <w:end w:val="single" w:sz="6" w:space="0" w:color="000000"/>
            </w:tcBorders>
          </w:tcPr>
          <w:p>
            <w:pPr>
              <w:pStyle w:val="Normal"/>
              <w:snapToGrid w:val="false"/>
              <w:rPr>
                <w:b/>
                <w:sz w:val="18"/>
              </w:rPr>
            </w:pPr>
            <w:r>
              <w:rPr>
                <w:b/>
                <w:sz w:val="18"/>
              </w:rPr>
            </w:r>
          </w:p>
          <w:p>
            <w:pPr>
              <w:pStyle w:val="Normal"/>
              <w:rPr>
                <w:b/>
                <w:sz w:val="18"/>
              </w:rPr>
            </w:pPr>
            <w:r>
              <w:rPr>
                <w:b/>
                <w:sz w:val="18"/>
              </w:rPr>
              <w:t>03/31/01         4.59%</w:t>
            </w:r>
          </w:p>
          <w:p>
            <w:pPr>
              <w:pStyle w:val="Normal"/>
              <w:rPr>
                <w:b/>
                <w:sz w:val="18"/>
              </w:rPr>
            </w:pPr>
            <w:r>
              <w:rPr>
                <w:b/>
                <w:sz w:val="18"/>
              </w:rPr>
              <w:t>02/28/01         5.22%</w:t>
            </w:r>
          </w:p>
          <w:p>
            <w:pPr>
              <w:pStyle w:val="Normal"/>
              <w:rPr>
                <w:b/>
                <w:sz w:val="18"/>
              </w:rPr>
            </w:pPr>
            <w:r>
              <w:rPr>
                <w:b/>
                <w:sz w:val="18"/>
              </w:rPr>
              <w:t>01/31/01         5.66%</w:t>
            </w:r>
          </w:p>
          <w:p>
            <w:pPr>
              <w:pStyle w:val="Normal"/>
              <w:rPr>
                <w:b/>
                <w:sz w:val="18"/>
              </w:rPr>
            </w:pPr>
            <w:r>
              <w:rPr>
                <w:b/>
                <w:sz w:val="18"/>
              </w:rPr>
            </w:r>
          </w:p>
        </w:tc>
      </w:tr>
      <w:tr>
        <w:trPr/>
        <w:tc>
          <w:tcPr>
            <w:tcW w:w="3438" w:type="dxa"/>
            <w:tcBorders>
              <w:top w:val="single" w:sz="6" w:space="0" w:color="000000"/>
              <w:start w:val="single" w:sz="6" w:space="0" w:color="000000"/>
              <w:bottom w:val="single" w:sz="6" w:space="0" w:color="000000"/>
            </w:tcBorders>
          </w:tcPr>
          <w:p>
            <w:pPr>
              <w:pStyle w:val="Normal"/>
              <w:spacing w:before="120" w:after="120"/>
              <w:rPr>
                <w:b/>
                <w:sz w:val="18"/>
              </w:rPr>
            </w:pPr>
            <w:r>
              <w:rPr>
                <w:b/>
                <w:sz w:val="18"/>
              </w:rPr>
              <w:t>FS Federal Fund Administration Class (521)</w:t>
            </w:r>
          </w:p>
        </w:tc>
        <w:tc>
          <w:tcPr>
            <w:tcW w:w="1440" w:type="dxa"/>
            <w:tcBorders>
              <w:top w:val="single" w:sz="6" w:space="0" w:color="000000"/>
              <w:bottom w:val="single" w:sz="6" w:space="0" w:color="000000"/>
            </w:tcBorders>
          </w:tcPr>
          <w:p>
            <w:pPr>
              <w:pStyle w:val="Normal"/>
              <w:spacing w:before="120" w:after="120"/>
              <w:rPr>
                <w:b/>
                <w:sz w:val="18"/>
              </w:rPr>
            </w:pPr>
            <w:r>
              <w:rPr>
                <w:b/>
                <w:sz w:val="18"/>
              </w:rPr>
              <w:t>3:00 PM</w:t>
            </w:r>
          </w:p>
        </w:tc>
        <w:tc>
          <w:tcPr>
            <w:tcW w:w="1440" w:type="dxa"/>
            <w:tcBorders>
              <w:top w:val="single" w:sz="6" w:space="0" w:color="000000"/>
              <w:bottom w:val="single" w:sz="6" w:space="0" w:color="000000"/>
            </w:tcBorders>
          </w:tcPr>
          <w:p>
            <w:pPr>
              <w:pStyle w:val="Normal"/>
              <w:spacing w:before="120" w:after="120"/>
              <w:rPr>
                <w:b/>
                <w:sz w:val="18"/>
              </w:rPr>
            </w:pPr>
            <w:r>
              <w:rPr>
                <w:b/>
                <w:sz w:val="18"/>
              </w:rPr>
              <w:t>3:00 PM</w:t>
            </w:r>
          </w:p>
        </w:tc>
        <w:tc>
          <w:tcPr>
            <w:tcW w:w="3420" w:type="dxa"/>
            <w:tcBorders>
              <w:top w:val="single" w:sz="6" w:space="0" w:color="000000"/>
              <w:bottom w:val="single" w:sz="6" w:space="0" w:color="000000"/>
            </w:tcBorders>
          </w:tcPr>
          <w:p>
            <w:pPr>
              <w:pStyle w:val="Normal"/>
              <w:spacing w:before="120" w:after="120"/>
              <w:rPr>
                <w:b/>
                <w:sz w:val="18"/>
              </w:rPr>
            </w:pPr>
            <w:r>
              <w:rPr>
                <w:b/>
                <w:sz w:val="18"/>
              </w:rPr>
              <w:t>US Treasury and government agency obligations</w:t>
            </w:r>
          </w:p>
        </w:tc>
        <w:tc>
          <w:tcPr>
            <w:tcW w:w="1620" w:type="dxa"/>
            <w:tcBorders>
              <w:top w:val="single" w:sz="6" w:space="0" w:color="000000"/>
              <w:bottom w:val="single" w:sz="6" w:space="0" w:color="000000"/>
            </w:tcBorders>
          </w:tcPr>
          <w:p>
            <w:pPr>
              <w:pStyle w:val="Normal"/>
              <w:spacing w:before="120" w:after="120"/>
              <w:rPr>
                <w:b/>
                <w:sz w:val="18"/>
              </w:rPr>
            </w:pPr>
            <w:r>
              <w:rPr>
                <w:b/>
                <w:sz w:val="18"/>
              </w:rPr>
              <w:t>AAAm - S&amp;P</w:t>
              <w:br/>
              <w:t>Aaa - Moody’s</w:t>
            </w:r>
          </w:p>
        </w:tc>
        <w:tc>
          <w:tcPr>
            <w:tcW w:w="2430" w:type="dxa"/>
            <w:tcBorders>
              <w:top w:val="single" w:sz="6" w:space="0" w:color="000000"/>
              <w:bottom w:val="single" w:sz="6" w:space="0" w:color="000000"/>
              <w:end w:val="single" w:sz="6" w:space="0" w:color="000000"/>
            </w:tcBorders>
          </w:tcPr>
          <w:p>
            <w:pPr>
              <w:pStyle w:val="Normal"/>
              <w:snapToGrid w:val="false"/>
              <w:rPr>
                <w:b/>
                <w:sz w:val="18"/>
              </w:rPr>
            </w:pPr>
            <w:r>
              <w:rPr>
                <w:b/>
                <w:sz w:val="18"/>
              </w:rPr>
            </w:r>
          </w:p>
          <w:p>
            <w:pPr>
              <w:pStyle w:val="Normal"/>
              <w:rPr>
                <w:b/>
                <w:sz w:val="18"/>
              </w:rPr>
            </w:pPr>
            <w:r>
              <w:rPr>
                <w:b/>
                <w:sz w:val="18"/>
              </w:rPr>
              <w:t>03/31/01         4.94%</w:t>
            </w:r>
          </w:p>
          <w:p>
            <w:pPr>
              <w:pStyle w:val="Normal"/>
              <w:rPr>
                <w:b/>
                <w:sz w:val="18"/>
              </w:rPr>
            </w:pPr>
            <w:r>
              <w:rPr>
                <w:b/>
                <w:sz w:val="18"/>
              </w:rPr>
              <w:t>02/28/01         5.27%</w:t>
            </w:r>
          </w:p>
          <w:p>
            <w:pPr>
              <w:pStyle w:val="Normal"/>
              <w:rPr>
                <w:b/>
                <w:sz w:val="18"/>
              </w:rPr>
            </w:pPr>
            <w:r>
              <w:rPr>
                <w:b/>
                <w:sz w:val="18"/>
              </w:rPr>
              <w:t>01/31/01         5.72%</w:t>
            </w:r>
          </w:p>
          <w:p>
            <w:pPr>
              <w:pStyle w:val="Normal"/>
              <w:rPr>
                <w:b/>
                <w:sz w:val="18"/>
              </w:rPr>
            </w:pPr>
            <w:r>
              <w:rPr>
                <w:b/>
                <w:sz w:val="18"/>
              </w:rPr>
            </w:r>
          </w:p>
        </w:tc>
      </w:tr>
      <w:tr>
        <w:trPr/>
        <w:tc>
          <w:tcPr>
            <w:tcW w:w="3438" w:type="dxa"/>
            <w:tcBorders>
              <w:top w:val="single" w:sz="6" w:space="0" w:color="000000"/>
              <w:start w:val="single" w:sz="6" w:space="0" w:color="000000"/>
            </w:tcBorders>
          </w:tcPr>
          <w:p>
            <w:pPr>
              <w:pStyle w:val="Normal"/>
              <w:spacing w:before="120" w:after="120"/>
              <w:rPr>
                <w:b/>
                <w:sz w:val="18"/>
              </w:rPr>
            </w:pPr>
            <w:r>
              <w:rPr>
                <w:b/>
                <w:sz w:val="18"/>
              </w:rPr>
              <w:t>FS Prime Obligations Fund Administration Class (463)</w:t>
            </w:r>
          </w:p>
        </w:tc>
        <w:tc>
          <w:tcPr>
            <w:tcW w:w="1440" w:type="dxa"/>
            <w:tcBorders>
              <w:top w:val="single" w:sz="6" w:space="0" w:color="000000"/>
            </w:tcBorders>
          </w:tcPr>
          <w:p>
            <w:pPr>
              <w:pStyle w:val="Normal"/>
              <w:spacing w:before="120" w:after="120"/>
              <w:rPr>
                <w:b/>
                <w:sz w:val="18"/>
              </w:rPr>
            </w:pPr>
            <w:r>
              <w:rPr>
                <w:b/>
                <w:sz w:val="18"/>
              </w:rPr>
              <w:t>5:00 PM</w:t>
            </w:r>
          </w:p>
        </w:tc>
        <w:tc>
          <w:tcPr>
            <w:tcW w:w="1440" w:type="dxa"/>
            <w:tcBorders>
              <w:top w:val="single" w:sz="6" w:space="0" w:color="000000"/>
            </w:tcBorders>
          </w:tcPr>
          <w:p>
            <w:pPr>
              <w:pStyle w:val="Normal"/>
              <w:spacing w:before="120" w:after="120"/>
              <w:rPr>
                <w:b/>
                <w:sz w:val="18"/>
              </w:rPr>
            </w:pPr>
            <w:r>
              <w:rPr>
                <w:b/>
                <w:sz w:val="18"/>
              </w:rPr>
              <w:t>5:00 PM</w:t>
            </w:r>
          </w:p>
        </w:tc>
        <w:tc>
          <w:tcPr>
            <w:tcW w:w="3420" w:type="dxa"/>
            <w:tcBorders>
              <w:top w:val="single" w:sz="6" w:space="0" w:color="000000"/>
            </w:tcBorders>
          </w:tcPr>
          <w:p>
            <w:pPr>
              <w:pStyle w:val="Normal"/>
              <w:spacing w:before="120" w:after="120"/>
              <w:rPr>
                <w:b/>
                <w:sz w:val="18"/>
              </w:rPr>
            </w:pPr>
            <w:r>
              <w:rPr>
                <w:b/>
                <w:sz w:val="18"/>
              </w:rPr>
              <w:t>Variable Rate Obligations, CP &amp; Master Demand Notes, Repos, Bank Notes, Time Deposits, CD’s, MTN, US Government Agency, Muni Obligations</w:t>
            </w:r>
          </w:p>
        </w:tc>
        <w:tc>
          <w:tcPr>
            <w:tcW w:w="1620" w:type="dxa"/>
            <w:tcBorders>
              <w:top w:val="single" w:sz="6" w:space="0" w:color="000000"/>
            </w:tcBorders>
          </w:tcPr>
          <w:p>
            <w:pPr>
              <w:pStyle w:val="Normal"/>
              <w:spacing w:before="120" w:after="120"/>
              <w:rPr>
                <w:b/>
                <w:sz w:val="18"/>
              </w:rPr>
            </w:pPr>
            <w:r>
              <w:rPr>
                <w:b/>
                <w:sz w:val="18"/>
              </w:rPr>
              <w:t>AAAm - S&amp;P</w:t>
              <w:br/>
              <w:t>Aaa - Moody’s</w:t>
            </w:r>
          </w:p>
        </w:tc>
        <w:tc>
          <w:tcPr>
            <w:tcW w:w="2430" w:type="dxa"/>
            <w:tcBorders>
              <w:top w:val="single" w:sz="6" w:space="0" w:color="000000"/>
              <w:end w:val="single" w:sz="6" w:space="0" w:color="000000"/>
            </w:tcBorders>
          </w:tcPr>
          <w:p>
            <w:pPr>
              <w:pStyle w:val="Normal"/>
              <w:snapToGrid w:val="false"/>
              <w:rPr>
                <w:b/>
                <w:sz w:val="18"/>
              </w:rPr>
            </w:pPr>
            <w:r>
              <w:rPr>
                <w:b/>
                <w:sz w:val="18"/>
              </w:rPr>
            </w:r>
          </w:p>
          <w:p>
            <w:pPr>
              <w:pStyle w:val="Normal"/>
              <w:rPr>
                <w:b/>
                <w:sz w:val="18"/>
              </w:rPr>
            </w:pPr>
            <w:r>
              <w:rPr>
                <w:b/>
                <w:sz w:val="18"/>
              </w:rPr>
              <w:t>03/31/01         5.07%</w:t>
            </w:r>
          </w:p>
          <w:p>
            <w:pPr>
              <w:pStyle w:val="Normal"/>
              <w:rPr>
                <w:b/>
                <w:sz w:val="18"/>
              </w:rPr>
            </w:pPr>
            <w:r>
              <w:rPr>
                <w:b/>
                <w:sz w:val="18"/>
              </w:rPr>
              <w:t>02/28/01         5.43%</w:t>
            </w:r>
          </w:p>
          <w:p>
            <w:pPr>
              <w:pStyle w:val="Normal"/>
              <w:rPr>
                <w:b/>
                <w:sz w:val="18"/>
              </w:rPr>
            </w:pPr>
            <w:r>
              <w:rPr>
                <w:b/>
                <w:sz w:val="18"/>
              </w:rPr>
              <w:t>01/31/01         5.96%</w:t>
            </w:r>
          </w:p>
          <w:p>
            <w:pPr>
              <w:pStyle w:val="Normal"/>
              <w:rPr>
                <w:b/>
                <w:sz w:val="18"/>
              </w:rPr>
            </w:pPr>
            <w:r>
              <w:rPr>
                <w:b/>
                <w:sz w:val="18"/>
              </w:rPr>
            </w:r>
          </w:p>
        </w:tc>
      </w:tr>
      <w:tr>
        <w:trPr>
          <w:trHeight w:val="822" w:hRule="atLeast"/>
        </w:trPr>
        <w:tc>
          <w:tcPr>
            <w:tcW w:w="3438" w:type="dxa"/>
            <w:tcBorders>
              <w:top w:val="single" w:sz="6" w:space="0" w:color="000000"/>
              <w:start w:val="single" w:sz="6" w:space="0" w:color="000000"/>
              <w:bottom w:val="single" w:sz="4" w:space="0" w:color="000000"/>
            </w:tcBorders>
          </w:tcPr>
          <w:p>
            <w:pPr>
              <w:pStyle w:val="Normal"/>
              <w:spacing w:before="120" w:after="120"/>
              <w:rPr>
                <w:b/>
                <w:sz w:val="18"/>
              </w:rPr>
            </w:pPr>
            <w:r>
              <w:rPr>
                <w:b/>
                <w:sz w:val="18"/>
              </w:rPr>
              <w:t>FS Government Fund Administration Class (466)</w:t>
            </w:r>
          </w:p>
        </w:tc>
        <w:tc>
          <w:tcPr>
            <w:tcW w:w="1440" w:type="dxa"/>
            <w:tcBorders>
              <w:top w:val="single" w:sz="6" w:space="0" w:color="000000"/>
              <w:bottom w:val="single" w:sz="4" w:space="0" w:color="000000"/>
            </w:tcBorders>
          </w:tcPr>
          <w:p>
            <w:pPr>
              <w:pStyle w:val="Normal"/>
              <w:spacing w:before="120" w:after="120"/>
              <w:rPr>
                <w:b/>
                <w:sz w:val="18"/>
              </w:rPr>
            </w:pPr>
            <w:r>
              <w:rPr>
                <w:b/>
                <w:sz w:val="18"/>
              </w:rPr>
              <w:t>5:00 PM</w:t>
            </w:r>
          </w:p>
        </w:tc>
        <w:tc>
          <w:tcPr>
            <w:tcW w:w="1440" w:type="dxa"/>
            <w:tcBorders>
              <w:top w:val="single" w:sz="6" w:space="0" w:color="000000"/>
              <w:bottom w:val="single" w:sz="4" w:space="0" w:color="000000"/>
            </w:tcBorders>
          </w:tcPr>
          <w:p>
            <w:pPr>
              <w:pStyle w:val="Normal"/>
              <w:spacing w:before="120" w:after="120"/>
              <w:rPr>
                <w:b/>
                <w:sz w:val="18"/>
              </w:rPr>
            </w:pPr>
            <w:r>
              <w:rPr>
                <w:b/>
                <w:sz w:val="18"/>
              </w:rPr>
              <w:t>5:00 PM</w:t>
            </w:r>
          </w:p>
        </w:tc>
        <w:tc>
          <w:tcPr>
            <w:tcW w:w="3420" w:type="dxa"/>
            <w:tcBorders>
              <w:top w:val="single" w:sz="6" w:space="0" w:color="000000"/>
              <w:bottom w:val="single" w:sz="4" w:space="0" w:color="000000"/>
            </w:tcBorders>
          </w:tcPr>
          <w:p>
            <w:pPr>
              <w:pStyle w:val="Normal"/>
              <w:spacing w:before="120" w:after="120"/>
              <w:rPr>
                <w:b/>
                <w:sz w:val="18"/>
              </w:rPr>
            </w:pPr>
            <w:r>
              <w:rPr>
                <w:b/>
                <w:sz w:val="18"/>
              </w:rPr>
              <w:t>US Treasury and government agency obligations; Repos</w:t>
            </w:r>
          </w:p>
        </w:tc>
        <w:tc>
          <w:tcPr>
            <w:tcW w:w="1620" w:type="dxa"/>
            <w:tcBorders>
              <w:top w:val="single" w:sz="6" w:space="0" w:color="000000"/>
              <w:bottom w:val="single" w:sz="4" w:space="0" w:color="000000"/>
            </w:tcBorders>
          </w:tcPr>
          <w:p>
            <w:pPr>
              <w:pStyle w:val="Normal"/>
              <w:spacing w:before="120" w:after="120"/>
              <w:rPr>
                <w:b/>
                <w:sz w:val="18"/>
              </w:rPr>
            </w:pPr>
            <w:r>
              <w:rPr>
                <w:b/>
                <w:sz w:val="18"/>
              </w:rPr>
              <w:t>AAAm – S&amp;P</w:t>
              <w:br/>
              <w:t>Aaa – Moody’s</w:t>
            </w:r>
          </w:p>
        </w:tc>
        <w:tc>
          <w:tcPr>
            <w:tcW w:w="2430" w:type="dxa"/>
            <w:tcBorders>
              <w:top w:val="single" w:sz="6" w:space="0" w:color="000000"/>
              <w:bottom w:val="single" w:sz="4" w:space="0" w:color="000000"/>
              <w:end w:val="single" w:sz="6" w:space="0" w:color="000000"/>
            </w:tcBorders>
          </w:tcPr>
          <w:p>
            <w:pPr>
              <w:pStyle w:val="Normal"/>
              <w:snapToGrid w:val="false"/>
              <w:rPr>
                <w:b/>
                <w:sz w:val="18"/>
              </w:rPr>
            </w:pPr>
            <w:r>
              <w:rPr>
                <w:b/>
                <w:sz w:val="18"/>
              </w:rPr>
            </w:r>
          </w:p>
          <w:p>
            <w:pPr>
              <w:pStyle w:val="Normal"/>
              <w:rPr>
                <w:b/>
                <w:sz w:val="18"/>
              </w:rPr>
            </w:pPr>
            <w:r>
              <w:rPr>
                <w:b/>
                <w:sz w:val="18"/>
              </w:rPr>
              <w:t>03/31/01         5.00%</w:t>
            </w:r>
          </w:p>
          <w:p>
            <w:pPr>
              <w:pStyle w:val="Normal"/>
              <w:rPr>
                <w:b/>
                <w:sz w:val="18"/>
              </w:rPr>
            </w:pPr>
            <w:r>
              <w:rPr>
                <w:b/>
                <w:sz w:val="18"/>
              </w:rPr>
              <w:t>02/28/01         5.30%</w:t>
            </w:r>
          </w:p>
          <w:p>
            <w:pPr>
              <w:pStyle w:val="Normal"/>
              <w:rPr>
                <w:b/>
                <w:sz w:val="18"/>
              </w:rPr>
            </w:pPr>
            <w:r>
              <w:rPr>
                <w:b/>
                <w:sz w:val="18"/>
              </w:rPr>
              <w:t>01/31/01         5.75%</w:t>
            </w:r>
          </w:p>
          <w:p>
            <w:pPr>
              <w:pStyle w:val="Normal"/>
              <w:rPr>
                <w:b/>
                <w:sz w:val="18"/>
              </w:rPr>
            </w:pPr>
            <w:r>
              <w:rPr>
                <w:b/>
                <w:sz w:val="18"/>
              </w:rPr>
            </w:r>
          </w:p>
        </w:tc>
      </w:tr>
    </w:tbl>
    <w:p>
      <w:pPr>
        <w:pStyle w:val="Normal"/>
        <w:rPr/>
      </w:pPr>
      <w:r>
        <w:rPr/>
      </w:r>
    </w:p>
    <w:p>
      <w:pPr>
        <w:pStyle w:val="BodyText"/>
        <w:rPr/>
      </w:pPr>
      <w:r>
        <w:rPr/>
        <w:t>IN NO EVENT WILL CITIBANK, N.A. OR ANY OF ITS SUBSIDIARIES OR AFFILIATES BE LIABLE FOR ANY DAMAGES, LOSSES OR EXPENSES, INCLUDING WITHOUT LIMITATION, DIRECT OR INDIRECT, SPECIAL, INCIDENTAL OR CONSEQUENTIAL DAMAGES ARISING IN CONNECTION WITH THE USE OF THIS INFORMATION OR RELIANCE ON ANY INFORMATION CONTAINED HEREIN, EVEN IF CITIBANK, N.A. OR ANY OF ITS SUBSIDIARIES OR AFFILIATES ARE NOTIFIED OF THE POSSIBILITY OF SUCH DAMAGES</w:t>
      </w:r>
    </w:p>
    <w:sectPr>
      <w:type w:val="nextPage"/>
      <w:pgSz w:orient="landscape" w:w="15840" w:h="12240"/>
      <w:pgMar w:left="1152" w:right="1152" w:gutter="0" w:header="0" w:top="450" w:footer="0" w:bottom="720"/>
      <w:pgNumType w:fmt="decimal"/>
      <w:formProt w:val="false"/>
      <w:vAlign w:val="center"/>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mirrorMargi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2"/>
      <w:szCs w:val="20"/>
      <w:lang w:val="en-US" w:eastAsia="zh-CN" w:bidi="hi-IN"/>
    </w:rPr>
  </w:style>
  <w:style w:type="paragraph" w:styleId="Heading1">
    <w:name w:val="heading 1"/>
    <w:basedOn w:val="Normal"/>
    <w:next w:val="Normal"/>
    <w:qFormat/>
    <w:pPr>
      <w:keepNext w:val="true"/>
      <w:numPr>
        <w:ilvl w:val="0"/>
        <w:numId w:val="1"/>
      </w:numPr>
      <w:spacing w:before="120" w:after="120"/>
      <w:outlineLvl w:val="0"/>
    </w:pPr>
    <w:rPr>
      <w:b/>
      <w:sz w:val="18"/>
    </w:rPr>
  </w:style>
  <w:style w:type="paragraph" w:styleId="Heading2">
    <w:name w:val="heading 2"/>
    <w:basedOn w:val="Normal"/>
    <w:next w:val="Normal"/>
    <w:qFormat/>
    <w:pPr>
      <w:keepNext w:val="true"/>
      <w:numPr>
        <w:ilvl w:val="1"/>
        <w:numId w:val="1"/>
      </w:numPr>
      <w:spacing w:before="120" w:after="120"/>
      <w:outlineLvl w:val="1"/>
    </w:pPr>
    <w:rPr>
      <w:b/>
      <w:i/>
      <w:sz w:val="18"/>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caps/>
      <w:sz w:val="36"/>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2001-04-09T11:20:00Z</dcterms:created>
  <dc:creator>MicroAge Customer</dc:creator>
  <dc:description/>
  <dc:language>en-CA</dc:language>
  <cp:lastModifiedBy>Andrea M Maher</cp:lastModifiedBy>
  <cp:lastPrinted>2001-02-13T09:49:00Z</cp:lastPrinted>
  <dcterms:modified xsi:type="dcterms:W3CDTF">2001-04-09T11:20:00Z</dcterms:modified>
  <cp:revision>2</cp:revision>
  <dc:subject/>
  <dc:title>PROVIDENT</dc:title>
</cp:coreProperties>
</file>