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Immediate Policy Need</w:t>
      </w:r>
    </w:p>
    <w:p>
      <w:pPr>
        <w:pStyle w:val="Normal"/>
        <w:rPr/>
      </w:pPr>
      <w:r>
        <w:rPr/>
      </w:r>
    </w:p>
    <w:p>
      <w:pPr>
        <w:pStyle w:val="Normal"/>
        <w:rPr/>
      </w:pPr>
      <w:r>
        <w:rPr/>
      </w:r>
    </w:p>
    <w:p>
      <w:pPr>
        <w:pStyle w:val="Normal"/>
        <w:rPr/>
      </w:pPr>
      <w:r>
        <w:rPr/>
        <w:tab/>
        <w:t xml:space="preserve">As the Administration works to establish a “National Energy Policy” it is critical that the challenges to a competitive electric industry be addressed.  While expansion of fuel production is essential, the US economy desperately needs the federal government to advance electric market development beyond the incremental steps that have been take thus far.  </w:t>
      </w:r>
    </w:p>
    <w:p>
      <w:pPr>
        <w:pStyle w:val="Normal"/>
        <w:rPr/>
      </w:pPr>
      <w:r>
        <w:rPr/>
      </w:r>
    </w:p>
    <w:p>
      <w:pPr>
        <w:pStyle w:val="Normal"/>
        <w:ind w:firstLine="720" w:end="0"/>
        <w:rPr/>
      </w:pPr>
      <w:r>
        <w:rPr/>
        <w:t xml:space="preserve">When the staff of the Federal Energy Regulatory Commission (FERC) concluded its Bulk Power studies for the entire country in November, it identified a number of critical issues that were hindering the development of liquid electric wholesale markets </w:t>
      </w:r>
      <w:r>
        <w:rPr>
          <w:i/>
        </w:rPr>
        <w:t>that work.</w:t>
      </w:r>
      <w:r>
        <w:rPr/>
        <w:t xml:space="preserve"> However, very little has been done to address these issues due to the demands of the California crisis and the desire for guidance from the new Administration. </w:t>
      </w:r>
    </w:p>
    <w:p>
      <w:pPr>
        <w:pStyle w:val="Normal"/>
        <w:rPr/>
      </w:pPr>
      <w:r>
        <w:rPr/>
      </w:r>
    </w:p>
    <w:p>
      <w:pPr>
        <w:pStyle w:val="Normal"/>
        <w:ind w:firstLine="720" w:end="0"/>
        <w:rPr/>
      </w:pPr>
      <w:r>
        <w:rPr/>
        <w:t xml:space="preserve">The Chairman of FERC has correctly noted the need for new infrastructure throughout the energy industry – from natural gas pipelines to electric generation and transmission.  However, there are two critical elements that FERC has not addressed that are inhibiting the current infrastructure to be maximized or efficiently used and, if not remedied will decrease the amount of future investment that is needed.  What is worse is that Commission’s current major policy initiative of pursuing Regional Transmission Organizations (RTO) to operate the grid will do </w:t>
      </w:r>
      <w:r>
        <w:rPr>
          <w:u w:val="single"/>
        </w:rPr>
        <w:t>nothing</w:t>
      </w:r>
      <w:r>
        <w:rPr/>
        <w:t xml:space="preserve"> to alleviate these problems.</w:t>
      </w:r>
    </w:p>
    <w:p>
      <w:pPr>
        <w:pStyle w:val="Normal"/>
        <w:ind w:firstLine="720" w:end="0"/>
        <w:rPr/>
      </w:pPr>
      <w:r>
        <w:rPr/>
      </w:r>
    </w:p>
    <w:p>
      <w:pPr>
        <w:pStyle w:val="Normal"/>
        <w:ind w:firstLine="720" w:end="0"/>
        <w:rPr>
          <w:b/>
          <w:i/>
          <w:i/>
        </w:rPr>
      </w:pPr>
      <w:r>
        <w:rPr>
          <w:b/>
          <w:i/>
        </w:rPr>
        <w:t xml:space="preserve">What are the problems?  </w:t>
      </w:r>
    </w:p>
    <w:p>
      <w:pPr>
        <w:pStyle w:val="Normal"/>
        <w:ind w:firstLine="720" w:end="0"/>
        <w:rPr>
          <w:b/>
          <w:i/>
          <w:i/>
        </w:rPr>
      </w:pPr>
      <w:r>
        <w:rPr>
          <w:b/>
          <w:i/>
        </w:rPr>
      </w:r>
    </w:p>
    <w:p>
      <w:pPr>
        <w:pStyle w:val="Normal"/>
        <w:ind w:firstLine="720" w:end="0"/>
        <w:rPr/>
      </w:pPr>
      <w:r>
        <w:rPr>
          <w:u w:val="single"/>
        </w:rPr>
        <w:t>Inefficient use of transmission capacity</w:t>
      </w:r>
      <w:r>
        <w:rPr/>
        <w:t xml:space="preserve">:  In large parts of the country, particularly in the Midwest, Southeast and much of the West, access to transmission capacity is still provided largely by entities that have no incentive to permit others to use transmission  on a fair or commercially acceptable basis.  What is more, the RTO proposals put forward in many of these transmission-owning entities leave huge parts of the total transmission capacity off limits to use by others (off the FERC tariff) and thus controlled by the transmission entity with no supervision over how it is allocated.  Thus, during certain peak times power is prevented from moving where it is needed even though transmission may be available.  </w:t>
      </w:r>
    </w:p>
    <w:p>
      <w:pPr>
        <w:pStyle w:val="Normal"/>
        <w:ind w:firstLine="720" w:end="0"/>
        <w:rPr/>
      </w:pPr>
      <w:r>
        <w:rPr/>
      </w:r>
    </w:p>
    <w:p>
      <w:pPr>
        <w:pStyle w:val="Normal"/>
        <w:ind w:firstLine="720" w:end="0"/>
        <w:rPr/>
      </w:pPr>
      <w:r>
        <w:rPr/>
        <w:t xml:space="preserve">An example to illustrate what the incentives are and what the effect is commercially.  Assume a utility that owns transmission and generation inside its boundaries (control area) that is generally sufficient to meet normal demand.  This entity can manipulate the access to the grid to; 1) protect generation assets from cheaper power being offered to wholesale customers from the outside or 2) underestimate the amount of transmission capability to exit its boundaries to inhibit the siting of competitive generation that would compete with their own assets. All the utility has to do is indicate that a certain amount of transmission capacity is needed to serve its “native” demand.  This amount can change and there are very few ways to independently verify the accuracy. The utility may also run generation inside the control area up or down to create congestion into or out of the control area.  </w:t>
      </w:r>
    </w:p>
    <w:p>
      <w:pPr>
        <w:pStyle w:val="Normal"/>
        <w:ind w:firstLine="720" w:end="0"/>
        <w:rPr/>
      </w:pPr>
      <w:r>
        <w:rPr/>
      </w:r>
    </w:p>
    <w:p>
      <w:pPr>
        <w:pStyle w:val="Normal"/>
        <w:ind w:firstLine="720" w:end="0"/>
        <w:rPr/>
      </w:pPr>
      <w:r>
        <w:rPr/>
        <w:t>If all load serving entities, including vertically integrated utilities</w:t>
      </w:r>
      <w:r>
        <w:rPr>
          <w:rStyle w:val="FootnoteCharacters"/>
          <w:rStyle w:val="FootnoteReference"/>
        </w:rPr>
        <w:footnoteReference w:id="2"/>
      </w:r>
      <w:r>
        <w:rPr/>
        <w:t xml:space="preserve">, were required to procure transmission on the same basis or tariff as all other users of the grid, the incentive for pursuing discriminatory operation of the grid would be eliminated.  Additionally, since the current tariff, which allows a public utility that is a load serving entity to reserve virtually any amount of the transmission it owns for its own use, capacity can and often does go under utilized or capacity miraculously becomes available to the utility’s affiliate.  Perhaps worst of all, the utility has very little commercial incentive to expand the grid under these circumstances because it can always get the capacity it needs.   </w:t>
      </w:r>
    </w:p>
    <w:p>
      <w:pPr>
        <w:pStyle w:val="Normal"/>
        <w:ind w:firstLine="720" w:end="0"/>
        <w:rPr/>
      </w:pPr>
      <w:r>
        <w:rPr/>
      </w:r>
    </w:p>
    <w:p>
      <w:pPr>
        <w:pStyle w:val="Normal"/>
        <w:ind w:firstLine="720" w:end="0"/>
        <w:rPr/>
      </w:pPr>
      <w:r>
        <w:rPr>
          <w:u w:val="single"/>
        </w:rPr>
        <w:t>Lack of Working Market Structures in FERC Reformed Areas</w:t>
      </w:r>
      <w:r>
        <w:rPr/>
        <w:t xml:space="preserve">:  The area of the country that comes closest to having a broad electric market structure is in the Northeast.  Electrically, the Northeast market can be defined as the Independent System Operator areas of; 1) the Mid-Atlantic (PJM), 2) New York and 3) New England.  These boundaries have no particular relation to physical electric assets or recognized markets but are merely carryovers from pools that were formed in the tightly regulated period.  Indeed, New York state and New England are part of the same reliability region and all three of these areas have the same basic market platform of a tight “pool” of transmission assets controlled by one independent operator with a power exchange incorporated.  </w:t>
      </w:r>
    </w:p>
    <w:p>
      <w:pPr>
        <w:pStyle w:val="Normal"/>
        <w:ind w:firstLine="720" w:end="0"/>
        <w:rPr/>
      </w:pPr>
      <w:r>
        <w:rPr/>
      </w:r>
    </w:p>
    <w:p>
      <w:pPr>
        <w:pStyle w:val="Normal"/>
        <w:ind w:firstLine="720" w:end="0"/>
        <w:rPr/>
      </w:pPr>
      <w:r>
        <w:rPr/>
        <w:t xml:space="preserve">Despite these similarities, the three ISOs have constructed different electric product markets, different bidding and dispatch rules and different software to implement their rules.  The result has been a frequent occurrence when transactions cannot flow from one ISO to another and prices at wide variance between ISO markets.  The effect is felt both in the inability to deliver power from as wide a variety of resources and thus mitigate prices by market force and in the inability of market participants to effectively manage risk or arbitrage between ISOs.  Taking a region such as New York, this exacerbates a supply shortfall and by not allowing financial arbitrage between regions the market is not as deep or liquid and risks cannot be effectively managed.  </w:t>
      </w:r>
    </w:p>
    <w:p>
      <w:pPr>
        <w:pStyle w:val="Normal"/>
        <w:ind w:firstLine="720" w:end="0"/>
        <w:rPr/>
      </w:pPr>
      <w:r>
        <w:rPr/>
      </w:r>
    </w:p>
    <w:p>
      <w:pPr>
        <w:pStyle w:val="Normal"/>
        <w:ind w:firstLine="720" w:end="0"/>
        <w:rPr/>
      </w:pPr>
      <w:r>
        <w:rPr/>
        <w:t xml:space="preserve">The lack of functional and similar market structure ultimately affects the ISOs’ behavior, which, in turn, affects investment decisions of market participants.  Given the lack of a deep, liquid market for energy in at least two of the Northeast regions, the tendency of the ISOs is to implement price mitigation measures with no sunset in sight.  These can take the form of relatively high price caps.  However, in both New York and New England this mitigation takes the form of actual steps to change bids of market participants under certain circumstances.  Without steps taken to increase the liquidity or depth of the market by FERC, the ISOs will see very little incentive to take the steps themselves and thus eliminate the rationale for market mitigation.  </w:t>
      </w:r>
    </w:p>
    <w:p>
      <w:pPr>
        <w:pStyle w:val="Normal"/>
        <w:ind w:firstLine="720" w:end="0"/>
        <w:rPr/>
      </w:pPr>
      <w:r>
        <w:rPr/>
      </w:r>
    </w:p>
    <w:p>
      <w:pPr>
        <w:pStyle w:val="Normal"/>
        <w:ind w:firstLine="720" w:end="0"/>
        <w:rPr>
          <w:b/>
          <w:i/>
          <w:i/>
        </w:rPr>
      </w:pPr>
      <w:r>
        <w:rPr>
          <w:b/>
          <w:i/>
        </w:rPr>
        <w:t>Why is this of immediate concern to policy makers?</w:t>
      </w:r>
    </w:p>
    <w:p>
      <w:pPr>
        <w:pStyle w:val="Normal"/>
        <w:ind w:firstLine="720" w:end="0"/>
        <w:rPr>
          <w:b/>
          <w:i/>
          <w:i/>
        </w:rPr>
      </w:pPr>
      <w:r>
        <w:rPr>
          <w:b/>
          <w:i/>
        </w:rPr>
      </w:r>
    </w:p>
    <w:p>
      <w:pPr>
        <w:pStyle w:val="BodyTextIndent"/>
        <w:rPr/>
      </w:pPr>
      <w:r>
        <w:rPr/>
        <w:t xml:space="preserve">The United States is clearly not obtaining enough electricity to meet its needs.  In part this is a result of true exhaustion of infrastructure.  There needs to be more investment in generation resources and transmission capacity to carry generation output where it needs to go.  The situation exists for several reasons:  </w:t>
      </w:r>
    </w:p>
    <w:p>
      <w:pPr>
        <w:pStyle w:val="BodyTextIndent"/>
        <w:numPr>
          <w:ilvl w:val="0"/>
          <w:numId w:val="1"/>
        </w:numPr>
        <w:rPr/>
      </w:pPr>
      <w:r>
        <w:rPr/>
        <w:t xml:space="preserve">Traditional utilities have not made investments over the past decade because the traditional regulatory approach of recovering costs was seen to be eroding.  </w:t>
      </w:r>
    </w:p>
    <w:p>
      <w:pPr>
        <w:pStyle w:val="BodyTextIndent"/>
        <w:numPr>
          <w:ilvl w:val="0"/>
          <w:numId w:val="1"/>
        </w:numPr>
        <w:rPr/>
      </w:pPr>
      <w:r>
        <w:rPr/>
        <w:t>While Congress acted to open up some competition</w:t>
      </w:r>
      <w:r>
        <w:rPr>
          <w:rStyle w:val="FootnoteCharacters"/>
          <w:rStyle w:val="FootnoteReference"/>
        </w:rPr>
        <w:footnoteReference w:id="3"/>
      </w:r>
      <w:r>
        <w:rPr/>
        <w:t xml:space="preserve">, no national restructuring legislation was forthcoming. </w:t>
      </w:r>
    </w:p>
    <w:p>
      <w:pPr>
        <w:pStyle w:val="BodyTextIndent"/>
        <w:numPr>
          <w:ilvl w:val="0"/>
          <w:numId w:val="1"/>
        </w:numPr>
        <w:rPr/>
      </w:pPr>
      <w:r>
        <w:rPr/>
        <w:t xml:space="preserve"> </w:t>
      </w:r>
      <w:r>
        <w:rPr/>
        <w:t xml:space="preserve">The FERC has taken a very incremental approach to restructuring the electric industry, as it has been unsure of its jurisdiction.  </w:t>
      </w:r>
    </w:p>
    <w:p>
      <w:pPr>
        <w:pStyle w:val="BodyTextIndent"/>
        <w:numPr>
          <w:ilvl w:val="0"/>
          <w:numId w:val="1"/>
        </w:numPr>
        <w:rPr/>
      </w:pPr>
      <w:r>
        <w:rPr/>
        <w:t>Finally, this incremental restructuring meant uneven and incremental commitments of investment by new market participants just as the economy began to boom and electric and other energy usage consumed already marginal capacity surpluses.</w:t>
      </w:r>
    </w:p>
    <w:p>
      <w:pPr>
        <w:pStyle w:val="BodyTextIndent"/>
        <w:rPr/>
      </w:pPr>
      <w:r>
        <w:rPr/>
      </w:r>
    </w:p>
    <w:p>
      <w:pPr>
        <w:pStyle w:val="BodyTextIndent"/>
        <w:rPr/>
      </w:pPr>
      <w:r>
        <w:rPr/>
        <w:t xml:space="preserve">Eliminating the above-discussed problems will definitely help the market respond to this problem.  Indeed, much of the financial community that deals with the electric providers would welcome solutions to these problems.  Lack of national policy in these areas has caused the dreaded “uncertainty” which lending institutions and risk managers loath.  More importantly, however, would be the effect that policy solutions to these problems could have on maximizing the capacity of the current infrastructure.  </w:t>
      </w:r>
    </w:p>
    <w:p>
      <w:pPr>
        <w:pStyle w:val="BodyTextIndent"/>
        <w:rPr/>
      </w:pPr>
      <w:r>
        <w:rPr/>
      </w:r>
    </w:p>
    <w:p>
      <w:pPr>
        <w:pStyle w:val="BodyTextIndent"/>
        <w:rPr/>
      </w:pPr>
      <w:r>
        <w:rPr/>
        <w:t>As policy makers struggle with issues that seem to be so related to state laws of siting generation and transmission, tackling these problems immediately hold out the most hope for helping the country address its energy needs.</w:t>
      </w:r>
    </w:p>
    <w:p>
      <w:pPr>
        <w:pStyle w:val="BodyTextIndent"/>
        <w:rPr/>
      </w:pPr>
      <w:r>
        <w:rPr/>
      </w:r>
    </w:p>
    <w:p>
      <w:pPr>
        <w:pStyle w:val="BodyTextIndent"/>
        <w:rPr>
          <w:b/>
          <w:i/>
          <w:i/>
        </w:rPr>
      </w:pPr>
      <w:r>
        <w:rPr>
          <w:b/>
          <w:i/>
        </w:rPr>
        <w:t>What can be done?</w:t>
      </w:r>
    </w:p>
    <w:p>
      <w:pPr>
        <w:pStyle w:val="BodyTextIndent"/>
        <w:rPr/>
      </w:pPr>
      <w:r>
        <w:rPr/>
      </w:r>
    </w:p>
    <w:p>
      <w:pPr>
        <w:pStyle w:val="BodyTextIndent"/>
        <w:rPr/>
      </w:pPr>
      <w:r>
        <w:rPr/>
        <w:t>These policy issues can arguably be solved by the FERC.  While a number of states have challenged FERC’s ability to require non-discriminatory access to the grid in a case to be argued before the Supreme Court, lower federal court decisions clearly indicate FERC has the jurisdiction to address these issues of interstate commerce.  Additionally, most industry observers and the financial community believe FERC’s jurisdiction reaches far enough to overcome these challenges.</w:t>
      </w:r>
    </w:p>
    <w:p>
      <w:pPr>
        <w:pStyle w:val="BodyTextIndent"/>
        <w:rPr/>
      </w:pPr>
      <w:r>
        <w:rPr/>
      </w:r>
    </w:p>
    <w:p>
      <w:pPr>
        <w:pStyle w:val="BodyTextIndent"/>
        <w:rPr/>
      </w:pPr>
      <w:r>
        <w:rPr/>
        <w:t>Specifically, FERC could:</w:t>
      </w:r>
    </w:p>
    <w:p>
      <w:pPr>
        <w:pStyle w:val="BodyTextIndent"/>
        <w:rPr/>
      </w:pPr>
      <w:r>
        <w:rPr/>
      </w:r>
    </w:p>
    <w:p>
      <w:pPr>
        <w:pStyle w:val="BodyTextIndent"/>
        <w:numPr>
          <w:ilvl w:val="0"/>
          <w:numId w:val="2"/>
        </w:numPr>
        <w:rPr/>
      </w:pPr>
      <w:r>
        <w:rPr/>
        <w:t>Require all users of the transmission grid to take service under the same tariff.  This would mean that transmission providers could not offer inferior or “different” transmission products and apply a preferred transmission service to its own use.  It would also effectively eliminate the native load preference for use of the grid, which would mean the actual amount of transmission available would likely be allocated and used on a more efficient basis.</w:t>
      </w:r>
    </w:p>
    <w:p>
      <w:pPr>
        <w:pStyle w:val="BodyTextIndent"/>
        <w:rPr/>
      </w:pPr>
      <w:r>
        <w:rPr/>
      </w:r>
    </w:p>
    <w:p>
      <w:pPr>
        <w:pStyle w:val="BodyTextIndent"/>
        <w:numPr>
          <w:ilvl w:val="0"/>
          <w:numId w:val="2"/>
        </w:numPr>
        <w:rPr/>
      </w:pPr>
      <w:r>
        <w:rPr/>
        <w:t xml:space="preserve">Require the application of standardized market rules and implementing tools (software) for established and adjoining markets in the Northeast and methods for eliminating barriers to trade across boundaries of new electric markets.  These markets should also allow for non-physical or purely financial market participants to take financial positions and thus allow such entities to sell risk management products to both electric producers and consumers.  </w:t>
      </w:r>
    </w:p>
    <w:p>
      <w:pPr>
        <w:pStyle w:val="BodyTextIndent"/>
        <w:ind w:hanging="0" w:end="0"/>
        <w:rPr/>
      </w:pPr>
      <w:r>
        <w:rPr/>
      </w:r>
    </w:p>
    <w:p>
      <w:pPr>
        <w:pStyle w:val="BodyTextIndent"/>
        <w:ind w:hanging="0" w:start="720" w:end="0"/>
        <w:rPr>
          <w:b/>
          <w:i/>
          <w:i/>
        </w:rPr>
      </w:pPr>
      <w:r>
        <w:rPr>
          <w:b/>
          <w:i/>
        </w:rPr>
        <w:t>In Summary – The Bottom Line</w:t>
      </w:r>
    </w:p>
    <w:p>
      <w:pPr>
        <w:pStyle w:val="BodyTextIndent"/>
        <w:ind w:hanging="0" w:start="720" w:end="0"/>
        <w:rPr>
          <w:b/>
          <w:i/>
          <w:i/>
        </w:rPr>
      </w:pPr>
      <w:r>
        <w:rPr>
          <w:b/>
          <w:i/>
        </w:rPr>
      </w:r>
    </w:p>
    <w:p>
      <w:pPr>
        <w:pStyle w:val="BodyTextIndent"/>
        <w:rPr/>
      </w:pPr>
      <w:r>
        <w:rPr/>
        <w:t xml:space="preserve">There are other things that need to be done to effect better use of current electric infrastructure and increase investment for future infrastructure that FERC cannot do alone.  Congress needs to grant authority to FERC to certificate new transmission above a certain voltage limit that reflects an interstate use.  Without this authority, a state like Connecticut can stop the building of a transmission line to Long Island because it does not benefit Connecticut.  Minnesota can deny building a transmission line to Wisconsin for similar reasons.  </w:t>
      </w:r>
    </w:p>
    <w:p>
      <w:pPr>
        <w:pStyle w:val="BodyTextIndent"/>
        <w:ind w:hanging="0" w:start="720" w:end="0"/>
        <w:rPr/>
      </w:pPr>
      <w:r>
        <w:rPr/>
      </w:r>
    </w:p>
    <w:p>
      <w:pPr>
        <w:pStyle w:val="BodyTextIndent"/>
        <w:rPr/>
      </w:pPr>
      <w:r>
        <w:rPr/>
        <w:t>However, if FERC does not address the issues outlined in the larger part of this paper, the competitive approach to electricity may be lost for decades as states such as California and New York will likely implement policies that effectively restore cost of service regulation.  The companies that are currently investing money will then likely sell their assets to utilities and make no new investments.  Private capital will flee the United States for more certain returns in Asia, Latin America and Europe where negotiated contracts with governments carry less uncertainty.  The American economy will then lose the benefit of competively priced electricity.  Worse, the slow transition back to some form of traditional regulation will be a drag on the economy for years to come.</w:t>
      </w:r>
    </w:p>
    <w:p>
      <w:pPr>
        <w:pStyle w:val="BodyTextIndent"/>
        <w:ind w:hanging="0" w:start="720" w:end="0"/>
        <w:rPr/>
      </w:pPr>
      <w:r>
        <w:rPr/>
      </w:r>
    </w:p>
    <w:p>
      <w:pPr>
        <w:pStyle w:val="BodyTextIndent"/>
        <w:rPr/>
      </w:pPr>
      <w:r>
        <w:rPr/>
        <w:t xml:space="preserve">We must resist the current tendency to view every thing from either a California or fuel supply perspective and look at broad national policies that will effectively help the nation procure enough electricity in the most efficient manner.  This can’t wait. </w:t>
      </w:r>
    </w:p>
    <w:p>
      <w:pPr>
        <w:pStyle w:val="Normal"/>
        <w:ind w:firstLine="720" w:end="0"/>
        <w:rPr/>
      </w:pPr>
      <w:r>
        <w:rPr/>
      </w:r>
    </w:p>
    <w:p>
      <w:pPr>
        <w:pStyle w:val="Normal"/>
        <w:ind w:firstLine="720" w:end="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Utilities that own generation, transmission and distribution assets.  </w:t>
      </w:r>
    </w:p>
  </w:footnote>
  <w:footnote w:id="3">
    <w:p>
      <w:pPr>
        <w:pStyle w:val="FootnoteText"/>
        <w:rPr/>
      </w:pPr>
      <w:r>
        <w:rPr>
          <w:rStyle w:val="FootnoteCharacters"/>
        </w:rPr>
        <w:footnoteRef/>
      </w:r>
      <w:r>
        <w:rPr/>
        <w:t xml:space="preserve"> </w:t>
      </w:r>
      <w:r>
        <w:rPr/>
        <w:t>Most notably, the 1992 Energy Policy Act.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2001-03-30T13:41:00Z</dcterms:created>
  <dc:creator>FERC</dc:creator>
  <dc:description/>
  <dc:language>en-CA</dc:language>
  <cp:lastModifiedBy>Jackie Gallagher</cp:lastModifiedBy>
  <cp:lastPrinted>2001-03-21T17:44:00Z</cp:lastPrinted>
  <dcterms:modified xsi:type="dcterms:W3CDTF">2001-03-30T13:41:00Z</dcterms:modified>
  <cp:revision>2</cp:revision>
  <dc:subject/>
  <dc:title>Immediate Policy Need</dc:title>
</cp:coreProperties>
</file>