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t>Recovery of Storage Costs from Bundled Customers</w:t>
      </w:r>
    </w:p>
    <w:p>
      <w:pPr>
        <w:pStyle w:val="Heading"/>
        <w:rPr>
          <w:i/>
          <w:i/>
          <w:iCs/>
          <w:sz w:val="32"/>
          <w:szCs w:val="32"/>
        </w:rPr>
      </w:pPr>
      <w:r>
        <w:rPr>
          <w:sz w:val="32"/>
          <w:szCs w:val="32"/>
        </w:rPr>
        <w:t>- Storage Costs in Procurement -</w:t>
      </w:r>
    </w:p>
    <w:p>
      <w:pPr>
        <w:pStyle w:val="Normal"/>
        <w:rPr>
          <w:i/>
          <w:i/>
          <w:iCs/>
          <w:color w:val="000000"/>
          <w:sz w:val="40"/>
          <w:szCs w:val="40"/>
        </w:rPr>
      </w:pPr>
      <w:r>
        <w:rPr>
          <w:i/>
          <w:iCs/>
          <w:color w:val="000000"/>
          <w:sz w:val="40"/>
          <w:szCs w:val="40"/>
        </w:rPr>
      </w:r>
    </w:p>
    <w:p>
      <w:pPr>
        <w:pStyle w:val="Normal"/>
        <w:rPr>
          <w:i/>
          <w:i/>
          <w:iCs/>
          <w:color w:val="000000"/>
          <w:sz w:val="40"/>
          <w:szCs w:val="40"/>
        </w:rPr>
      </w:pPr>
      <w:r>
        <w:rPr>
          <w:i/>
          <w:iCs/>
          <w:color w:val="000000"/>
          <w:sz w:val="40"/>
          <w:szCs w:val="40"/>
        </w:rPr>
      </w:r>
    </w:p>
    <w:p>
      <w:pPr>
        <w:pStyle w:val="Normal"/>
        <w:rPr>
          <w:i/>
          <w:i/>
          <w:iCs/>
          <w:color w:val="000000"/>
          <w:sz w:val="32"/>
          <w:szCs w:val="32"/>
        </w:rPr>
      </w:pPr>
      <w:r>
        <w:rPr>
          <w:i/>
          <w:iCs/>
          <w:color w:val="000000"/>
          <w:sz w:val="32"/>
          <w:szCs w:val="32"/>
        </w:rPr>
        <w:t xml:space="preserve">The following pages provide an example of transportation and procurement rate changes for bundled core customers resulting from the unbundling of storage costs for core transport customers.  Upon implementation of CTA storage unbundling, storage costs will be recovered through core  procurement rates, rather than transportation rates.  The actual rate changes depend on the amount of storage that CTAs contract for, and the transportation and monthly core procurement rate in effect. </w:t>
      </w:r>
    </w:p>
    <w:p>
      <w:pPr>
        <w:pStyle w:val="Normal"/>
        <w:rPr>
          <w:i/>
          <w:i/>
          <w:iCs/>
          <w:color w:val="000000"/>
          <w:sz w:val="32"/>
          <w:szCs w:val="32"/>
        </w:rPr>
      </w:pPr>
      <w:r>
        <w:rPr>
          <w:i/>
          <w:iCs/>
          <w:color w:val="000000"/>
          <w:sz w:val="32"/>
          <w:szCs w:val="32"/>
        </w:rPr>
      </w:r>
    </w:p>
    <w:p>
      <w:pPr>
        <w:pStyle w:val="Normal"/>
        <w:rPr>
          <w:i/>
          <w:i/>
          <w:iCs/>
          <w:color w:val="000000"/>
          <w:sz w:val="32"/>
          <w:szCs w:val="32"/>
        </w:rPr>
      </w:pPr>
      <w:r>
        <w:rPr>
          <w:i/>
          <w:iCs/>
          <w:color w:val="000000"/>
          <w:sz w:val="32"/>
          <w:szCs w:val="32"/>
        </w:rPr>
        <w:t>The illustration compares March 2000 rates with storage costs recovered in transportation rates, to March 2000 rates with storage costs recovered in procurement rates.  Two cases are shown:  1)  CTAs reject 0 percent of the offered storage capacity and no additional storage costs are allocated to the core procurement customers; and 2) CTAs reject 5 percent of the offered storage capacity and these additional costs are allocated to core procurement customers.</w:t>
      </w:r>
    </w:p>
    <w:p>
      <w:pPr>
        <w:pStyle w:val="Normal"/>
        <w:rPr>
          <w:i/>
          <w:i/>
          <w:iCs/>
          <w:color w:val="000000"/>
          <w:sz w:val="32"/>
          <w:szCs w:val="32"/>
        </w:rPr>
      </w:pPr>
      <w:r>
        <w:rPr>
          <w:i/>
          <w:iCs/>
          <w:color w:val="000000"/>
          <w:sz w:val="32"/>
          <w:szCs w:val="32"/>
        </w:rPr>
      </w:r>
    </w:p>
    <w:p>
      <w:pPr>
        <w:pStyle w:val="Normal"/>
        <w:rPr>
          <w:i/>
          <w:i/>
          <w:iCs/>
          <w:color w:val="000000"/>
          <w:sz w:val="32"/>
          <w:szCs w:val="32"/>
        </w:rPr>
      </w:pPr>
      <w:r>
        <w:rPr>
          <w:i/>
          <w:iCs/>
          <w:color w:val="000000"/>
          <w:sz w:val="32"/>
          <w:szCs w:val="32"/>
        </w:rPr>
        <w:t>Unbundled storage costs are allocated to rate classes based upon their cold year winter season throughputs -- consistent with currently adopted methods.  Rates that reflect the illustrated methodology would be effective upon implementation of CTA core storage unbundling, as specified in the pro forma draft of Schedule G</w:t>
        <w:noBreakHyphen/>
        <w:t>CT.</w:t>
      </w:r>
      <w:r>
        <w:br w:type="page"/>
      </w:r>
    </w:p>
    <w:p>
      <w:pPr>
        <w:pStyle w:val="Normal"/>
        <w:rPr>
          <w:b/>
          <w:bCs/>
          <w:i/>
          <w:i/>
          <w:iCs/>
          <w:color w:val="000000"/>
          <w:sz w:val="4"/>
          <w:szCs w:val="4"/>
        </w:rPr>
      </w:pPr>
      <w:r>
        <w:rPr>
          <w:b/>
          <w:bCs/>
          <w:i/>
          <w:iCs/>
          <w:color w:val="000000"/>
          <w:sz w:val="4"/>
          <w:szCs w:val="4"/>
        </w:rPr>
      </w:r>
    </w:p>
    <w:tbl>
      <w:tblPr>
        <w:tblW w:w="10350" w:type="dxa"/>
        <w:jc w:val="start"/>
        <w:tblInd w:w="-690" w:type="dxa"/>
        <w:tblLayout w:type="fixed"/>
        <w:tblCellMar>
          <w:top w:w="0" w:type="dxa"/>
          <w:start w:w="30" w:type="dxa"/>
          <w:bottom w:w="0" w:type="dxa"/>
          <w:end w:w="30" w:type="dxa"/>
        </w:tblCellMar>
      </w:tblPr>
      <w:tblGrid>
        <w:gridCol w:w="1244"/>
        <w:gridCol w:w="2626"/>
        <w:gridCol w:w="90"/>
        <w:gridCol w:w="1890"/>
        <w:gridCol w:w="1750"/>
        <w:gridCol w:w="1310"/>
        <w:gridCol w:w="1440"/>
      </w:tblGrid>
      <w:tr>
        <w:trPr/>
        <w:tc>
          <w:tcPr>
            <w:tcW w:w="10350" w:type="dxa"/>
            <w:gridSpan w:val="7"/>
            <w:tcBorders/>
          </w:tcPr>
          <w:p>
            <w:pPr>
              <w:pStyle w:val="Normal"/>
              <w:jc w:val="center"/>
              <w:rPr>
                <w:b/>
                <w:bCs/>
                <w:color w:val="000000"/>
                <w:sz w:val="28"/>
                <w:szCs w:val="28"/>
              </w:rPr>
            </w:pPr>
            <w:r>
              <w:rPr>
                <w:b/>
                <w:bCs/>
                <w:color w:val="000000"/>
                <w:sz w:val="28"/>
                <w:szCs w:val="28"/>
              </w:rPr>
              <w:t>Illustrative Rates</w:t>
            </w:r>
          </w:p>
        </w:tc>
      </w:tr>
      <w:tr>
        <w:trPr/>
        <w:tc>
          <w:tcPr>
            <w:tcW w:w="10350" w:type="dxa"/>
            <w:gridSpan w:val="7"/>
            <w:tcBorders/>
          </w:tcPr>
          <w:p>
            <w:pPr>
              <w:pStyle w:val="Heading3"/>
              <w:ind w:hanging="0" w:start="0"/>
              <w:rPr/>
            </w:pPr>
            <w:r>
              <w:rPr/>
              <w:t>Based on Rates Effective March 1, 2000</w:t>
            </w:r>
          </w:p>
        </w:tc>
      </w:tr>
      <w:tr>
        <w:trPr/>
        <w:tc>
          <w:tcPr>
            <w:tcW w:w="10350" w:type="dxa"/>
            <w:gridSpan w:val="7"/>
            <w:tcBorders/>
          </w:tcPr>
          <w:p>
            <w:pPr>
              <w:pStyle w:val="Normal"/>
              <w:jc w:val="center"/>
              <w:rPr>
                <w:b/>
                <w:bCs/>
                <w:color w:val="000000"/>
                <w:sz w:val="18"/>
                <w:szCs w:val="18"/>
              </w:rPr>
            </w:pPr>
            <w:r>
              <w:rPr>
                <w:b/>
                <w:bCs/>
                <w:color w:val="000000"/>
                <w:sz w:val="18"/>
                <w:szCs w:val="18"/>
              </w:rPr>
              <w:t>Bundled Vs. Unbundled Storage</w:t>
            </w:r>
          </w:p>
        </w:tc>
      </w:tr>
      <w:tr>
        <w:trPr/>
        <w:tc>
          <w:tcPr>
            <w:tcW w:w="10350" w:type="dxa"/>
            <w:gridSpan w:val="7"/>
            <w:tcBorders/>
          </w:tcPr>
          <w:p>
            <w:pPr>
              <w:pStyle w:val="Normal"/>
              <w:jc w:val="center"/>
              <w:rPr>
                <w:b/>
                <w:bCs/>
                <w:i/>
                <w:i/>
                <w:iCs/>
                <w:color w:val="000000"/>
                <w:sz w:val="18"/>
                <w:szCs w:val="18"/>
              </w:rPr>
            </w:pPr>
            <w:r>
              <w:rPr>
                <w:b/>
                <w:bCs/>
                <w:i/>
                <w:iCs/>
                <w:color w:val="000000"/>
                <w:sz w:val="18"/>
                <w:szCs w:val="18"/>
              </w:rPr>
              <w:t>If Percent of Storage Rejected by CTAs is 0%</w:t>
            </w:r>
          </w:p>
        </w:tc>
      </w:tr>
      <w:tr>
        <w:trPr/>
        <w:tc>
          <w:tcPr>
            <w:tcW w:w="1244" w:type="dxa"/>
            <w:tcBorders/>
          </w:tcPr>
          <w:p>
            <w:pPr>
              <w:pStyle w:val="Normal"/>
              <w:snapToGrid w:val="false"/>
              <w:jc w:val="end"/>
              <w:rPr>
                <w:rFonts w:ascii="Arial" w:hAnsi="Arial" w:eastAsia="Arial" w:cs="Arial"/>
                <w:b/>
                <w:bCs/>
                <w:i/>
                <w:i/>
                <w:iCs/>
                <w:color w:val="000000"/>
                <w:sz w:val="18"/>
                <w:szCs w:val="18"/>
              </w:rPr>
            </w:pPr>
            <w:r>
              <w:rPr>
                <w:rFonts w:eastAsia="Arial" w:cs="Arial" w:ascii="Arial" w:hAnsi="Arial"/>
                <w:b/>
                <w:bCs/>
                <w:i/>
                <w:iCs/>
                <w:color w:val="000000"/>
                <w:sz w:val="18"/>
                <w:szCs w:val="18"/>
              </w:rPr>
            </w:r>
          </w:p>
        </w:tc>
        <w:tc>
          <w:tcPr>
            <w:tcW w:w="2626"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90"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1890"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1750"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1310"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1440"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r>
      <w:tr>
        <w:trPr/>
        <w:tc>
          <w:tcPr>
            <w:tcW w:w="3960" w:type="dxa"/>
            <w:gridSpan w:val="3"/>
            <w:tcBorders>
              <w:top w:val="single" w:sz="18" w:space="0" w:color="000000"/>
              <w:start w:val="single" w:sz="18" w:space="0" w:color="000000"/>
            </w:tcBorders>
            <w:shd w:fill="C0C0C0" w:val="clear"/>
          </w:tcPr>
          <w:p>
            <w:pPr>
              <w:pStyle w:val="Normal"/>
              <w:snapToGrid w:val="false"/>
              <w:rPr>
                <w:rFonts w:ascii="Arial" w:hAnsi="Arial" w:eastAsia="Arial" w:cs="Arial"/>
                <w:b/>
                <w:bCs/>
                <w:color w:val="000000"/>
                <w:sz w:val="18"/>
                <w:szCs w:val="18"/>
              </w:rPr>
            </w:pPr>
            <w:r>
              <w:rPr>
                <w:rFonts w:eastAsia="Arial" w:cs="Arial" w:ascii="Arial" w:hAnsi="Arial"/>
                <w:b/>
                <w:bCs/>
                <w:color w:val="000000"/>
                <w:sz w:val="18"/>
                <w:szCs w:val="18"/>
              </w:rPr>
            </w:r>
          </w:p>
        </w:tc>
        <w:tc>
          <w:tcPr>
            <w:tcW w:w="1890" w:type="dxa"/>
            <w:tcBorders>
              <w:top w:val="single" w:sz="18" w:space="0" w:color="000000"/>
              <w:start w:val="single" w:sz="12" w:space="0" w:color="000000"/>
            </w:tcBorders>
          </w:tcPr>
          <w:p>
            <w:pPr>
              <w:pStyle w:val="Normal"/>
              <w:jc w:val="center"/>
              <w:rPr>
                <w:b/>
                <w:bCs/>
                <w:color w:val="000000"/>
                <w:sz w:val="18"/>
                <w:szCs w:val="18"/>
              </w:rPr>
            </w:pPr>
            <w:r>
              <w:rPr>
                <w:b/>
                <w:bCs/>
                <w:color w:val="000000"/>
                <w:sz w:val="18"/>
                <w:szCs w:val="18"/>
              </w:rPr>
              <w:t>3/1/2000</w:t>
            </w:r>
          </w:p>
        </w:tc>
        <w:tc>
          <w:tcPr>
            <w:tcW w:w="1750" w:type="dxa"/>
            <w:tcBorders>
              <w:top w:val="single" w:sz="18" w:space="0" w:color="000000"/>
              <w:start w:val="single" w:sz="6" w:space="0" w:color="000000"/>
            </w:tcBorders>
          </w:tcPr>
          <w:p>
            <w:pPr>
              <w:pStyle w:val="Normal"/>
              <w:jc w:val="center"/>
              <w:rPr>
                <w:b/>
                <w:bCs/>
                <w:color w:val="000000"/>
                <w:sz w:val="18"/>
                <w:szCs w:val="18"/>
              </w:rPr>
            </w:pPr>
            <w:r>
              <w:rPr>
                <w:b/>
                <w:bCs/>
                <w:color w:val="000000"/>
                <w:sz w:val="18"/>
                <w:szCs w:val="18"/>
              </w:rPr>
              <w:t>3/1/2000</w:t>
            </w:r>
          </w:p>
        </w:tc>
        <w:tc>
          <w:tcPr>
            <w:tcW w:w="1310" w:type="dxa"/>
            <w:tcBorders>
              <w:top w:val="single" w:sz="18" w:space="0" w:color="000000"/>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top w:val="single" w:sz="18" w:space="0" w:color="000000"/>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960" w:type="dxa"/>
            <w:gridSpan w:val="3"/>
            <w:tcBorders>
              <w:start w:val="single" w:sz="18" w:space="0" w:color="000000"/>
            </w:tcBorders>
            <w:shd w:fill="C0C0C0" w:val="clear"/>
          </w:tcPr>
          <w:p>
            <w:pPr>
              <w:pStyle w:val="Normal"/>
              <w:jc w:val="center"/>
              <w:rPr>
                <w:b/>
                <w:bCs/>
                <w:color w:val="000000"/>
                <w:sz w:val="18"/>
                <w:szCs w:val="18"/>
              </w:rPr>
            </w:pPr>
            <w:r>
              <w:rPr>
                <w:b/>
                <w:bCs/>
                <w:color w:val="000000"/>
                <w:sz w:val="18"/>
                <w:szCs w:val="18"/>
              </w:rPr>
              <w:t>CLASS</w:t>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Rates</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Rates</w:t>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1244" w:type="dxa"/>
            <w:tcBorders>
              <w:start w:val="single" w:sz="18" w:space="0" w:color="000000"/>
            </w:tcBorders>
            <w:shd w:fill="C0C0C0" w:val="clear"/>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shd w:fill="C0C0C0" w:val="clear"/>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90" w:type="dxa"/>
            <w:tcBorders/>
            <w:shd w:fill="C0C0C0" w:val="clear"/>
          </w:tcPr>
          <w:p>
            <w:pPr>
              <w:pStyle w:val="Normal"/>
              <w:snapToGrid w:val="false"/>
              <w:jc w:val="center"/>
              <w:rPr>
                <w:b/>
                <w:bCs/>
                <w:color w:val="000000"/>
                <w:sz w:val="18"/>
                <w:szCs w:val="18"/>
              </w:rPr>
            </w:pPr>
            <w:r>
              <w:rPr>
                <w:b/>
                <w:bCs/>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Storage In</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Storage In</w:t>
            </w:r>
          </w:p>
        </w:tc>
        <w:tc>
          <w:tcPr>
            <w:tcW w:w="1310" w:type="dxa"/>
            <w:tcBorders>
              <w:start w:val="double" w:sz="6" w:space="0" w:color="000000"/>
            </w:tcBorders>
          </w:tcPr>
          <w:p>
            <w:pPr>
              <w:pStyle w:val="Normal"/>
              <w:jc w:val="center"/>
              <w:rPr>
                <w:b/>
                <w:bCs/>
                <w:color w:val="000000"/>
                <w:sz w:val="18"/>
                <w:szCs w:val="18"/>
              </w:rPr>
            </w:pPr>
            <w:r>
              <w:rPr>
                <w:b/>
                <w:bCs/>
                <w:color w:val="000000"/>
                <w:sz w:val="18"/>
                <w:szCs w:val="18"/>
              </w:rPr>
              <w:t xml:space="preserve">Total </w:t>
            </w:r>
          </w:p>
        </w:tc>
        <w:tc>
          <w:tcPr>
            <w:tcW w:w="1440" w:type="dxa"/>
            <w:tcBorders>
              <w:end w:val="single" w:sz="18" w:space="0" w:color="000000"/>
            </w:tcBorders>
          </w:tcPr>
          <w:p>
            <w:pPr>
              <w:pStyle w:val="Normal"/>
              <w:jc w:val="center"/>
              <w:rPr>
                <w:b/>
                <w:bCs/>
                <w:color w:val="000000"/>
                <w:sz w:val="18"/>
                <w:szCs w:val="18"/>
              </w:rPr>
            </w:pPr>
            <w:r>
              <w:rPr>
                <w:b/>
                <w:bCs/>
                <w:color w:val="000000"/>
                <w:sz w:val="18"/>
                <w:szCs w:val="18"/>
              </w:rPr>
              <w:t>Percent</w:t>
            </w:r>
          </w:p>
        </w:tc>
      </w:tr>
      <w:tr>
        <w:trPr/>
        <w:tc>
          <w:tcPr>
            <w:tcW w:w="1244" w:type="dxa"/>
            <w:tcBorders>
              <w:start w:val="single" w:sz="18" w:space="0" w:color="000000"/>
              <w:bottom w:val="single" w:sz="12" w:space="0" w:color="000000"/>
            </w:tcBorders>
            <w:shd w:fill="C0C0C0" w:val="clear"/>
          </w:tcPr>
          <w:p>
            <w:pPr>
              <w:pStyle w:val="Normal"/>
              <w:snapToGrid w:val="false"/>
              <w:jc w:val="center"/>
              <w:rPr>
                <w:b/>
                <w:bCs/>
                <w:color w:val="000000"/>
                <w:sz w:val="18"/>
                <w:szCs w:val="18"/>
              </w:rPr>
            </w:pPr>
            <w:r>
              <w:rPr>
                <w:b/>
                <w:bCs/>
                <w:color w:val="000000"/>
                <w:sz w:val="18"/>
                <w:szCs w:val="18"/>
              </w:rPr>
            </w:r>
          </w:p>
        </w:tc>
        <w:tc>
          <w:tcPr>
            <w:tcW w:w="2626" w:type="dxa"/>
            <w:tcBorders>
              <w:bottom w:val="single" w:sz="12" w:space="0" w:color="000000"/>
            </w:tcBorders>
            <w:shd w:fill="C0C0C0" w:val="clear"/>
          </w:tcPr>
          <w:p>
            <w:pPr>
              <w:pStyle w:val="Normal"/>
              <w:snapToGrid w:val="false"/>
              <w:jc w:val="center"/>
              <w:rPr>
                <w:b/>
                <w:bCs/>
                <w:color w:val="000000"/>
                <w:sz w:val="18"/>
                <w:szCs w:val="18"/>
              </w:rPr>
            </w:pPr>
            <w:r>
              <w:rPr>
                <w:b/>
                <w:bCs/>
                <w:color w:val="000000"/>
                <w:sz w:val="18"/>
                <w:szCs w:val="18"/>
              </w:rPr>
            </w:r>
          </w:p>
        </w:tc>
        <w:tc>
          <w:tcPr>
            <w:tcW w:w="90" w:type="dxa"/>
            <w:tcBorders>
              <w:bottom w:val="single" w:sz="12" w:space="0" w:color="000000"/>
            </w:tcBorders>
            <w:shd w:fill="C0C0C0" w:val="clear"/>
          </w:tcPr>
          <w:p>
            <w:pPr>
              <w:pStyle w:val="Normal"/>
              <w:snapToGrid w:val="false"/>
              <w:jc w:val="center"/>
              <w:rPr>
                <w:b/>
                <w:bCs/>
                <w:color w:val="000000"/>
                <w:sz w:val="18"/>
                <w:szCs w:val="18"/>
              </w:rPr>
            </w:pPr>
            <w:r>
              <w:rPr>
                <w:b/>
                <w:bCs/>
                <w:color w:val="000000"/>
                <w:sz w:val="18"/>
                <w:szCs w:val="18"/>
              </w:rPr>
            </w:r>
          </w:p>
        </w:tc>
        <w:tc>
          <w:tcPr>
            <w:tcW w:w="1890" w:type="dxa"/>
            <w:tcBorders>
              <w:start w:val="single" w:sz="12" w:space="0" w:color="000000"/>
              <w:bottom w:val="single" w:sz="12" w:space="0" w:color="000000"/>
            </w:tcBorders>
          </w:tcPr>
          <w:p>
            <w:pPr>
              <w:pStyle w:val="Normal"/>
              <w:jc w:val="center"/>
              <w:rPr>
                <w:b/>
                <w:bCs/>
                <w:color w:val="000000"/>
                <w:sz w:val="18"/>
                <w:szCs w:val="18"/>
              </w:rPr>
            </w:pPr>
            <w:r>
              <w:rPr>
                <w:b/>
                <w:bCs/>
                <w:color w:val="000000"/>
                <w:sz w:val="18"/>
                <w:szCs w:val="18"/>
              </w:rPr>
              <w:t>Trans. Rate.</w:t>
            </w:r>
          </w:p>
          <w:p>
            <w:pPr>
              <w:pStyle w:val="Normal"/>
              <w:jc w:val="center"/>
              <w:rPr>
                <w:b/>
                <w:bCs/>
                <w:color w:val="000000"/>
                <w:sz w:val="18"/>
                <w:szCs w:val="18"/>
              </w:rPr>
            </w:pPr>
            <w:r>
              <w:rPr>
                <w:b/>
                <w:bCs/>
                <w:color w:val="000000"/>
                <w:sz w:val="18"/>
                <w:szCs w:val="18"/>
              </w:rPr>
              <w:t>($/therm)</w:t>
            </w:r>
          </w:p>
        </w:tc>
        <w:tc>
          <w:tcPr>
            <w:tcW w:w="1750" w:type="dxa"/>
            <w:tcBorders>
              <w:start w:val="single" w:sz="6" w:space="0" w:color="000000"/>
              <w:bottom w:val="single" w:sz="12" w:space="0" w:color="000000"/>
            </w:tcBorders>
          </w:tcPr>
          <w:p>
            <w:pPr>
              <w:pStyle w:val="Normal"/>
              <w:jc w:val="center"/>
              <w:rPr>
                <w:b/>
                <w:bCs/>
                <w:color w:val="000000"/>
                <w:sz w:val="18"/>
                <w:szCs w:val="18"/>
              </w:rPr>
            </w:pPr>
            <w:r>
              <w:rPr>
                <w:b/>
                <w:bCs/>
                <w:color w:val="000000"/>
                <w:sz w:val="18"/>
                <w:szCs w:val="18"/>
              </w:rPr>
              <w:t>Proc. Rate. .</w:t>
            </w:r>
          </w:p>
          <w:p>
            <w:pPr>
              <w:pStyle w:val="Normal"/>
              <w:jc w:val="center"/>
              <w:rPr>
                <w:b/>
                <w:bCs/>
                <w:color w:val="000000"/>
                <w:sz w:val="18"/>
                <w:szCs w:val="18"/>
              </w:rPr>
            </w:pPr>
            <w:r>
              <w:rPr>
                <w:b/>
                <w:bCs/>
                <w:color w:val="000000"/>
                <w:sz w:val="18"/>
                <w:szCs w:val="18"/>
              </w:rPr>
              <w:t>($/therm)</w:t>
            </w:r>
          </w:p>
        </w:tc>
        <w:tc>
          <w:tcPr>
            <w:tcW w:w="1310" w:type="dxa"/>
            <w:tcBorders>
              <w:start w:val="double" w:sz="6" w:space="0" w:color="000000"/>
              <w:bottom w:val="single" w:sz="12" w:space="0" w:color="000000"/>
            </w:tcBorders>
          </w:tcPr>
          <w:p>
            <w:pPr>
              <w:pStyle w:val="Normal"/>
              <w:jc w:val="center"/>
              <w:rPr>
                <w:b/>
                <w:bCs/>
                <w:color w:val="000000"/>
                <w:sz w:val="18"/>
                <w:szCs w:val="18"/>
              </w:rPr>
            </w:pPr>
            <w:r>
              <w:rPr>
                <w:b/>
                <w:bCs/>
                <w:color w:val="000000"/>
                <w:sz w:val="18"/>
                <w:szCs w:val="18"/>
              </w:rPr>
              <w:t>Change.</w:t>
            </w:r>
          </w:p>
          <w:p>
            <w:pPr>
              <w:pStyle w:val="Normal"/>
              <w:jc w:val="center"/>
              <w:rPr>
                <w:b/>
                <w:bCs/>
                <w:color w:val="000000"/>
                <w:sz w:val="18"/>
                <w:szCs w:val="18"/>
              </w:rPr>
            </w:pPr>
            <w:r>
              <w:rPr>
                <w:b/>
                <w:bCs/>
                <w:color w:val="000000"/>
                <w:sz w:val="18"/>
                <w:szCs w:val="18"/>
              </w:rPr>
              <w:t>($/therm)</w:t>
            </w:r>
          </w:p>
        </w:tc>
        <w:tc>
          <w:tcPr>
            <w:tcW w:w="1440" w:type="dxa"/>
            <w:tcBorders>
              <w:bottom w:val="single" w:sz="12" w:space="0" w:color="000000"/>
              <w:end w:val="single" w:sz="18" w:space="0" w:color="000000"/>
            </w:tcBorders>
          </w:tcPr>
          <w:p>
            <w:pPr>
              <w:pStyle w:val="Normal"/>
              <w:jc w:val="center"/>
              <w:rPr>
                <w:b/>
                <w:bCs/>
                <w:color w:val="000000"/>
                <w:sz w:val="18"/>
                <w:szCs w:val="18"/>
              </w:rPr>
            </w:pPr>
            <w:r>
              <w:rPr>
                <w:b/>
                <w:bCs/>
                <w:color w:val="000000"/>
                <w:sz w:val="18"/>
                <w:szCs w:val="18"/>
              </w:rPr>
              <w:t>Change.</w:t>
            </w:r>
          </w:p>
          <w:p>
            <w:pPr>
              <w:pStyle w:val="Normal"/>
              <w:jc w:val="center"/>
              <w:rPr>
                <w:b/>
                <w:bCs/>
                <w:color w:val="000000"/>
                <w:sz w:val="18"/>
                <w:szCs w:val="18"/>
              </w:rPr>
            </w:pPr>
            <w:r>
              <w:rPr>
                <w:b/>
                <w:bCs/>
                <w:color w:val="000000"/>
                <w:sz w:val="18"/>
                <w:szCs w:val="18"/>
              </w:rPr>
              <w:t>(%)</w:t>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RESIDENTIAL</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6"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Tier I  (Baseline)</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6"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0.31137</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0.29753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-0.01384</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-4.44%</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0.31622</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0.33341</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0.01719</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5.44%</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0.62759</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0.63094</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0.00335</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0.53%</w:t>
            </w:r>
          </w:p>
        </w:tc>
      </w:tr>
      <w:tr>
        <w:trPr/>
        <w:tc>
          <w:tcPr>
            <w:tcW w:w="1244" w:type="dxa"/>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Tier II</w:t>
            </w:r>
          </w:p>
        </w:tc>
        <w:tc>
          <w:tcPr>
            <w:tcW w:w="2626"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0.50058</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0.48189</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-0.01869</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-3.73%</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0.31622</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0.33341</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0.01719</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5.44%</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0.81680</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0.81530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-0.00150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-0.18%</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SMALL COMMERCIAL (G-NR1)</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Summer Volumetric (1st 4,000)</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0.27384</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0.27092</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-0.00292</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-1.07%</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0.31252</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0.32953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0.01701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5.44%</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0.58636</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0.60045</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0.01409</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2.40%</w:t>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Summer Volumetric (Excess)</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Trans</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0.11268</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0.10647</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-0.00621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-5.51%</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Proc</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0.31252</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0.32953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0.01701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5.44%</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0.42520</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0.43600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0.01080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2.54%</w:t>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Winter Volumetric (1st 4,000)</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0.37525</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0.34938</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-0.02587</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-6.89%</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0.31849</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0.33550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0.01701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5.34%</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0.69374</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0.68488</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-0.00886</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-1.28%</w:t>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Winter Volumetric (Excess)</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0.15441</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0.13730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-0.01711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-11.08%</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0.31849</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0.33550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0.01701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5.34%</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0.47290</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0.47280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-0.00010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-0.02%</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LARGE COMMERCIAL (G-NR2)</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Summer Volumetric (1st 4,000)</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0.37525</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0.37233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-0.00292</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-0.78%</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0.30060</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0.31390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0.01330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4.42%</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0.67585</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0.68623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0.01038</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1.54%</w:t>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Summer Volumetric (Excess)</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Trans</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0.15441</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0.14821</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-0.00620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-4.02%</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Proc</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0.30060</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0.31390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0.01330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4.42%</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0.45501</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0.46211</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0.00710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1.56%</w:t>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Winter Volumetric (1st 4,000)</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0.37525</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0.34938</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-0.02587</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-6.89%</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0.30556</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0.31886</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0.01330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4.35%</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0.68081</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0.66824</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-0.01257</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-1.85%</w:t>
            </w:r>
          </w:p>
        </w:tc>
      </w:tr>
      <w:tr>
        <w:trPr/>
        <w:tc>
          <w:tcPr>
            <w:tcW w:w="3870" w:type="dxa"/>
            <w:gridSpan w:val="2"/>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Winter Volumetric (Excess)</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0.15441</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0.13730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-0.01711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-11.08%</w:t>
            </w:r>
          </w:p>
        </w:tc>
      </w:tr>
      <w:tr>
        <w:trPr/>
        <w:tc>
          <w:tcPr>
            <w:tcW w:w="124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9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tcBorders>
          </w:tcPr>
          <w:p>
            <w:pPr>
              <w:pStyle w:val="Normal"/>
              <w:jc w:val="center"/>
              <w:rPr>
                <w:b/>
                <w:bCs/>
                <w:color w:val="000000"/>
                <w:sz w:val="18"/>
                <w:szCs w:val="18"/>
              </w:rPr>
            </w:pPr>
            <w:r>
              <w:rPr>
                <w:b/>
                <w:bCs/>
                <w:color w:val="000000"/>
                <w:sz w:val="18"/>
                <w:szCs w:val="18"/>
              </w:rPr>
              <w:t>0.30556</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0.31886</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0.01330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4.35%</w:t>
            </w:r>
          </w:p>
        </w:tc>
      </w:tr>
      <w:tr>
        <w:trPr/>
        <w:tc>
          <w:tcPr>
            <w:tcW w:w="1244" w:type="dxa"/>
            <w:tcBorders>
              <w:start w:val="single" w:sz="18" w:space="0" w:color="000000"/>
              <w:bottom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626" w:type="dxa"/>
            <w:tcBorders>
              <w:bottom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90" w:type="dxa"/>
            <w:tcBorders>
              <w:bottom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890" w:type="dxa"/>
            <w:tcBorders>
              <w:start w:val="single" w:sz="12" w:space="0" w:color="000000"/>
              <w:bottom w:val="single" w:sz="18" w:space="0" w:color="000000"/>
            </w:tcBorders>
          </w:tcPr>
          <w:p>
            <w:pPr>
              <w:pStyle w:val="Normal"/>
              <w:jc w:val="center"/>
              <w:rPr>
                <w:b/>
                <w:bCs/>
                <w:color w:val="000000"/>
                <w:sz w:val="18"/>
                <w:szCs w:val="18"/>
              </w:rPr>
            </w:pPr>
            <w:r>
              <w:rPr>
                <w:b/>
                <w:bCs/>
                <w:color w:val="000000"/>
                <w:sz w:val="18"/>
                <w:szCs w:val="18"/>
              </w:rPr>
              <w:t>0.45997</w:t>
            </w:r>
          </w:p>
        </w:tc>
        <w:tc>
          <w:tcPr>
            <w:tcW w:w="1750" w:type="dxa"/>
            <w:tcBorders>
              <w:start w:val="single" w:sz="6" w:space="0" w:color="000000"/>
              <w:bottom w:val="single" w:sz="18" w:space="0" w:color="000000"/>
            </w:tcBorders>
          </w:tcPr>
          <w:p>
            <w:pPr>
              <w:pStyle w:val="Normal"/>
              <w:jc w:val="center"/>
              <w:rPr>
                <w:b/>
                <w:bCs/>
                <w:color w:val="000000"/>
                <w:sz w:val="18"/>
                <w:szCs w:val="18"/>
              </w:rPr>
            </w:pPr>
            <w:r>
              <w:rPr>
                <w:b/>
                <w:bCs/>
                <w:color w:val="000000"/>
                <w:sz w:val="18"/>
                <w:szCs w:val="18"/>
              </w:rPr>
              <w:t>0.45616</w:t>
            </w:r>
          </w:p>
        </w:tc>
        <w:tc>
          <w:tcPr>
            <w:tcW w:w="1310" w:type="dxa"/>
            <w:tcBorders>
              <w:start w:val="double" w:sz="6" w:space="0" w:color="000000"/>
              <w:bottom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-0.00381</w:t>
            </w:r>
          </w:p>
        </w:tc>
        <w:tc>
          <w:tcPr>
            <w:tcW w:w="1440" w:type="dxa"/>
            <w:tcBorders>
              <w:bottom w:val="single" w:sz="18" w:space="0" w:color="000000"/>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-0.83%</w:t>
            </w:r>
          </w:p>
        </w:tc>
      </w:tr>
    </w:tbl>
    <w:p>
      <w:pPr>
        <w:pStyle w:val="Normal"/>
        <w:rPr>
          <w:sz w:val="18"/>
          <w:szCs w:val="18"/>
        </w:rPr>
      </w:pPr>
      <w:r>
        <w:br w:type="page"/>
      </w:r>
      <w:r>
        <w:rPr>
          <w:sz w:val="18"/>
          <w:szCs w:val="18"/>
        </w:rPr>
      </w:r>
    </w:p>
    <w:tbl>
      <w:tblPr>
        <w:tblW w:w="10020" w:type="dxa"/>
        <w:jc w:val="start"/>
        <w:tblInd w:w="-600" w:type="dxa"/>
        <w:tblLayout w:type="fixed"/>
        <w:tblCellMar>
          <w:top w:w="0" w:type="dxa"/>
          <w:start w:w="30" w:type="dxa"/>
          <w:bottom w:w="0" w:type="dxa"/>
          <w:end w:w="30" w:type="dxa"/>
        </w:tblCellMar>
      </w:tblPr>
      <w:tblGrid>
        <w:gridCol w:w="914"/>
        <w:gridCol w:w="2356"/>
        <w:gridCol w:w="180"/>
        <w:gridCol w:w="320"/>
        <w:gridCol w:w="1750"/>
        <w:gridCol w:w="1750"/>
        <w:gridCol w:w="1310"/>
        <w:gridCol w:w="1440"/>
      </w:tblGrid>
      <w:tr>
        <w:trPr/>
        <w:tc>
          <w:tcPr>
            <w:tcW w:w="10020" w:type="dxa"/>
            <w:gridSpan w:val="8"/>
            <w:tcBorders/>
          </w:tcPr>
          <w:p>
            <w:pPr>
              <w:pStyle w:val="Heading2"/>
              <w:ind w:hanging="0" w:start="0"/>
              <w:rPr/>
            </w:pPr>
            <w:r>
              <w:rPr/>
              <w:t>Illustrative Rates</w:t>
            </w:r>
          </w:p>
        </w:tc>
      </w:tr>
      <w:tr>
        <w:trPr/>
        <w:tc>
          <w:tcPr>
            <w:tcW w:w="10020" w:type="dxa"/>
            <w:gridSpan w:val="8"/>
            <w:tcBorders/>
          </w:tcPr>
          <w:p>
            <w:pPr>
              <w:pStyle w:val="Normal"/>
              <w:jc w:val="center"/>
              <w:rPr>
                <w:b/>
                <w:bCs/>
                <w:color w:val="000000"/>
                <w:sz w:val="18"/>
                <w:szCs w:val="18"/>
              </w:rPr>
            </w:pPr>
            <w:r>
              <w:rPr>
                <w:b/>
                <w:bCs/>
                <w:color w:val="000000"/>
                <w:sz w:val="18"/>
                <w:szCs w:val="18"/>
              </w:rPr>
              <w:t>Based on Rates Effective March 1, 2000</w:t>
            </w:r>
          </w:p>
        </w:tc>
      </w:tr>
      <w:tr>
        <w:trPr/>
        <w:tc>
          <w:tcPr>
            <w:tcW w:w="10020" w:type="dxa"/>
            <w:gridSpan w:val="8"/>
            <w:tcBorders/>
          </w:tcPr>
          <w:p>
            <w:pPr>
              <w:pStyle w:val="Normal"/>
              <w:jc w:val="center"/>
              <w:rPr>
                <w:b/>
                <w:bCs/>
                <w:color w:val="000000"/>
                <w:sz w:val="18"/>
                <w:szCs w:val="18"/>
              </w:rPr>
            </w:pPr>
            <w:r>
              <w:rPr>
                <w:b/>
                <w:bCs/>
                <w:color w:val="000000"/>
                <w:sz w:val="18"/>
                <w:szCs w:val="18"/>
              </w:rPr>
              <w:t>Bundled Vs. Unbundled Storage</w:t>
            </w:r>
          </w:p>
        </w:tc>
      </w:tr>
      <w:tr>
        <w:trPr/>
        <w:tc>
          <w:tcPr>
            <w:tcW w:w="10020" w:type="dxa"/>
            <w:gridSpan w:val="8"/>
            <w:tcBorders/>
          </w:tcPr>
          <w:p>
            <w:pPr>
              <w:pStyle w:val="Heading1"/>
              <w:ind w:hanging="0" w:start="0"/>
              <w:rPr/>
            </w:pPr>
            <w:r>
              <w:rPr/>
              <w:t>If Percent of Storage Rejected by CTAs is 5%</w:t>
            </w:r>
          </w:p>
        </w:tc>
      </w:tr>
      <w:tr>
        <w:trPr/>
        <w:tc>
          <w:tcPr>
            <w:tcW w:w="914" w:type="dxa"/>
            <w:tcBorders/>
          </w:tcPr>
          <w:p>
            <w:pPr>
              <w:pStyle w:val="Normal"/>
              <w:snapToGrid w:val="false"/>
              <w:jc w:val="end"/>
              <w:rPr>
                <w:rFonts w:ascii="Arial" w:hAnsi="Arial" w:eastAsia="Arial" w:cs="Arial"/>
                <w:i/>
                <w:i/>
                <w:iCs/>
                <w:color w:val="000000"/>
                <w:sz w:val="18"/>
                <w:szCs w:val="18"/>
              </w:rPr>
            </w:pPr>
            <w:r>
              <w:rPr>
                <w:rFonts w:eastAsia="Arial" w:cs="Arial" w:ascii="Arial" w:hAnsi="Arial"/>
                <w:i/>
                <w:iCs/>
                <w:color w:val="000000"/>
                <w:sz w:val="18"/>
                <w:szCs w:val="18"/>
              </w:rPr>
            </w:r>
          </w:p>
        </w:tc>
        <w:tc>
          <w:tcPr>
            <w:tcW w:w="2356"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500" w:type="dxa"/>
            <w:gridSpan w:val="2"/>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1310" w:type="dxa"/>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144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770" w:type="dxa"/>
            <w:gridSpan w:val="4"/>
            <w:tcBorders>
              <w:top w:val="single" w:sz="18" w:space="0" w:color="000000"/>
              <w:start w:val="single" w:sz="18" w:space="0" w:color="000000"/>
            </w:tcBorders>
            <w:shd w:fill="C0C0C0" w:val="clear"/>
          </w:tcPr>
          <w:p>
            <w:pPr>
              <w:pStyle w:val="Normal"/>
              <w:snapToGrid w:val="false"/>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top w:val="single" w:sz="18" w:space="0" w:color="000000"/>
              <w:start w:val="single" w:sz="12" w:space="0" w:color="000000"/>
            </w:tcBorders>
          </w:tcPr>
          <w:p>
            <w:pPr>
              <w:pStyle w:val="Normal"/>
              <w:jc w:val="center"/>
              <w:rPr>
                <w:b/>
                <w:bCs/>
                <w:color w:val="000000"/>
                <w:sz w:val="18"/>
                <w:szCs w:val="18"/>
              </w:rPr>
            </w:pPr>
            <w:r>
              <w:rPr>
                <w:b/>
                <w:bCs/>
                <w:color w:val="000000"/>
                <w:sz w:val="18"/>
                <w:szCs w:val="18"/>
              </w:rPr>
              <w:t>3/1/2000</w:t>
            </w:r>
          </w:p>
        </w:tc>
        <w:tc>
          <w:tcPr>
            <w:tcW w:w="1750" w:type="dxa"/>
            <w:tcBorders>
              <w:top w:val="single" w:sz="18" w:space="0" w:color="000000"/>
              <w:start w:val="single" w:sz="6" w:space="0" w:color="000000"/>
            </w:tcBorders>
          </w:tcPr>
          <w:p>
            <w:pPr>
              <w:pStyle w:val="Normal"/>
              <w:jc w:val="center"/>
              <w:rPr>
                <w:b/>
                <w:bCs/>
                <w:color w:val="000000"/>
                <w:sz w:val="18"/>
                <w:szCs w:val="18"/>
              </w:rPr>
            </w:pPr>
            <w:r>
              <w:rPr>
                <w:b/>
                <w:bCs/>
                <w:color w:val="000000"/>
                <w:sz w:val="18"/>
                <w:szCs w:val="18"/>
              </w:rPr>
              <w:t>3/1/2000</w:t>
            </w:r>
          </w:p>
        </w:tc>
        <w:tc>
          <w:tcPr>
            <w:tcW w:w="1310" w:type="dxa"/>
            <w:tcBorders>
              <w:top w:val="single" w:sz="18" w:space="0" w:color="000000"/>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top w:val="single" w:sz="18" w:space="0" w:color="000000"/>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770" w:type="dxa"/>
            <w:gridSpan w:val="4"/>
            <w:tcBorders>
              <w:start w:val="single" w:sz="18" w:space="0" w:color="000000"/>
            </w:tcBorders>
            <w:shd w:fill="C0C0C0" w:val="clear"/>
          </w:tcPr>
          <w:p>
            <w:pPr>
              <w:pStyle w:val="Normal"/>
              <w:jc w:val="center"/>
              <w:rPr>
                <w:b/>
                <w:bCs/>
                <w:color w:val="000000"/>
                <w:sz w:val="18"/>
                <w:szCs w:val="18"/>
              </w:rPr>
            </w:pPr>
            <w:r>
              <w:rPr>
                <w:b/>
                <w:bCs/>
                <w:color w:val="000000"/>
                <w:sz w:val="18"/>
                <w:szCs w:val="18"/>
              </w:rPr>
              <w:t>CLASS</w:t>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Rates with</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Rates with</w:t>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914" w:type="dxa"/>
            <w:tcBorders>
              <w:start w:val="single" w:sz="18" w:space="0" w:color="000000"/>
            </w:tcBorders>
            <w:shd w:fill="C0C0C0" w:val="clear"/>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shd w:fill="C0C0C0" w:val="clear"/>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320" w:type="dxa"/>
            <w:tcBorders/>
            <w:shd w:fill="C0C0C0" w:val="clear"/>
          </w:tcPr>
          <w:p>
            <w:pPr>
              <w:pStyle w:val="Normal"/>
              <w:snapToGrid w:val="false"/>
              <w:jc w:val="center"/>
              <w:rPr>
                <w:b/>
                <w:bCs/>
                <w:color w:val="000000"/>
                <w:sz w:val="18"/>
                <w:szCs w:val="18"/>
              </w:rPr>
            </w:pPr>
            <w:r>
              <w:rPr>
                <w:b/>
                <w:bCs/>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Storage In</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Storage In</w:t>
            </w:r>
          </w:p>
        </w:tc>
        <w:tc>
          <w:tcPr>
            <w:tcW w:w="1310" w:type="dxa"/>
            <w:tcBorders>
              <w:start w:val="double" w:sz="6" w:space="0" w:color="000000"/>
            </w:tcBorders>
          </w:tcPr>
          <w:p>
            <w:pPr>
              <w:pStyle w:val="Normal"/>
              <w:jc w:val="center"/>
              <w:rPr>
                <w:b/>
                <w:bCs/>
                <w:color w:val="000000"/>
                <w:sz w:val="18"/>
                <w:szCs w:val="18"/>
              </w:rPr>
            </w:pPr>
            <w:r>
              <w:rPr>
                <w:b/>
                <w:bCs/>
                <w:color w:val="000000"/>
                <w:sz w:val="18"/>
                <w:szCs w:val="18"/>
              </w:rPr>
              <w:t xml:space="preserve">Total </w:t>
            </w:r>
          </w:p>
        </w:tc>
        <w:tc>
          <w:tcPr>
            <w:tcW w:w="1440" w:type="dxa"/>
            <w:tcBorders>
              <w:end w:val="single" w:sz="18" w:space="0" w:color="000000"/>
            </w:tcBorders>
          </w:tcPr>
          <w:p>
            <w:pPr>
              <w:pStyle w:val="Normal"/>
              <w:jc w:val="center"/>
              <w:rPr>
                <w:b/>
                <w:bCs/>
                <w:color w:val="000000"/>
                <w:sz w:val="18"/>
                <w:szCs w:val="18"/>
              </w:rPr>
            </w:pPr>
            <w:r>
              <w:rPr>
                <w:b/>
                <w:bCs/>
                <w:color w:val="000000"/>
                <w:sz w:val="18"/>
                <w:szCs w:val="18"/>
              </w:rPr>
              <w:t>Percent</w:t>
            </w:r>
          </w:p>
        </w:tc>
      </w:tr>
      <w:tr>
        <w:trPr/>
        <w:tc>
          <w:tcPr>
            <w:tcW w:w="914" w:type="dxa"/>
            <w:tcBorders>
              <w:start w:val="single" w:sz="18" w:space="0" w:color="000000"/>
              <w:bottom w:val="single" w:sz="12" w:space="0" w:color="000000"/>
            </w:tcBorders>
            <w:shd w:fill="C0C0C0" w:val="clear"/>
          </w:tcPr>
          <w:p>
            <w:pPr>
              <w:pStyle w:val="Normal"/>
              <w:snapToGrid w:val="false"/>
              <w:jc w:val="center"/>
              <w:rPr>
                <w:b/>
                <w:bCs/>
                <w:color w:val="000000"/>
                <w:sz w:val="18"/>
                <w:szCs w:val="18"/>
              </w:rPr>
            </w:pPr>
            <w:r>
              <w:rPr>
                <w:b/>
                <w:bCs/>
                <w:color w:val="000000"/>
                <w:sz w:val="18"/>
                <w:szCs w:val="18"/>
              </w:rPr>
            </w:r>
          </w:p>
        </w:tc>
        <w:tc>
          <w:tcPr>
            <w:tcW w:w="2536" w:type="dxa"/>
            <w:gridSpan w:val="2"/>
            <w:tcBorders>
              <w:bottom w:val="single" w:sz="12" w:space="0" w:color="000000"/>
            </w:tcBorders>
            <w:shd w:fill="C0C0C0" w:val="clear"/>
          </w:tcPr>
          <w:p>
            <w:pPr>
              <w:pStyle w:val="Normal"/>
              <w:snapToGrid w:val="false"/>
              <w:jc w:val="center"/>
              <w:rPr>
                <w:b/>
                <w:bCs/>
                <w:color w:val="000000"/>
                <w:sz w:val="18"/>
                <w:szCs w:val="18"/>
              </w:rPr>
            </w:pPr>
            <w:r>
              <w:rPr>
                <w:b/>
                <w:bCs/>
                <w:color w:val="000000"/>
                <w:sz w:val="18"/>
                <w:szCs w:val="18"/>
              </w:rPr>
            </w:r>
          </w:p>
        </w:tc>
        <w:tc>
          <w:tcPr>
            <w:tcW w:w="320" w:type="dxa"/>
            <w:tcBorders>
              <w:bottom w:val="single" w:sz="12" w:space="0" w:color="000000"/>
            </w:tcBorders>
            <w:shd w:fill="C0C0C0" w:val="clear"/>
          </w:tcPr>
          <w:p>
            <w:pPr>
              <w:pStyle w:val="Normal"/>
              <w:snapToGrid w:val="false"/>
              <w:jc w:val="center"/>
              <w:rPr>
                <w:b/>
                <w:bCs/>
                <w:color w:val="000000"/>
                <w:sz w:val="18"/>
                <w:szCs w:val="18"/>
              </w:rPr>
            </w:pPr>
            <w:r>
              <w:rPr>
                <w:b/>
                <w:bCs/>
                <w:color w:val="000000"/>
                <w:sz w:val="18"/>
                <w:szCs w:val="18"/>
              </w:rPr>
            </w:r>
          </w:p>
        </w:tc>
        <w:tc>
          <w:tcPr>
            <w:tcW w:w="1750" w:type="dxa"/>
            <w:tcBorders>
              <w:start w:val="single" w:sz="12" w:space="0" w:color="000000"/>
              <w:bottom w:val="single" w:sz="12" w:space="0" w:color="000000"/>
            </w:tcBorders>
          </w:tcPr>
          <w:p>
            <w:pPr>
              <w:pStyle w:val="Normal"/>
              <w:jc w:val="center"/>
              <w:rPr>
                <w:b/>
                <w:bCs/>
                <w:color w:val="000000"/>
                <w:sz w:val="18"/>
                <w:szCs w:val="18"/>
              </w:rPr>
            </w:pPr>
            <w:r>
              <w:rPr>
                <w:b/>
                <w:bCs/>
                <w:color w:val="000000"/>
                <w:sz w:val="18"/>
                <w:szCs w:val="18"/>
              </w:rPr>
              <w:t>Trans. Rate.</w:t>
            </w:r>
          </w:p>
          <w:p>
            <w:pPr>
              <w:pStyle w:val="Normal"/>
              <w:jc w:val="center"/>
              <w:rPr>
                <w:b/>
                <w:bCs/>
                <w:color w:val="000000"/>
                <w:sz w:val="18"/>
                <w:szCs w:val="18"/>
              </w:rPr>
            </w:pPr>
            <w:r>
              <w:rPr>
                <w:b/>
                <w:bCs/>
                <w:color w:val="000000"/>
                <w:sz w:val="18"/>
                <w:szCs w:val="18"/>
              </w:rPr>
              <w:t>($/therm)</w:t>
            </w:r>
          </w:p>
        </w:tc>
        <w:tc>
          <w:tcPr>
            <w:tcW w:w="1750" w:type="dxa"/>
            <w:tcBorders>
              <w:start w:val="single" w:sz="6" w:space="0" w:color="000000"/>
              <w:bottom w:val="single" w:sz="12" w:space="0" w:color="000000"/>
            </w:tcBorders>
          </w:tcPr>
          <w:p>
            <w:pPr>
              <w:pStyle w:val="Normal"/>
              <w:jc w:val="center"/>
              <w:rPr>
                <w:b/>
                <w:bCs/>
                <w:color w:val="000000"/>
                <w:sz w:val="18"/>
                <w:szCs w:val="18"/>
              </w:rPr>
            </w:pPr>
            <w:r>
              <w:rPr>
                <w:b/>
                <w:bCs/>
                <w:color w:val="000000"/>
                <w:sz w:val="18"/>
                <w:szCs w:val="18"/>
              </w:rPr>
              <w:t xml:space="preserve">Proc. Rate. </w:t>
            </w:r>
          </w:p>
          <w:p>
            <w:pPr>
              <w:pStyle w:val="Normal"/>
              <w:jc w:val="center"/>
              <w:rPr>
                <w:b/>
                <w:bCs/>
                <w:color w:val="000000"/>
                <w:sz w:val="18"/>
                <w:szCs w:val="18"/>
              </w:rPr>
            </w:pPr>
            <w:r>
              <w:rPr>
                <w:b/>
                <w:bCs/>
                <w:color w:val="000000"/>
                <w:sz w:val="18"/>
                <w:szCs w:val="18"/>
              </w:rPr>
              <w:t>($/therm)</w:t>
            </w:r>
          </w:p>
        </w:tc>
        <w:tc>
          <w:tcPr>
            <w:tcW w:w="1310" w:type="dxa"/>
            <w:tcBorders>
              <w:start w:val="double" w:sz="6" w:space="0" w:color="000000"/>
              <w:bottom w:val="single" w:sz="12" w:space="0" w:color="000000"/>
            </w:tcBorders>
          </w:tcPr>
          <w:p>
            <w:pPr>
              <w:pStyle w:val="Normal"/>
              <w:jc w:val="center"/>
              <w:rPr>
                <w:b/>
                <w:bCs/>
                <w:color w:val="000000"/>
                <w:sz w:val="18"/>
                <w:szCs w:val="18"/>
              </w:rPr>
            </w:pPr>
            <w:r>
              <w:rPr>
                <w:b/>
                <w:bCs/>
                <w:color w:val="000000"/>
                <w:sz w:val="18"/>
                <w:szCs w:val="18"/>
              </w:rPr>
              <w:t>Change</w:t>
            </w:r>
          </w:p>
          <w:p>
            <w:pPr>
              <w:pStyle w:val="Normal"/>
              <w:jc w:val="center"/>
              <w:rPr>
                <w:b/>
                <w:bCs/>
                <w:color w:val="000000"/>
                <w:sz w:val="18"/>
                <w:szCs w:val="18"/>
              </w:rPr>
            </w:pPr>
            <w:r>
              <w:rPr>
                <w:b/>
                <w:bCs/>
                <w:color w:val="000000"/>
                <w:sz w:val="18"/>
                <w:szCs w:val="18"/>
              </w:rPr>
              <w:t>($/therm)</w:t>
            </w:r>
          </w:p>
        </w:tc>
        <w:tc>
          <w:tcPr>
            <w:tcW w:w="1440" w:type="dxa"/>
            <w:tcBorders>
              <w:bottom w:val="single" w:sz="12" w:space="0" w:color="000000"/>
              <w:end w:val="single" w:sz="18" w:space="0" w:color="000000"/>
            </w:tcBorders>
          </w:tcPr>
          <w:p>
            <w:pPr>
              <w:pStyle w:val="Normal"/>
              <w:jc w:val="center"/>
              <w:rPr>
                <w:b/>
                <w:bCs/>
                <w:color w:val="000000"/>
                <w:sz w:val="18"/>
                <w:szCs w:val="18"/>
              </w:rPr>
            </w:pPr>
            <w:r>
              <w:rPr>
                <w:b/>
                <w:bCs/>
                <w:color w:val="000000"/>
                <w:sz w:val="18"/>
                <w:szCs w:val="18"/>
              </w:rPr>
              <w:t>Change</w:t>
            </w:r>
          </w:p>
          <w:p>
            <w:pPr>
              <w:pStyle w:val="Normal"/>
              <w:jc w:val="center"/>
              <w:rPr>
                <w:b/>
                <w:bCs/>
                <w:color w:val="000000"/>
                <w:sz w:val="18"/>
                <w:szCs w:val="18"/>
              </w:rPr>
            </w:pPr>
            <w:r>
              <w:rPr>
                <w:b/>
                <w:bCs/>
                <w:color w:val="000000"/>
                <w:sz w:val="18"/>
                <w:szCs w:val="18"/>
              </w:rPr>
              <w:t>(%)</w:t>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RESIDENTIAL</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6"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Tier I  (Baseline)</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6"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0.31137</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0.29753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-0.01384</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-4.44%</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0.31622</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0.33433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0.01811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5.73%</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0.62759</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0.63186</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0.00427</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0.68%</w:t>
            </w:r>
          </w:p>
        </w:tc>
      </w:tr>
      <w:tr>
        <w:trPr/>
        <w:tc>
          <w:tcPr>
            <w:tcW w:w="914" w:type="dxa"/>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Tier II</w:t>
            </w:r>
          </w:p>
        </w:tc>
        <w:tc>
          <w:tcPr>
            <w:tcW w:w="2536" w:type="dxa"/>
            <w:gridSpan w:val="2"/>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0.50058</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0.48189</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-0.01869</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-3.73%</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0.31622</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0.33433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0.01811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5.73%</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0.81680</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0.81622</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-0.00058</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-0.07%</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SMALL COMMERCIAL (G-NR1)</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Summer Volumetric (1st 4,000)</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0.27384</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0.27092</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-0.00292</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-1.07%</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0.31252</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0.33043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0.01791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5.73%</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0.58636</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0.60135</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0.01499</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2.56%</w:t>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Summer Volumetric (Excess)</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Trans</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0.11268</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0.10647</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-0.00621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-5.51%</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Proc</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0.31252</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0.33043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0.01791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5.73%</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0.42520</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0.43690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0.01170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2.75%</w:t>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Winter Volumetric (1st 4,000)</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0.37525</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0.34938</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-0.02587</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-6.89%</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0.31849</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0.33640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0.01791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5.62%</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0.69374</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0.68578</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-0.00796</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-1.15%</w:t>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Winter Volumetric (Excess)</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0.15441</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0.13730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-0.01711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-11.08%</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0.31849</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0.33640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0.01791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5.62%</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0.47290</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0.47370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0.00080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0.17%</w:t>
            </w:r>
          </w:p>
        </w:tc>
      </w:tr>
      <w:tr>
        <w:trPr/>
        <w:tc>
          <w:tcPr>
            <w:tcW w:w="3450" w:type="dxa"/>
            <w:gridSpan w:val="3"/>
            <w:tcBorders>
              <w:start w:val="single" w:sz="18" w:space="0" w:color="000000"/>
            </w:tcBorders>
          </w:tcPr>
          <w:p>
            <w:pPr>
              <w:pStyle w:val="Normal"/>
              <w:snapToGrid w:val="false"/>
              <w:rPr>
                <w:rFonts w:ascii="Arial" w:hAnsi="Arial" w:eastAsia="Arial" w:cs="Arial"/>
                <w:color w:val="000000"/>
                <w:sz w:val="18"/>
                <w:szCs w:val="18"/>
              </w:rPr>
            </w:pPr>
            <w:r>
              <w:rPr>
                <w:rFonts w:eastAsia="Arial" w:cs="Arial" w:ascii="Arial" w:hAnsi="Arial"/>
                <w:color w:val="000000"/>
                <w:sz w:val="18"/>
                <w:szCs w:val="18"/>
              </w:rPr>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LARGE COMMERCIAL (G-NR2)</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Summer Volumetric (1st 4,000)</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0.37525</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0.37233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-0.00292</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-0.78%</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0.30060</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0.31460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0.01400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4.66%</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0.67585</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0.68693</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0.01108</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1.64%</w:t>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Summer Volumetric (Excess)</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Trans</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0.15441</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0.14821</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-0.00620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-4.02%</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Proc</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0.30060</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0.31460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0.01400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4.66%</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0.45501</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0.46281</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0.00780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1.71%</w:t>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Winter Volumetric (1st 4,000)</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0.37525</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0.34938</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-0.02587</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-6.89%</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0.30556</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0.31956</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0.01400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4.58%</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0.68081</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0.66894</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-0.01187</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-1.74%</w:t>
            </w:r>
          </w:p>
        </w:tc>
      </w:tr>
      <w:tr>
        <w:trPr/>
        <w:tc>
          <w:tcPr>
            <w:tcW w:w="3450" w:type="dxa"/>
            <w:gridSpan w:val="3"/>
            <w:tcBorders>
              <w:start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 xml:space="preserve">     </w:t>
            </w:r>
            <w:r>
              <w:rPr>
                <w:rFonts w:eastAsia="Arial" w:cs="Arial" w:ascii="Arial" w:hAnsi="Arial"/>
                <w:color w:val="000000"/>
                <w:sz w:val="18"/>
                <w:szCs w:val="18"/>
              </w:rPr>
              <w:t>Winter Volumetric (Excess)</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750" w:type="dxa"/>
            <w:tcBorders>
              <w:start w:val="single" w:sz="6" w:space="0" w:color="000000"/>
            </w:tcBorders>
          </w:tcPr>
          <w:p>
            <w:pPr>
              <w:pStyle w:val="Normal"/>
              <w:snapToGrid w:val="false"/>
              <w:jc w:val="end"/>
              <w:rPr>
                <w:b/>
                <w:bCs/>
                <w:color w:val="000000"/>
                <w:sz w:val="18"/>
                <w:szCs w:val="18"/>
              </w:rPr>
            </w:pPr>
            <w:r>
              <w:rPr>
                <w:b/>
                <w:bCs/>
                <w:color w:val="000000"/>
                <w:sz w:val="18"/>
                <w:szCs w:val="18"/>
              </w:rPr>
            </w:r>
          </w:p>
        </w:tc>
        <w:tc>
          <w:tcPr>
            <w:tcW w:w="1310" w:type="dxa"/>
            <w:tcBorders>
              <w:start w:val="double" w:sz="6" w:space="0" w:color="000000"/>
            </w:tcBorders>
          </w:tcPr>
          <w:p>
            <w:pPr>
              <w:pStyle w:val="Normal"/>
              <w:snapToGrid w:val="false"/>
              <w:jc w:val="center"/>
              <w:rPr>
                <w:rFonts w:ascii="Arial" w:hAnsi="Arial" w:eastAsia="Arial" w:cs="Arial"/>
                <w:b/>
                <w:bCs/>
                <w:color w:val="000000"/>
                <w:sz w:val="18"/>
                <w:szCs w:val="18"/>
              </w:rPr>
            </w:pPr>
            <w:r>
              <w:rPr>
                <w:rFonts w:eastAsia="Arial" w:cs="Arial" w:ascii="Arial" w:hAnsi="Arial"/>
                <w:b/>
                <w:bCs/>
                <w:color w:val="000000"/>
                <w:sz w:val="18"/>
                <w:szCs w:val="18"/>
              </w:rPr>
            </w:r>
          </w:p>
        </w:tc>
        <w:tc>
          <w:tcPr>
            <w:tcW w:w="1440" w:type="dxa"/>
            <w:tcBorders>
              <w:end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Transportation</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0.15441</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0.13730</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-0.01711</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-11.08%</w:t>
            </w:r>
          </w:p>
        </w:tc>
      </w:tr>
      <w:tr>
        <w:trPr/>
        <w:tc>
          <w:tcPr>
            <w:tcW w:w="914" w:type="dxa"/>
            <w:tcBorders>
              <w:start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tcPr>
          <w:p>
            <w:pPr>
              <w:pStyle w:val="Normal"/>
              <w:rPr>
                <w:rFonts w:ascii="Arial" w:hAnsi="Arial" w:eastAsia="Arial" w:cs="Arial"/>
                <w:color w:val="000000"/>
                <w:sz w:val="18"/>
                <w:szCs w:val="18"/>
              </w:rPr>
            </w:pPr>
            <w:r>
              <w:rPr>
                <w:rFonts w:eastAsia="Arial" w:cs="Arial" w:ascii="Arial" w:hAnsi="Arial"/>
                <w:color w:val="000000"/>
                <w:sz w:val="18"/>
                <w:szCs w:val="18"/>
              </w:rPr>
              <w:t>Procurement</w:t>
            </w:r>
          </w:p>
        </w:tc>
        <w:tc>
          <w:tcPr>
            <w:tcW w:w="320" w:type="dxa"/>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tcBorders>
          </w:tcPr>
          <w:p>
            <w:pPr>
              <w:pStyle w:val="Normal"/>
              <w:jc w:val="center"/>
              <w:rPr>
                <w:b/>
                <w:bCs/>
                <w:color w:val="000000"/>
                <w:sz w:val="18"/>
                <w:szCs w:val="18"/>
              </w:rPr>
            </w:pPr>
            <w:r>
              <w:rPr>
                <w:b/>
                <w:bCs/>
                <w:color w:val="000000"/>
                <w:sz w:val="18"/>
                <w:szCs w:val="18"/>
              </w:rPr>
              <w:t>0.30556</w:t>
            </w:r>
          </w:p>
        </w:tc>
        <w:tc>
          <w:tcPr>
            <w:tcW w:w="1750" w:type="dxa"/>
            <w:tcBorders>
              <w:start w:val="single" w:sz="6" w:space="0" w:color="000000"/>
            </w:tcBorders>
          </w:tcPr>
          <w:p>
            <w:pPr>
              <w:pStyle w:val="Normal"/>
              <w:jc w:val="center"/>
              <w:rPr>
                <w:b/>
                <w:bCs/>
                <w:color w:val="000000"/>
                <w:sz w:val="18"/>
                <w:szCs w:val="18"/>
              </w:rPr>
            </w:pPr>
            <w:r>
              <w:rPr>
                <w:b/>
                <w:bCs/>
                <w:color w:val="000000"/>
                <w:sz w:val="18"/>
                <w:szCs w:val="18"/>
              </w:rPr>
              <w:t>0.31956</w:t>
            </w:r>
          </w:p>
        </w:tc>
        <w:tc>
          <w:tcPr>
            <w:tcW w:w="1310" w:type="dxa"/>
            <w:tcBorders>
              <w:start w:val="double" w:sz="6"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0.01400</w:t>
            </w:r>
          </w:p>
        </w:tc>
        <w:tc>
          <w:tcPr>
            <w:tcW w:w="1440" w:type="dxa"/>
            <w:tcBorders>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4.58%</w:t>
            </w:r>
          </w:p>
        </w:tc>
      </w:tr>
      <w:tr>
        <w:trPr/>
        <w:tc>
          <w:tcPr>
            <w:tcW w:w="914" w:type="dxa"/>
            <w:tcBorders>
              <w:start w:val="single" w:sz="18" w:space="0" w:color="000000"/>
              <w:bottom w:val="single" w:sz="18" w:space="0" w:color="000000"/>
            </w:tcBorders>
          </w:tcPr>
          <w:p>
            <w:pPr>
              <w:pStyle w:val="Normal"/>
              <w:snapToGrid w:val="false"/>
              <w:jc w:val="end"/>
              <w:rPr>
                <w:rFonts w:ascii="Arial" w:hAnsi="Arial" w:eastAsia="Arial" w:cs="Arial"/>
                <w:color w:val="000000"/>
                <w:sz w:val="18"/>
                <w:szCs w:val="18"/>
              </w:rPr>
            </w:pPr>
            <w:r>
              <w:rPr>
                <w:rFonts w:eastAsia="Arial" w:cs="Arial" w:ascii="Arial" w:hAnsi="Arial"/>
                <w:color w:val="000000"/>
                <w:sz w:val="18"/>
                <w:szCs w:val="18"/>
              </w:rPr>
            </w:r>
          </w:p>
        </w:tc>
        <w:tc>
          <w:tcPr>
            <w:tcW w:w="2536" w:type="dxa"/>
            <w:gridSpan w:val="2"/>
            <w:tcBorders>
              <w:bottom w:val="single" w:sz="18" w:space="0" w:color="000000"/>
            </w:tcBorders>
          </w:tcPr>
          <w:p>
            <w:pPr>
              <w:pStyle w:val="Normal"/>
              <w:rPr>
                <w:rFonts w:ascii="Arial" w:hAnsi="Arial" w:eastAsia="Arial" w:cs="Arial"/>
                <w:color w:val="000000"/>
                <w:sz w:val="18"/>
                <w:szCs w:val="18"/>
              </w:rPr>
            </w:pPr>
            <w:r>
              <w:rPr>
                <w:rFonts w:eastAsia="Arial" w:cs="Arial" w:ascii="Arial" w:hAnsi="Arial"/>
                <w:color w:val="000000"/>
                <w:sz w:val="18"/>
                <w:szCs w:val="18"/>
              </w:rPr>
              <w:t>Total</w:t>
            </w:r>
          </w:p>
        </w:tc>
        <w:tc>
          <w:tcPr>
            <w:tcW w:w="320" w:type="dxa"/>
            <w:tcBorders>
              <w:bottom w:val="single" w:sz="18" w:space="0" w:color="000000"/>
            </w:tcBorders>
          </w:tcPr>
          <w:p>
            <w:pPr>
              <w:pStyle w:val="Normal"/>
              <w:snapToGrid w:val="false"/>
              <w:jc w:val="center"/>
              <w:rPr>
                <w:rFonts w:ascii="Arial" w:hAnsi="Arial" w:eastAsia="Arial" w:cs="Arial"/>
                <w:color w:val="000000"/>
                <w:sz w:val="18"/>
                <w:szCs w:val="18"/>
              </w:rPr>
            </w:pPr>
            <w:r>
              <w:rPr>
                <w:rFonts w:eastAsia="Arial" w:cs="Arial" w:ascii="Arial" w:hAnsi="Arial"/>
                <w:color w:val="000000"/>
                <w:sz w:val="18"/>
                <w:szCs w:val="18"/>
              </w:rPr>
            </w:r>
          </w:p>
        </w:tc>
        <w:tc>
          <w:tcPr>
            <w:tcW w:w="1750" w:type="dxa"/>
            <w:tcBorders>
              <w:start w:val="single" w:sz="12" w:space="0" w:color="000000"/>
              <w:bottom w:val="single" w:sz="18" w:space="0" w:color="000000"/>
            </w:tcBorders>
          </w:tcPr>
          <w:p>
            <w:pPr>
              <w:pStyle w:val="Normal"/>
              <w:jc w:val="center"/>
              <w:rPr>
                <w:b/>
                <w:bCs/>
                <w:color w:val="000000"/>
                <w:sz w:val="18"/>
                <w:szCs w:val="18"/>
              </w:rPr>
            </w:pPr>
            <w:r>
              <w:rPr>
                <w:b/>
                <w:bCs/>
                <w:color w:val="000000"/>
                <w:sz w:val="18"/>
                <w:szCs w:val="18"/>
              </w:rPr>
              <w:t>0.45997</w:t>
            </w:r>
          </w:p>
        </w:tc>
        <w:tc>
          <w:tcPr>
            <w:tcW w:w="1750" w:type="dxa"/>
            <w:tcBorders>
              <w:start w:val="single" w:sz="6" w:space="0" w:color="000000"/>
              <w:bottom w:val="single" w:sz="18" w:space="0" w:color="000000"/>
            </w:tcBorders>
          </w:tcPr>
          <w:p>
            <w:pPr>
              <w:pStyle w:val="Normal"/>
              <w:jc w:val="center"/>
              <w:rPr>
                <w:b/>
                <w:bCs/>
                <w:color w:val="000000"/>
                <w:sz w:val="18"/>
                <w:szCs w:val="18"/>
              </w:rPr>
            </w:pPr>
            <w:r>
              <w:rPr>
                <w:b/>
                <w:bCs/>
                <w:color w:val="000000"/>
                <w:sz w:val="18"/>
                <w:szCs w:val="18"/>
              </w:rPr>
              <w:t>0.45686</w:t>
            </w:r>
          </w:p>
        </w:tc>
        <w:tc>
          <w:tcPr>
            <w:tcW w:w="1310" w:type="dxa"/>
            <w:tcBorders>
              <w:start w:val="double" w:sz="6" w:space="0" w:color="000000"/>
              <w:bottom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-0.00311</w:t>
            </w:r>
          </w:p>
        </w:tc>
        <w:tc>
          <w:tcPr>
            <w:tcW w:w="1440" w:type="dxa"/>
            <w:tcBorders>
              <w:bottom w:val="single" w:sz="18" w:space="0" w:color="000000"/>
              <w:end w:val="single" w:sz="18" w:space="0" w:color="000000"/>
            </w:tcBorders>
          </w:tcPr>
          <w:p>
            <w:pPr>
              <w:pStyle w:val="Normal"/>
              <w:jc w:val="center"/>
              <w:rPr>
                <w:rFonts w:ascii="Arial" w:hAnsi="Arial" w:eastAsia="Arial" w:cs="Arial"/>
                <w:color w:val="000000"/>
                <w:sz w:val="18"/>
                <w:szCs w:val="18"/>
              </w:rPr>
            </w:pPr>
            <w:r>
              <w:rPr>
                <w:rFonts w:eastAsia="Arial" w:cs="Arial" w:ascii="Arial" w:hAnsi="Arial"/>
                <w:color w:val="000000"/>
                <w:sz w:val="18"/>
                <w:szCs w:val="18"/>
              </w:rPr>
              <w:t>-0.68%</w:t>
            </w:r>
          </w:p>
        </w:tc>
      </w:tr>
    </w:tbl>
    <w:p>
      <w:pPr>
        <w:pStyle w:val="Normal"/>
        <w:rPr/>
      </w:pPr>
      <w:r>
        <w:rPr/>
      </w:r>
    </w:p>
    <w:sectPr>
      <w:footerReference w:type="default" r:id="rId2"/>
      <w:type w:val="nextPage"/>
      <w:pgSz w:w="12240" w:h="15840"/>
      <w:pgMar w:left="1800" w:right="450" w:gutter="0" w:header="0" w:top="630" w:footer="840" w:bottom="135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94.4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0" distT="0" distB="0" distL="114300" distR="114300" simplePos="0" locked="0" layoutInCell="0" allowOverlap="1" relativeHeight="7">
              <wp:simplePos x="0" y="0"/>
              <wp:positionH relativeFrom="page">
                <wp:posOffset>1297940</wp:posOffset>
              </wp:positionH>
              <wp:positionV relativeFrom="paragraph">
                <wp:posOffset>-46990</wp:posOffset>
              </wp:positionV>
              <wp:extent cx="2926080" cy="438150"/>
              <wp:effectExtent l="0" t="0" r="0" b="0"/>
              <wp:wrapSquare wrapText="bothSides"/>
              <wp:docPr id="2" name="Frame2"/>
              <a:graphic xmlns:a="http://schemas.openxmlformats.org/drawingml/2006/main">
                <a:graphicData uri="http://schemas.microsoft.com/office/word/2010/wordprocessingShape">
                  <wps:wsp>
                    <wps:cNvSpPr txBox="1"/>
                    <wps:spPr>
                      <a:xfrm>
                        <a:off x="0" y="0"/>
                        <a:ext cx="2926080" cy="438150"/>
                      </a:xfrm>
                      <a:prstGeom prst="rect"/>
                      <a:solidFill>
                        <a:srgbClr val="FFFFFF">
                          <a:alpha val="0"/>
                        </a:srgbClr>
                      </a:solidFill>
                    </wps:spPr>
                    <wps:txbx>
                      <w:txbxContent>
                        <w:tbl>
                          <w:tblPr>
                            <w:tblW w:w="4608" w:type="dxa"/>
                            <w:jc w:val="start"/>
                            <w:tblInd w:w="108" w:type="dxa"/>
                            <w:tblLayout w:type="fixed"/>
                            <w:tblCellMar>
                              <w:top w:w="0" w:type="dxa"/>
                              <w:start w:w="108" w:type="dxa"/>
                              <w:bottom w:w="0" w:type="dxa"/>
                              <w:end w:w="108" w:type="dxa"/>
                            </w:tblCellMar>
                          </w:tblPr>
                          <w:tblGrid>
                            <w:gridCol w:w="4608"/>
                          </w:tblGrid>
                          <w:tr>
                            <w:trPr>
                              <w:trHeight w:val="600" w:hRule="atLeast"/>
                            </w:trPr>
                            <w:tc>
                              <w:tcPr>
                                <w:tcW w:w="4608"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36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30.4pt;height:34.5pt;mso-wrap-distance-left:9pt;mso-wrap-distance-right:9pt;mso-wrap-distance-top:0pt;mso-wrap-distance-bottom:0pt;margin-top:-3.7pt;mso-position-vertical-relative:text;margin-left:102.2pt;mso-position-horizontal-relative:page">
              <v:fill opacity="0f"/>
              <v:textbox inset="0in,0in,0in,0in">
                <w:txbxContent>
                  <w:tbl>
                    <w:tblPr>
                      <w:tblW w:w="4608" w:type="dxa"/>
                      <w:jc w:val="start"/>
                      <w:tblInd w:w="108" w:type="dxa"/>
                      <w:tblLayout w:type="fixed"/>
                      <w:tblCellMar>
                        <w:top w:w="0" w:type="dxa"/>
                        <w:start w:w="108" w:type="dxa"/>
                        <w:bottom w:w="0" w:type="dxa"/>
                        <w:end w:w="108" w:type="dxa"/>
                      </w:tblCellMar>
                    </w:tblPr>
                    <w:tblGrid>
                      <w:gridCol w:w="4608"/>
                    </w:tblGrid>
                    <w:tr>
                      <w:trPr>
                        <w:trHeight w:val="600" w:hRule="atLeast"/>
                      </w:trPr>
                      <w:tc>
                        <w:tcPr>
                          <w:tcW w:w="4608" w:type="dxa"/>
                          <w:tcBorders>
                            <w:top w:val="double" w:sz="6" w:space="0" w:color="000000"/>
                            <w:start w:val="double" w:sz="6" w:space="0" w:color="000000"/>
                            <w:bottom w:val="double" w:sz="6" w:space="0" w:color="000000"/>
                            <w:end w:val="double" w:sz="6" w:space="0" w:color="000000"/>
                          </w:tcBorders>
                        </w:tcPr>
                        <w:p>
                          <w:pPr>
                            <w:pStyle w:val="Header"/>
                            <w:spacing w:before="40" w:after="80"/>
                            <w:ind w:hanging="14" w:start="14" w:end="360"/>
                            <w:rPr/>
                          </w:pPr>
                          <w:r>
                            <w:rPr>
                              <w:sz w:val="14"/>
                              <w:szCs w:val="14"/>
                            </w:rPr>
                            <w:t xml:space="preserve">Subject to Rule 51 of the CPUC Rules of Practice and Procedure, </w:t>
                            <w:br/>
                            <w:t xml:space="preserve">Rule 601 </w:t>
                          </w:r>
                          <w:r>
                            <w:rPr>
                              <w:sz w:val="14"/>
                              <w:szCs w:val="14"/>
                              <w:u w:val="single"/>
                            </w:rPr>
                            <w:t>et</w:t>
                          </w:r>
                          <w:r>
                            <w:rPr>
                              <w:sz w:val="14"/>
                              <w:szCs w:val="14"/>
                            </w:rPr>
                            <w:t xml:space="preserve"> </w:t>
                          </w:r>
                          <w:r>
                            <w:rPr>
                              <w:sz w:val="14"/>
                              <w:szCs w:val="14"/>
                              <w:u w:val="single"/>
                            </w:rPr>
                            <w:t>seq</w:t>
                          </w:r>
                          <w:r>
                            <w:rPr>
                              <w:sz w:val="14"/>
                              <w:szCs w:val="14"/>
                            </w:rPr>
                            <w:t>. of the FERC Rules of Practice, Rule 408 of the Federal</w:t>
                            <w:br/>
                            <w:t>Rules of Evidence, and Section 1152 of the California Evidence Code</w:t>
                          </w:r>
                        </w:p>
                      </w:tc>
                    </w:tr>
                  </w:tbl>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i/>
      <w:iCs/>
      <w:color w:val="000000"/>
      <w:sz w:val="18"/>
      <w:szCs w:val="18"/>
    </w:rPr>
  </w:style>
  <w:style w:type="paragraph" w:styleId="Heading2">
    <w:name w:val="heading 2"/>
    <w:basedOn w:val="Normal"/>
    <w:next w:val="Normal"/>
    <w:qFormat/>
    <w:pPr>
      <w:keepNext w:val="true"/>
      <w:numPr>
        <w:ilvl w:val="1"/>
        <w:numId w:val="1"/>
      </w:numPr>
      <w:jc w:val="center"/>
      <w:outlineLvl w:val="1"/>
    </w:pPr>
    <w:rPr>
      <w:b/>
      <w:bCs/>
      <w:color w:val="000000"/>
      <w:sz w:val="28"/>
      <w:szCs w:val="28"/>
    </w:rPr>
  </w:style>
  <w:style w:type="paragraph" w:styleId="Heading3">
    <w:name w:val="heading 3"/>
    <w:basedOn w:val="Normal"/>
    <w:next w:val="Normal"/>
    <w:qFormat/>
    <w:pPr>
      <w:keepNext w:val="true"/>
      <w:numPr>
        <w:ilvl w:val="2"/>
        <w:numId w:val="1"/>
      </w:numPr>
      <w:jc w:val="center"/>
      <w:outlineLvl w:val="2"/>
    </w:pPr>
    <w:rPr>
      <w:b/>
      <w:bCs/>
      <w:color w:val="000000"/>
      <w:sz w:val="18"/>
      <w:szCs w:val="1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color w:val="000000"/>
      <w:sz w:val="36"/>
      <w:szCs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2000-04-14T20:39:00Z</dcterms:created>
  <dc:creator>Randall Litteneker</dc:creator>
  <dc:description/>
  <dc:language>en-CA</dc:language>
  <cp:lastModifiedBy>Randall Litteneker</cp:lastModifiedBy>
  <cp:lastPrinted>2000-04-14T13:47:00Z</cp:lastPrinted>
  <dcterms:modified xsi:type="dcterms:W3CDTF">2000-04-14T20:39:00Z</dcterms:modified>
  <cp:revision>3</cp:revision>
  <dc:subject/>
  <dc:title>Illustrative Rates</dc:title>
</cp:coreProperties>
</file>