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rPr>
      </w:pPr>
      <w:r>
        <w:rPr>
          <w:b/>
        </w:rPr>
        <w:t xml:space="preserve">COMMENTS OF ENRON ENERGY SERVICES, INC. </w:t>
      </w:r>
    </w:p>
    <w:p>
      <w:pPr>
        <w:pStyle w:val="BodyText"/>
        <w:rPr>
          <w:u w:val="single"/>
        </w:rPr>
      </w:pPr>
      <w:r>
        <w:rPr>
          <w:b/>
          <w:u w:val="single"/>
        </w:rPr>
        <w:t>REGARDING STAFF’S QUESTIONS CONCERNING AGENCY ACTIVITIES</w:t>
      </w:r>
    </w:p>
    <w:p>
      <w:pPr>
        <w:pStyle w:val="Normal"/>
        <w:rPr>
          <w:u w:val="single"/>
        </w:rPr>
      </w:pPr>
      <w:r>
        <w:rPr>
          <w:u w:val="single"/>
        </w:rPr>
      </w:r>
    </w:p>
    <w:p>
      <w:pPr>
        <w:pStyle w:val="BodyTextIndent3"/>
        <w:rPr/>
      </w:pPr>
      <w:r>
        <w:rPr/>
        <w:t>Enron Energy Services, Inc. (“EESI”) appreciates the opportunity to submit to the Illinois Commerce Commission (“Commission”) these comments regarding the Commission Staff’s (“Staff”) questions concerning agency activities.  In addition to being a certified alternative retail electric supplier in Illinois, EESI is a marketer of electricity in North America and a participant in various competitive markets.  We applaud the Commission in its efforts to recognize and understand the role agents play in the Illinois electric market.  We note that the efforts of the Commission should result in guidelines that will protect customers on the one hand, and facilitate a competitive market on the other. Following, EESI addresses the specific questions that were proposed by the Staff, and makes recommendations aimed at implementing either or both objectives, consistent with Commission jurisdiction, and good public policy:</w:t>
      </w:r>
    </w:p>
    <w:p>
      <w:pPr>
        <w:pStyle w:val="Normal"/>
        <w:spacing w:lineRule="auto" w:line="480"/>
        <w:rPr/>
      </w:pPr>
      <w:r>
        <w:rPr/>
      </w:r>
    </w:p>
    <w:p>
      <w:pPr>
        <w:pStyle w:val="BodyTextIndent"/>
        <w:numPr>
          <w:ilvl w:val="0"/>
          <w:numId w:val="1"/>
        </w:numPr>
        <w:jc w:val="both"/>
        <w:rPr>
          <w:b/>
        </w:rPr>
      </w:pPr>
      <w:r>
        <w:rPr>
          <w:b/>
        </w:rPr>
        <w:t xml:space="preserve">In Staff’s report on agent activities, a number of problems were identified that could result from the activities of agents in the electric market.  Are there other problems that the Commission should become aware of that could result from agency activities? </w:t>
      </w:r>
    </w:p>
    <w:p>
      <w:pPr>
        <w:pStyle w:val="BodyTextIndent"/>
        <w:ind w:start="0" w:end="0"/>
        <w:jc w:val="both"/>
        <w:rPr>
          <w:b/>
        </w:rPr>
      </w:pPr>
      <w:r>
        <w:rPr>
          <w:b/>
        </w:rPr>
      </w:r>
    </w:p>
    <w:p>
      <w:pPr>
        <w:pStyle w:val="BodyTextIndent"/>
        <w:spacing w:lineRule="auto" w:line="480"/>
        <w:ind w:firstLine="720" w:start="0" w:end="0"/>
        <w:jc w:val="both"/>
        <w:rPr/>
      </w:pPr>
      <w:r>
        <w:rPr/>
        <w:t xml:space="preserve">A robust market is one characterized by many buyers and many sellers for a given product or service providing consumers with a choice among service providers can bring about dramatic improvements in consumer welfare, including lower prices and better quality service.  In every market, agents perform a vital role in enabling competition. As recognized by the Commission Staff in its Report, agents contribute to a vibrant competitive electric market by stimulating customer interest in market participation.  Deregulation can be marred by customer inertia due to lack of information and fear of the unknown.  The service that capable agents provide fills the information gap in customers’ knowledge about competition, and ensures that retail competition delivers its promise of lower costs and greater innovation for consumers and greater efficiency for the industry. This customer education function also contributes to the overall efficiency and effectiveness of the market by reducing Commission expenditures on customer education and avoiding duplicity.  While EESI agrees that irresponsible or inappropriate agent activity could have a harmful effect on customers as well as the development of the competitive electric market, EESI notes that a dynamic retail market can only be achieved if there are no undue barriers to entry of new providers or participants. Regulatory uncertainty or excessive regulation is a veritable barrier that can derail deregulation and competition.  A vibrant electric market and a market free from abuses by market participants are two sides of the same coin.  The Commission must carefully craft guidelines that will enable it to simultaneously achieve both goals.  </w:t>
      </w:r>
    </w:p>
    <w:p>
      <w:pPr>
        <w:pStyle w:val="BodyTextIndent"/>
        <w:spacing w:lineRule="auto" w:line="480"/>
        <w:ind w:start="0" w:end="0"/>
        <w:jc w:val="both"/>
        <w:rPr/>
      </w:pPr>
      <w:r>
        <w:rPr/>
      </w:r>
    </w:p>
    <w:p>
      <w:pPr>
        <w:pStyle w:val="BodyTextIndent"/>
        <w:ind w:firstLine="720" w:start="0" w:end="0"/>
        <w:jc w:val="both"/>
        <w:rPr/>
      </w:pPr>
      <w:r>
        <w:rPr>
          <w:b/>
        </w:rPr>
        <w:t>2.</w:t>
        <w:tab/>
        <w:t>Are Retail Electric Suppliers obligated to follow Part 410.210 when they perform agency activities?</w:t>
      </w:r>
      <w:r>
        <w:rPr>
          <w:color w:val="000000"/>
        </w:rPr>
        <w:t xml:space="preserve"> </w:t>
      </w:r>
    </w:p>
    <w:p>
      <w:pPr>
        <w:pStyle w:val="BodyTextIndent"/>
        <w:ind w:firstLine="720" w:start="0" w:end="0"/>
        <w:jc w:val="both"/>
        <w:rPr>
          <w:color w:val="000000"/>
        </w:rPr>
      </w:pPr>
      <w:r>
        <w:rPr>
          <w:color w:val="000000"/>
        </w:rPr>
      </w:r>
    </w:p>
    <w:p>
      <w:pPr>
        <w:pStyle w:val="BodyTextIndent"/>
        <w:spacing w:lineRule="auto" w:line="480"/>
        <w:ind w:firstLine="720" w:start="0" w:end="0"/>
        <w:jc w:val="both"/>
        <w:rPr/>
      </w:pPr>
      <w:r>
        <w:rPr/>
        <w:t>EESI believes that existing laws and regulations are comprehensive enough and will protect customers from irresponsible behavior by RES-agents.  For non-RES, bill-paying agents, and for RES-agents when they act in the capacity of bill paying agents, it is important to note that their relationship to the customer is not only contractual, but also governed by general agency law which sets out the rights and responsibilities of the parties, and is enforceable at law.  In the light of the above, any Commission involvement should be to develop minimal guidelines to manage the agent/utility interface.  It is of fundamental importance that all agents serving in a similar capacity be subject to similar rules.  Beside the obvious need for uniformity in standards and requirements across all Illinois utilities, similar rules will level the playing field for effective competition for all agents. It will also ensure that all customers will have comparable protections despite who their agent is, and avoid needless confusion or overlapping requirements. However, the requirements must not present such barriers to market entry as to stifle competition. For instance, some of the requirements in Part 410.210 require the provision of information which bill paying agent would not typically possess.</w:t>
      </w:r>
      <w:r>
        <w:rPr>
          <w:color w:val="000000"/>
        </w:rPr>
        <w:t xml:space="preserve">  Compelling RESs to comply with Part 410 rules when they are only bill paying agents will result in considerable administrative costs, which will increase the cost and risk of market entry.  This increased cost and risk will be passed on to the customer as higher prices and less competitive options. </w:t>
      </w:r>
      <w:r>
        <w:rPr/>
        <w:t xml:space="preserve">EESI recommends that the Commission approve uniform minimal agent guidelines, which will provide safeguards against irresponsible agent activities, without stifling competition </w:t>
      </w:r>
    </w:p>
    <w:p>
      <w:pPr>
        <w:pStyle w:val="Normal"/>
        <w:ind w:firstLine="720" w:end="0"/>
        <w:jc w:val="both"/>
        <w:rPr>
          <w:b/>
        </w:rPr>
      </w:pPr>
      <w:r>
        <w:rPr>
          <w:b/>
        </w:rPr>
        <w:t>3.</w:t>
        <w:tab/>
        <w:t xml:space="preserve"> There was discussion at the workshop regarding a requirement that utilities would send final disconnection notices directly to customers, in addition to the customer's agent.  What, if any, other information or notices should utilities be required to send directly to customers that have appointed agents?  The list of information that utilities must send directly to customers, compiled by Staff, is attached for reference.</w:t>
      </w:r>
    </w:p>
    <w:p>
      <w:pPr>
        <w:pStyle w:val="BodyTextIndent"/>
        <w:spacing w:lineRule="auto" w:line="480"/>
        <w:ind w:firstLine="720" w:start="0" w:end="0"/>
        <w:jc w:val="both"/>
        <w:rPr/>
      </w:pPr>
      <w:r>
        <w:rPr/>
      </w:r>
    </w:p>
    <w:p>
      <w:pPr>
        <w:pStyle w:val="BodyTextIndent"/>
        <w:spacing w:lineRule="auto" w:line="480"/>
        <w:ind w:firstLine="720" w:start="0" w:end="0"/>
        <w:jc w:val="both"/>
        <w:rPr/>
      </w:pPr>
      <w:r>
        <w:rPr/>
        <w:t xml:space="preserve">Because of the huge potential for customer confusion that may result from multiple mailings to customers by the agent and the utility, EESI believes that it is best that the RES or agent serving a customer be the primary information interface for that customer.  Having read the policy concerns stated by the Commission in its Report, particularly, those rare instances where a customer’s account may be disconnected for non-payment by the agent, EESI appreciates the desirability of customers becoming aware of final disconnection notices.  However, we believe that the same objective of securing customer awareness can be achieved by Commission action to establish firm guidelines for agents, which include that they forward to customers, on penalty of exclusion from the market for non-compliance, all notices of disconnection, planned outages, and similar notices. This option is beneficial, as it would make agents accountable to ensure that customers receive the information.  This is particularly so because customers who contracted agents to administer their bills may be unwilling to incur the administrative costs required to review bill inserts and other utility information.  As stated earlier, it is important that the penalty and guidelines must be uniform across all utilities. </w:t>
      </w:r>
    </w:p>
    <w:p>
      <w:pPr>
        <w:pStyle w:val="BodyTextIndent"/>
        <w:spacing w:lineRule="auto" w:line="480"/>
        <w:ind w:start="0" w:end="0"/>
        <w:jc w:val="both"/>
        <w:rPr>
          <w:b/>
        </w:rPr>
      </w:pPr>
      <w:r>
        <w:rPr>
          <w:b/>
        </w:rPr>
      </w:r>
    </w:p>
    <w:p>
      <w:pPr>
        <w:pStyle w:val="BodyTextIndent"/>
        <w:ind w:firstLine="360" w:start="0" w:end="0"/>
        <w:jc w:val="both"/>
        <w:rPr>
          <w:b/>
        </w:rPr>
      </w:pPr>
      <w:r>
        <w:rPr>
          <w:b/>
        </w:rPr>
        <w:t>4.</w:t>
        <w:tab/>
        <w:tab/>
        <w:t xml:space="preserve">For dual fuel utilities is it feasible to segregate the gas and electric portions of a customer’s bill? Is it feasible to post payments received from an electric customer’ agent to the customer’s electric accounts only?  Should dual-fuel utilities be required to offer this service to agents?   </w:t>
      </w:r>
    </w:p>
    <w:p>
      <w:pPr>
        <w:pStyle w:val="BodyTextIndent"/>
        <w:ind w:firstLine="360" w:start="0" w:end="0"/>
        <w:jc w:val="both"/>
        <w:rPr>
          <w:b/>
        </w:rPr>
      </w:pPr>
      <w:r>
        <w:rPr>
          <w:b/>
        </w:rPr>
      </w:r>
    </w:p>
    <w:p>
      <w:pPr>
        <w:pStyle w:val="BodyTextIndent"/>
        <w:ind w:firstLine="360" w:start="0" w:end="0"/>
        <w:jc w:val="both"/>
        <w:rPr>
          <w:b/>
        </w:rPr>
      </w:pPr>
      <w:r>
        <w:rPr>
          <w:b/>
        </w:rPr>
      </w:r>
    </w:p>
    <w:p>
      <w:pPr>
        <w:pStyle w:val="BodyTextIndent"/>
        <w:spacing w:lineRule="auto" w:line="480"/>
        <w:ind w:firstLine="360" w:start="0" w:end="0"/>
        <w:jc w:val="both"/>
        <w:rPr/>
      </w:pPr>
      <w:r>
        <w:rPr/>
        <w:t xml:space="preserve">It is feasible for dual fuel utilities to segregate the gas and electric portions of a customer’s bill.  EESI provides services in many service territories including dual fuel utilities where the bill is segregated, and the utility posts payments received from an electric customer’s agent to the customer’s electric account only. A different approach will create considerable problems and unnecessarily raise a number of difficult questions. </w:t>
      </w:r>
    </w:p>
    <w:p>
      <w:pPr>
        <w:pStyle w:val="BodyTextIndent"/>
        <w:spacing w:lineRule="auto" w:line="480"/>
        <w:ind w:firstLine="360" w:start="0" w:end="0"/>
        <w:jc w:val="both"/>
        <w:rPr/>
      </w:pPr>
      <w:r>
        <w:rPr/>
        <w:t xml:space="preserve">First, if both commodities are competitive, then to provide one bill, a bill-paying agent would need to be an agent of the customer for both commodities.  Second, in cases where an electric customer’s agent makes a full payment for electricity and no payment for gas, the question of allocation of those payments will arise. This is because some utilities have a policy that partial payments are applied first to electric transmission and distribution charges and any leftover is then applied to the commodity portion of the bill. Scenarios may also arise where a full payment of an electric bill is applied to the transmission and distribution charges for electricity and distribution charges for gas, leaving the electric service agent completely at risk for non-payment penalties despite the fact that the customer has paid in full its electric service bill, and the entire amount was paid to the utility.  The failure to segregate commodity bills for dual fuel utilities could have the unintended effect of chilling competition in electricity due to RESs’ high risk of non-payment for gas service.  </w:t>
      </w:r>
    </w:p>
    <w:p>
      <w:pPr>
        <w:pStyle w:val="BodyTextIndent"/>
        <w:spacing w:lineRule="auto" w:line="480"/>
        <w:ind w:firstLine="360" w:start="0" w:end="0"/>
        <w:jc w:val="both"/>
        <w:rPr/>
      </w:pPr>
      <w:r>
        <w:rPr/>
        <w:t xml:space="preserve">Further, in a typical bill-paying agent scenario where the agent pays the utility bill upon receipt, before receiving payment from the customer, will the electric agent be required to pay both the electric portion and the gas?  If it pays the gas bill, how can it legally enforce payment from the customer for a service that it did not provide, and for which it has no agency relationship with the customer?  Besides, why should the electric bill-paying agent be compelled to incur collection charges for the gas portion of the bill?  The resulting cash flow implications are enormous and would escalate the credit cost and requirements for bill paying agents. This will be a significant barrier to market entry. Besides, a consolidated electric and gas bill may be more difficult to read and confusing for small customers. </w:t>
      </w:r>
    </w:p>
    <w:p>
      <w:pPr>
        <w:pStyle w:val="BodyTextIndent"/>
        <w:spacing w:lineRule="auto" w:line="480"/>
        <w:ind w:firstLine="360" w:start="0" w:end="0"/>
        <w:jc w:val="both"/>
        <w:rPr/>
      </w:pPr>
      <w:r>
        <w:rPr/>
        <w:t xml:space="preserve">In addition, many bill paying agents may not have sophisticated systems set up to produce one bill for multiple commodities.  Some agents are currently using a manual process, and electronic set up costs may be prohibitive.  Even in instances where the RES-agent has Electronic Data Interchange (“EDI”) capability, expensive system changes and costly EDI tests will be required to accommodate multiple commodities on one bill.  The two most common barriers to market entry are capital costs and unacceptable market risk. Implementing a consolidated dual fuel bill will increase both risks for agents in Illinois. This will translate into higher costs for the customers.  </w:t>
      </w:r>
    </w:p>
    <w:p>
      <w:pPr>
        <w:pStyle w:val="BodyTextIndent"/>
        <w:spacing w:lineRule="auto" w:line="480"/>
        <w:ind w:firstLine="360" w:start="0" w:end="0"/>
        <w:jc w:val="both"/>
        <w:rPr/>
      </w:pPr>
      <w:r>
        <w:rPr/>
        <w:t>EESI recommends that all utilities in Illinois be required to offer a segregated billing service to agents.</w:t>
      </w:r>
    </w:p>
    <w:p>
      <w:pPr>
        <w:pStyle w:val="BodyTextIndent"/>
        <w:spacing w:lineRule="auto" w:line="480"/>
        <w:ind w:start="0" w:end="0"/>
        <w:jc w:val="both"/>
        <w:rPr>
          <w:b/>
          <w:color w:val="000000"/>
        </w:rPr>
      </w:pPr>
      <w:r>
        <w:rPr>
          <w:b/>
          <w:color w:val="000000"/>
        </w:rPr>
      </w:r>
    </w:p>
    <w:p>
      <w:pPr>
        <w:pStyle w:val="BodyTextIndent"/>
        <w:ind w:firstLine="360" w:start="0" w:end="0"/>
        <w:jc w:val="both"/>
        <w:rPr/>
      </w:pPr>
      <w:r>
        <w:rPr>
          <w:b/>
        </w:rPr>
        <w:t>5.</w:t>
        <w:tab/>
        <w:tab/>
        <w:t>Three utilities prepared draft documents that concern agents and agency activities.  Are there topics that have not been addressed in these documents that should be included in agency tariffs?</w:t>
      </w:r>
      <w:r>
        <w:rPr>
          <w:b/>
          <w:color w:val="000000"/>
        </w:rPr>
        <w:t xml:space="preserve"> </w:t>
      </w:r>
    </w:p>
    <w:p>
      <w:pPr>
        <w:pStyle w:val="BodyTextIndent"/>
        <w:spacing w:lineRule="auto" w:line="480"/>
        <w:ind w:start="0" w:end="0"/>
        <w:jc w:val="both"/>
        <w:rPr>
          <w:b/>
          <w:color w:val="000000"/>
        </w:rPr>
      </w:pPr>
      <w:r>
        <w:rPr>
          <w:b/>
          <w:color w:val="000000"/>
        </w:rPr>
      </w:r>
    </w:p>
    <w:p>
      <w:pPr>
        <w:pStyle w:val="BodyTextIndent"/>
        <w:spacing w:lineRule="auto" w:line="480"/>
        <w:ind w:firstLine="360" w:start="0" w:end="0"/>
        <w:jc w:val="both"/>
        <w:rPr>
          <w:color w:val="000000"/>
        </w:rPr>
      </w:pPr>
      <w:r>
        <w:rPr>
          <w:color w:val="000000"/>
        </w:rPr>
        <w:t>As stated above, EESI contends that there is a need for uniform guidelines for all agents serving customers in Illinois.  A quick review of the proposed tariff filings of Ameren/CIPS, Illinois Power Company and Commonwealth Edison Company, show a marked lack of uniformity in their agency requirements.  Commission guidance through collaborative workshops is necessary.  All agents in the state of Illinois must be subject to similar guidelines, and all electric customers, must have the same expectation of protection from the activities of unscrupulous agents.  Further, uniformity will ease the burden on the Commission to administer and enforce the agency guidelines. Finally, a Commission initiated process will provide the opportunity for all market participants to adequately discuss all the issues, propose and explore alternatives, and negotiate relevant tariff language to articulate market concerns.</w:t>
      </w:r>
    </w:p>
    <w:p>
      <w:pPr>
        <w:pStyle w:val="BodyTextIndent2"/>
        <w:spacing w:lineRule="auto" w:line="480"/>
        <w:ind w:start="0" w:end="0"/>
        <w:jc w:val="both"/>
        <w:rPr>
          <w:color w:val="000000"/>
        </w:rPr>
      </w:pPr>
      <w:r>
        <w:rPr>
          <w:color w:val="000000"/>
        </w:rPr>
      </w:r>
    </w:p>
    <w:p>
      <w:pPr>
        <w:pStyle w:val="BodyTextIndent2"/>
        <w:spacing w:lineRule="auto" w:line="480"/>
        <w:ind w:firstLine="360" w:start="0" w:end="0"/>
        <w:jc w:val="both"/>
        <w:rPr/>
      </w:pPr>
      <w:r>
        <w:rPr/>
        <w:t>EESI firmly believes that a robust electric market is the best customer protection against RES or agent abuses. The abundance of market participants and the ability of customers to switch freely will in a competitive market, operate to bring about lower costs and greater innovation for businesses and consumers, and higher profits for retailers willing to take the risk of doing business in an unregulated environment. Above all, it will operate to expose and limit the activities of unscrupulous and irresponsible market participants.</w:t>
      </w:r>
    </w:p>
    <w:p>
      <w:pPr>
        <w:pStyle w:val="BodyTextIndent2"/>
        <w:rPr/>
      </w:pPr>
      <w:r>
        <w:rPr/>
      </w:r>
    </w:p>
    <w:p>
      <w:pPr>
        <w:pStyle w:val="Normal"/>
        <w:autoSpaceDE w:val="false"/>
        <w:spacing w:lineRule="auto" w:line="360"/>
        <w:ind w:start="360" w:end="0"/>
        <w:jc w:val="center"/>
        <w:rPr>
          <w:color w:val="000000"/>
        </w:rPr>
      </w:pPr>
      <w:r>
        <w:rPr>
          <w:color w:val="000000"/>
        </w:rPr>
      </w:r>
    </w:p>
    <w:p>
      <w:pPr>
        <w:pStyle w:val="Normal"/>
        <w:autoSpaceDE w:val="false"/>
        <w:spacing w:lineRule="auto" w:line="360"/>
        <w:ind w:start="360" w:end="0"/>
        <w:jc w:val="center"/>
        <w:rPr>
          <w:color w:val="000000"/>
        </w:rPr>
      </w:pPr>
      <w:r>
        <w:rPr>
          <w:color w:val="000000"/>
        </w:rPr>
        <w:t>Respectfully Submitted,</w:t>
      </w:r>
    </w:p>
    <w:p>
      <w:pPr>
        <w:pStyle w:val="Normal"/>
        <w:autoSpaceDE w:val="false"/>
        <w:spacing w:lineRule="auto" w:line="360"/>
        <w:ind w:start="360" w:end="0"/>
        <w:jc w:val="center"/>
        <w:rPr>
          <w:color w:val="000000"/>
        </w:rPr>
      </w:pPr>
      <w:r>
        <w:rPr>
          <w:color w:val="000000"/>
        </w:rPr>
      </w:r>
    </w:p>
    <w:p>
      <w:pPr>
        <w:pStyle w:val="Normal"/>
        <w:autoSpaceDE w:val="false"/>
        <w:spacing w:lineRule="auto" w:line="360"/>
        <w:ind w:start="360" w:end="0"/>
        <w:jc w:val="center"/>
        <w:rPr>
          <w:color w:val="000000"/>
        </w:rPr>
      </w:pPr>
      <w:r>
        <w:rPr>
          <w:color w:val="000000"/>
        </w:rPr>
      </w:r>
    </w:p>
    <w:p>
      <w:pPr>
        <w:pStyle w:val="Normal"/>
        <w:autoSpaceDE w:val="false"/>
        <w:ind w:start="360" w:end="0"/>
        <w:jc w:val="center"/>
        <w:rPr>
          <w:color w:val="000000"/>
        </w:rPr>
      </w:pPr>
      <w:r>
        <w:rPr>
          <w:color w:val="000000"/>
        </w:rPr>
        <w:t>Gloria Ogenyi</w:t>
      </w:r>
    </w:p>
    <w:p>
      <w:pPr>
        <w:pStyle w:val="Normal"/>
        <w:autoSpaceDE w:val="false"/>
        <w:ind w:start="360" w:end="0"/>
        <w:jc w:val="center"/>
        <w:rPr>
          <w:color w:val="000000"/>
        </w:rPr>
      </w:pPr>
      <w:r>
        <w:rPr>
          <w:color w:val="000000"/>
        </w:rPr>
        <w:t xml:space="preserve">Director, Government Affairs </w:t>
      </w:r>
    </w:p>
    <w:p>
      <w:pPr>
        <w:pStyle w:val="Normal"/>
        <w:autoSpaceDE w:val="false"/>
        <w:ind w:start="360" w:end="0"/>
        <w:jc w:val="center"/>
        <w:rPr>
          <w:color w:val="000000"/>
        </w:rPr>
      </w:pPr>
      <w:r>
        <w:rPr>
          <w:color w:val="000000"/>
        </w:rPr>
        <w:t>Enron Corp</w:t>
      </w:r>
    </w:p>
    <w:p>
      <w:pPr>
        <w:pStyle w:val="Normal"/>
        <w:autoSpaceDE w:val="false"/>
        <w:ind w:start="360" w:end="0"/>
        <w:jc w:val="center"/>
        <w:rPr>
          <w:color w:val="000000"/>
        </w:rPr>
      </w:pPr>
      <w:r>
        <w:rPr>
          <w:color w:val="000000"/>
        </w:rPr>
        <w:t>1400 Smith Street, EB 4744A</w:t>
      </w:r>
    </w:p>
    <w:p>
      <w:pPr>
        <w:pStyle w:val="Normal"/>
        <w:autoSpaceDE w:val="false"/>
        <w:ind w:start="360" w:end="0"/>
        <w:jc w:val="center"/>
        <w:rPr>
          <w:color w:val="000000"/>
        </w:rPr>
      </w:pPr>
      <w:r>
        <w:rPr>
          <w:color w:val="000000"/>
        </w:rPr>
        <w:t>Houston TX, 77002</w:t>
      </w:r>
    </w:p>
    <w:p>
      <w:pPr>
        <w:pStyle w:val="Normal"/>
        <w:autoSpaceDE w:val="false"/>
        <w:ind w:start="360" w:end="0"/>
        <w:jc w:val="center"/>
        <w:rPr>
          <w:color w:val="000000"/>
        </w:rPr>
      </w:pPr>
      <w:r>
        <w:rPr>
          <w:color w:val="000000"/>
        </w:rPr>
        <w:t>Phone: 713-345-8202</w:t>
      </w:r>
    </w:p>
    <w:p>
      <w:pPr>
        <w:pStyle w:val="Normal"/>
        <w:autoSpaceDE w:val="false"/>
        <w:ind w:start="360" w:end="0"/>
        <w:jc w:val="center"/>
        <w:rPr>
          <w:color w:val="000000"/>
        </w:rPr>
      </w:pPr>
      <w:r>
        <w:rPr>
          <w:color w:val="000000"/>
        </w:rPr>
        <w:t>Fax: 713-646-3409</w:t>
      </w:r>
    </w:p>
    <w:p>
      <w:pPr>
        <w:pStyle w:val="Normal"/>
        <w:autoSpaceDE w:val="false"/>
        <w:ind w:start="360" w:end="0"/>
        <w:jc w:val="center"/>
        <w:rPr>
          <w:color w:val="000000"/>
        </w:rPr>
      </w:pPr>
      <w:r>
        <w:rPr>
          <w:color w:val="000000"/>
        </w:rPr>
        <w:t>gloria.ogenyi@enron.com</w:t>
      </w:r>
    </w:p>
    <w:p>
      <w:pPr>
        <w:pStyle w:val="Footer"/>
        <w:tabs>
          <w:tab w:val="clear" w:pos="4320"/>
          <w:tab w:val="clear" w:pos="8640"/>
        </w:tabs>
        <w:rPr>
          <w:color w:val="000000"/>
        </w:rPr>
      </w:pPr>
      <w:r>
        <w:rPr>
          <w:color w:val="00000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b/>
    </w:rPr>
  </w:style>
  <w:style w:type="character" w:styleId="WW8Num1z2">
    <w:name w:val="WW8Num1z2"/>
    <w:qFormat/>
    <w:rPr/>
  </w:style>
  <w:style w:type="character" w:styleId="WW8Num2z0">
    <w:name w:val="WW8Num2z0"/>
    <w:qFormat/>
    <w:rPr/>
  </w:style>
  <w:style w:type="character" w:styleId="WW8Num3z0">
    <w:name w:val="WW8Num3z0"/>
    <w:qFormat/>
    <w:rPr>
      <w:b/>
    </w:rPr>
  </w:style>
  <w:style w:type="character" w:styleId="WW8Num4z0">
    <w:name w:val="WW8Num4z0"/>
    <w:qFormat/>
    <w:rPr>
      <w:b/>
      <w:color w:val="000000"/>
    </w:rPr>
  </w:style>
  <w:style w:type="character" w:styleId="WW8Num5z0">
    <w:name w:val="WW8Num5z0"/>
    <w:qFormat/>
    <w:rPr/>
  </w:style>
  <w:style w:type="character" w:styleId="WW8Num5z1">
    <w:name w:val="WW8Num5z1"/>
    <w:qFormat/>
    <w:rPr>
      <w:b/>
    </w:rPr>
  </w:style>
  <w:style w:type="character" w:styleId="WW8Num6z0">
    <w:name w:val="WW8Num6z0"/>
    <w:qFormat/>
    <w:rPr>
      <w:b/>
    </w:rPr>
  </w:style>
  <w:style w:type="character" w:styleId="WW8Num7z0">
    <w:name w:val="WW8Num7z0"/>
    <w:qFormat/>
    <w:rPr/>
  </w:style>
  <w:style w:type="character" w:styleId="WW8Num8z0">
    <w:name w:val="WW8Num8z0"/>
    <w:qFormat/>
    <w:rPr>
      <w:b/>
      <w:color w:val="000000"/>
    </w:rPr>
  </w:style>
  <w:style w:type="character" w:styleId="WW8Num9z0">
    <w:name w:val="WW8Num9z0"/>
    <w:qFormat/>
    <w:rPr>
      <w:b/>
      <w:color w:val="00000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080" w:end="0"/>
    </w:pPr>
    <w:rPr/>
  </w:style>
  <w:style w:type="paragraph" w:styleId="BodyTextIndent2">
    <w:name w:val="Body Text Indent 2"/>
    <w:basedOn w:val="Normal"/>
    <w:qFormat/>
    <w:pPr>
      <w:autoSpaceDE w:val="false"/>
      <w:spacing w:lineRule="auto" w:line="360"/>
      <w:ind w:hanging="0" w:start="360" w:end="0"/>
    </w:pPr>
    <w:rPr>
      <w:color w:val="00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spacing w:lineRule="auto" w:line="480"/>
      <w:ind w:firstLine="720" w:start="0" w:end="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2001-04-06T18:26:00Z</dcterms:created>
  <dc:creator>gogenyi</dc:creator>
  <dc:description/>
  <dc:language>en-CA</dc:language>
  <cp:lastModifiedBy>gogenyi</cp:lastModifiedBy>
  <cp:lastPrinted>2001-04-03T18:30:00Z</cp:lastPrinted>
  <dcterms:modified xsi:type="dcterms:W3CDTF">2001-04-06T18:26:00Z</dcterms:modified>
  <cp:revision>2</cp:revision>
  <dc:subject/>
  <dc:title>COMMENTS OF ENRON CORP TO THE STAFF’S QUESTIONS CONCERNING AGENCY ACTIVITIES</dc:title>
</cp:coreProperties>
</file>